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3BDC6" w14:textId="78F50915" w:rsidR="009A493E" w:rsidRPr="00787BB9" w:rsidRDefault="009A493E" w:rsidP="009A493E">
      <w:pPr>
        <w:pStyle w:val="Heading1"/>
        <w:rPr>
          <w:rFonts w:ascii="Palatino Linotype" w:hAnsi="Palatino Linotype"/>
        </w:rPr>
      </w:pPr>
      <w:r w:rsidRPr="00787BB9">
        <w:rPr>
          <w:rFonts w:ascii="Palatino Linotype" w:hAnsi="Palatino Linotype"/>
        </w:rPr>
        <w:t xml:space="preserve">Data </w:t>
      </w:r>
      <w:r w:rsidRPr="00787BB9">
        <w:rPr>
          <w:rFonts w:ascii="Palatino Linotype" w:hAnsi="Palatino Linotype"/>
          <w:i/>
          <w:iCs/>
        </w:rPr>
        <w:t>Literature Review</w:t>
      </w:r>
      <w:r w:rsidRPr="00787BB9">
        <w:rPr>
          <w:rFonts w:ascii="Palatino Linotype" w:hAnsi="Palatino Linotype"/>
        </w:rPr>
        <w:t xml:space="preserve"> </w:t>
      </w:r>
    </w:p>
    <w:tbl>
      <w:tblPr>
        <w:tblStyle w:val="TableGrid"/>
        <w:tblW w:w="9634" w:type="dxa"/>
        <w:tblInd w:w="-147" w:type="dxa"/>
        <w:tblLook w:val="04A0" w:firstRow="1" w:lastRow="0" w:firstColumn="1" w:lastColumn="0" w:noHBand="0" w:noVBand="1"/>
      </w:tblPr>
      <w:tblGrid>
        <w:gridCol w:w="578"/>
        <w:gridCol w:w="2511"/>
        <w:gridCol w:w="1212"/>
        <w:gridCol w:w="1311"/>
        <w:gridCol w:w="4022"/>
      </w:tblGrid>
      <w:tr w:rsidR="00B53EE0" w:rsidRPr="00787BB9" w14:paraId="3B579C4D" w14:textId="77777777" w:rsidTr="004641FA">
        <w:tc>
          <w:tcPr>
            <w:tcW w:w="578" w:type="dxa"/>
          </w:tcPr>
          <w:p w14:paraId="4F4E7A3A" w14:textId="71F65E28" w:rsidR="00B53EE0" w:rsidRPr="00787BB9" w:rsidRDefault="00B53EE0" w:rsidP="006374E1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787BB9">
              <w:rPr>
                <w:rFonts w:ascii="Palatino Linotype" w:hAnsi="Palatino Linotype"/>
                <w:b/>
                <w:bCs/>
              </w:rPr>
              <w:t>No.</w:t>
            </w:r>
          </w:p>
        </w:tc>
        <w:tc>
          <w:tcPr>
            <w:tcW w:w="2511" w:type="dxa"/>
          </w:tcPr>
          <w:p w14:paraId="10B3EBC0" w14:textId="68C036AE" w:rsidR="00B53EE0" w:rsidRPr="00787BB9" w:rsidRDefault="00B53EE0" w:rsidP="006374E1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787BB9">
              <w:rPr>
                <w:rFonts w:ascii="Palatino Linotype" w:hAnsi="Palatino Linotype"/>
                <w:b/>
                <w:bCs/>
              </w:rPr>
              <w:t>Judul</w:t>
            </w:r>
          </w:p>
        </w:tc>
        <w:tc>
          <w:tcPr>
            <w:tcW w:w="1212" w:type="dxa"/>
          </w:tcPr>
          <w:p w14:paraId="6167CEB5" w14:textId="30FEB190" w:rsidR="00B53EE0" w:rsidRPr="00787BB9" w:rsidRDefault="00B53EE0" w:rsidP="006374E1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787BB9">
              <w:rPr>
                <w:rFonts w:ascii="Palatino Linotype" w:hAnsi="Palatino Linotype"/>
                <w:b/>
                <w:bCs/>
              </w:rPr>
              <w:t>Penulis</w:t>
            </w:r>
          </w:p>
        </w:tc>
        <w:tc>
          <w:tcPr>
            <w:tcW w:w="1311" w:type="dxa"/>
          </w:tcPr>
          <w:p w14:paraId="1F985CF2" w14:textId="13C32DB3" w:rsidR="00B53EE0" w:rsidRPr="00787BB9" w:rsidRDefault="00B53EE0" w:rsidP="006374E1">
            <w:pPr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 xml:space="preserve">Tahun </w:t>
            </w:r>
          </w:p>
        </w:tc>
        <w:tc>
          <w:tcPr>
            <w:tcW w:w="4022" w:type="dxa"/>
          </w:tcPr>
          <w:p w14:paraId="6671EB2A" w14:textId="2B20ACF7" w:rsidR="00B53EE0" w:rsidRPr="00787BB9" w:rsidRDefault="00B53EE0" w:rsidP="006374E1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787BB9">
              <w:rPr>
                <w:rFonts w:ascii="Palatino Linotype" w:hAnsi="Palatino Linotype"/>
                <w:b/>
                <w:bCs/>
              </w:rPr>
              <w:t>Keterangan</w:t>
            </w:r>
          </w:p>
        </w:tc>
      </w:tr>
      <w:tr w:rsidR="00B53EE0" w:rsidRPr="00787BB9" w14:paraId="0D6806EF" w14:textId="77777777" w:rsidTr="004641FA">
        <w:tc>
          <w:tcPr>
            <w:tcW w:w="578" w:type="dxa"/>
            <w:shd w:val="clear" w:color="auto" w:fill="B4C6E7" w:themeFill="accent1" w:themeFillTint="66"/>
            <w:vAlign w:val="center"/>
          </w:tcPr>
          <w:p w14:paraId="2B13FAFC" w14:textId="4146F295" w:rsidR="00B53EE0" w:rsidRPr="00921E96" w:rsidRDefault="00B53EE0" w:rsidP="00921E96">
            <w:pPr>
              <w:rPr>
                <w:rFonts w:ascii="Palatino Linotype" w:hAnsi="Palatino Linotype"/>
                <w:sz w:val="20"/>
                <w:szCs w:val="20"/>
              </w:rPr>
            </w:pPr>
            <w:r w:rsidRPr="00921E96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2511" w:type="dxa"/>
            <w:shd w:val="clear" w:color="auto" w:fill="B4C6E7" w:themeFill="accent1" w:themeFillTint="66"/>
            <w:vAlign w:val="center"/>
          </w:tcPr>
          <w:p w14:paraId="38905430" w14:textId="3B360B8F" w:rsidR="00B53EE0" w:rsidRPr="00921E96" w:rsidRDefault="00B53EE0" w:rsidP="00921E96">
            <w:pPr>
              <w:rPr>
                <w:rFonts w:ascii="Palatino Linotype" w:hAnsi="Palatino Linotype"/>
                <w:sz w:val="20"/>
                <w:szCs w:val="20"/>
              </w:rPr>
            </w:pPr>
            <w:r w:rsidRPr="00921E96">
              <w:rPr>
                <w:rFonts w:ascii="Palatino Linotype" w:hAnsi="Palatino Linotype" w:cstheme="majorBidi"/>
                <w:i/>
                <w:iCs/>
                <w:sz w:val="20"/>
                <w:szCs w:val="20"/>
              </w:rPr>
              <w:t>Narrative, intertext and allusion in the Qur'anic presentation of Job</w:t>
            </w:r>
          </w:p>
        </w:tc>
        <w:tc>
          <w:tcPr>
            <w:tcW w:w="1212" w:type="dxa"/>
            <w:shd w:val="clear" w:color="auto" w:fill="B4C6E7" w:themeFill="accent1" w:themeFillTint="66"/>
            <w:vAlign w:val="center"/>
          </w:tcPr>
          <w:p w14:paraId="13FA8996" w14:textId="6B6A75B2" w:rsidR="00B53EE0" w:rsidRPr="00921E96" w:rsidRDefault="00B53EE0" w:rsidP="009A493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21E96">
              <w:rPr>
                <w:rFonts w:ascii="Palatino Linotype" w:hAnsi="Palatino Linotype"/>
                <w:sz w:val="20"/>
                <w:szCs w:val="20"/>
              </w:rPr>
              <w:t>A.H. Johns</w:t>
            </w:r>
          </w:p>
        </w:tc>
        <w:tc>
          <w:tcPr>
            <w:tcW w:w="1311" w:type="dxa"/>
            <w:shd w:val="clear" w:color="auto" w:fill="B4C6E7" w:themeFill="accent1" w:themeFillTint="66"/>
            <w:vAlign w:val="center"/>
          </w:tcPr>
          <w:p w14:paraId="2EE24796" w14:textId="41253B60" w:rsidR="00B53EE0" w:rsidRPr="00921E96" w:rsidRDefault="00B53EE0" w:rsidP="00B53EE0">
            <w:pPr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>
              <w:rPr>
                <w:rFonts w:ascii="Palatino Linotype" w:hAnsi="Palatino Linotype" w:cstheme="majorBidi"/>
                <w:sz w:val="20"/>
                <w:szCs w:val="20"/>
              </w:rPr>
              <w:t>1999</w:t>
            </w:r>
          </w:p>
        </w:tc>
        <w:tc>
          <w:tcPr>
            <w:tcW w:w="4022" w:type="dxa"/>
            <w:shd w:val="clear" w:color="auto" w:fill="B4C6E7" w:themeFill="accent1" w:themeFillTint="66"/>
          </w:tcPr>
          <w:p w14:paraId="0D7CF24C" w14:textId="333261E4" w:rsidR="00B53EE0" w:rsidRPr="00921E96" w:rsidRDefault="00B53EE0">
            <w:pPr>
              <w:rPr>
                <w:rFonts w:ascii="Palatino Linotype" w:hAnsi="Palatino Linotype"/>
                <w:sz w:val="20"/>
                <w:szCs w:val="20"/>
              </w:rPr>
            </w:pPr>
            <w:r w:rsidRPr="00921E96">
              <w:rPr>
                <w:rFonts w:ascii="Palatino Linotype" w:hAnsi="Palatino Linotype" w:cstheme="majorBidi"/>
                <w:sz w:val="20"/>
                <w:szCs w:val="20"/>
              </w:rPr>
              <w:t xml:space="preserve">Penelitian ini mengungkap terkait berbagai penafsiran kisah Nabi Ayub dalam al-Qur`an dengan beberapa pendekatan sastra seperti: naratologi, intertekstual dan kata kiasan. </w:t>
            </w:r>
          </w:p>
        </w:tc>
      </w:tr>
      <w:tr w:rsidR="00B53EE0" w:rsidRPr="00787BB9" w14:paraId="773AB19A" w14:textId="77777777" w:rsidTr="004641FA">
        <w:tc>
          <w:tcPr>
            <w:tcW w:w="578" w:type="dxa"/>
            <w:shd w:val="clear" w:color="auto" w:fill="B4C6E7" w:themeFill="accent1" w:themeFillTint="66"/>
            <w:vAlign w:val="center"/>
          </w:tcPr>
          <w:p w14:paraId="4215E5E9" w14:textId="29EE3F12" w:rsidR="00B53EE0" w:rsidRPr="00921E96" w:rsidRDefault="00B53EE0" w:rsidP="00921E96">
            <w:pPr>
              <w:rPr>
                <w:rFonts w:ascii="Palatino Linotype" w:hAnsi="Palatino Linotype"/>
                <w:sz w:val="20"/>
                <w:szCs w:val="20"/>
              </w:rPr>
            </w:pPr>
            <w:r w:rsidRPr="00921E96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2511" w:type="dxa"/>
            <w:shd w:val="clear" w:color="auto" w:fill="B4C6E7" w:themeFill="accent1" w:themeFillTint="66"/>
            <w:vAlign w:val="center"/>
          </w:tcPr>
          <w:p w14:paraId="5D21ED8A" w14:textId="150ED52E" w:rsidR="00B53EE0" w:rsidRPr="00921E96" w:rsidRDefault="00B53EE0" w:rsidP="00921E96">
            <w:pPr>
              <w:rPr>
                <w:rFonts w:ascii="Palatino Linotype" w:hAnsi="Palatino Linotype" w:cstheme="majorBidi"/>
                <w:i/>
                <w:iCs/>
                <w:sz w:val="20"/>
                <w:szCs w:val="20"/>
              </w:rPr>
            </w:pPr>
            <w:bookmarkStart w:id="0" w:name="_Hlk171337380"/>
            <w:r w:rsidRPr="00921E96">
              <w:rPr>
                <w:rFonts w:ascii="Palatino Linotype" w:hAnsi="Palatino Linotype" w:cstheme="majorBidi"/>
                <w:i/>
                <w:iCs/>
                <w:sz w:val="20"/>
                <w:szCs w:val="20"/>
              </w:rPr>
              <w:t>Holy G</w:t>
            </w:r>
            <w:r>
              <w:rPr>
                <w:rFonts w:ascii="Palatino Linotype" w:hAnsi="Palatino Linotype" w:cstheme="majorBidi"/>
                <w:i/>
                <w:iCs/>
                <w:sz w:val="20"/>
                <w:szCs w:val="20"/>
              </w:rPr>
              <w:t>r</w:t>
            </w:r>
            <w:r w:rsidRPr="00921E96">
              <w:rPr>
                <w:rFonts w:ascii="Palatino Linotype" w:hAnsi="Palatino Linotype" w:cstheme="majorBidi"/>
                <w:i/>
                <w:iCs/>
                <w:sz w:val="20"/>
                <w:szCs w:val="20"/>
              </w:rPr>
              <w:t xml:space="preserve">ound; A Space to Share </w:t>
            </w:r>
            <w:bookmarkEnd w:id="0"/>
          </w:p>
        </w:tc>
        <w:tc>
          <w:tcPr>
            <w:tcW w:w="1212" w:type="dxa"/>
            <w:shd w:val="clear" w:color="auto" w:fill="B4C6E7" w:themeFill="accent1" w:themeFillTint="66"/>
            <w:vAlign w:val="center"/>
          </w:tcPr>
          <w:p w14:paraId="79A2B56D" w14:textId="6E320C4C" w:rsidR="00B53EE0" w:rsidRPr="00921E96" w:rsidRDefault="00B53EE0" w:rsidP="009A493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21E96">
              <w:rPr>
                <w:rFonts w:ascii="Palatino Linotype" w:hAnsi="Palatino Linotype"/>
                <w:sz w:val="20"/>
                <w:szCs w:val="20"/>
              </w:rPr>
              <w:t>A.H Johns</w:t>
            </w:r>
          </w:p>
        </w:tc>
        <w:tc>
          <w:tcPr>
            <w:tcW w:w="1311" w:type="dxa"/>
            <w:shd w:val="clear" w:color="auto" w:fill="B4C6E7" w:themeFill="accent1" w:themeFillTint="66"/>
            <w:vAlign w:val="center"/>
          </w:tcPr>
          <w:p w14:paraId="0D450880" w14:textId="0616F027" w:rsidR="00B53EE0" w:rsidRPr="00921E96" w:rsidRDefault="00B53EE0" w:rsidP="00B53EE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2010</w:t>
            </w:r>
          </w:p>
        </w:tc>
        <w:tc>
          <w:tcPr>
            <w:tcW w:w="4022" w:type="dxa"/>
            <w:shd w:val="clear" w:color="auto" w:fill="B4C6E7" w:themeFill="accent1" w:themeFillTint="66"/>
          </w:tcPr>
          <w:p w14:paraId="7216FED2" w14:textId="39E12494" w:rsidR="00B53EE0" w:rsidRPr="00921E96" w:rsidRDefault="00B53EE0">
            <w:pPr>
              <w:rPr>
                <w:rFonts w:ascii="Palatino Linotype" w:hAnsi="Palatino Linotype"/>
                <w:sz w:val="20"/>
                <w:szCs w:val="20"/>
              </w:rPr>
            </w:pPr>
            <w:r w:rsidRPr="00921E96">
              <w:rPr>
                <w:rFonts w:ascii="Palatino Linotype" w:hAnsi="Palatino Linotype"/>
                <w:sz w:val="20"/>
                <w:szCs w:val="20"/>
              </w:rPr>
              <w:t xml:space="preserve">Penelitian yang menjelaskan argumentasi A.H Johns tentang al-Qur`an sebagai proses dan </w:t>
            </w:r>
            <w:r>
              <w:rPr>
                <w:rFonts w:ascii="Palatino Linotype" w:hAnsi="Palatino Linotype"/>
                <w:sz w:val="20"/>
                <w:szCs w:val="20"/>
              </w:rPr>
              <w:t>peristiwa</w:t>
            </w:r>
            <w:r w:rsidRPr="00921E96">
              <w:rPr>
                <w:rFonts w:ascii="Palatino Linotype" w:hAnsi="Palatino Linotype"/>
                <w:sz w:val="20"/>
                <w:szCs w:val="20"/>
              </w:rPr>
              <w:t xml:space="preserve"> dengan pendekatan sirah nabawiyah yang terjadi di dua kota utama —Mekkah dan Madinah.  </w:t>
            </w:r>
          </w:p>
        </w:tc>
      </w:tr>
      <w:tr w:rsidR="00B53EE0" w:rsidRPr="00787BB9" w14:paraId="03A1E571" w14:textId="77777777" w:rsidTr="004641FA">
        <w:tc>
          <w:tcPr>
            <w:tcW w:w="578" w:type="dxa"/>
            <w:shd w:val="clear" w:color="auto" w:fill="B4C6E7" w:themeFill="accent1" w:themeFillTint="66"/>
            <w:vAlign w:val="center"/>
          </w:tcPr>
          <w:p w14:paraId="0D3C119E" w14:textId="33F657C7" w:rsidR="00B53EE0" w:rsidRPr="00921E96" w:rsidRDefault="00B53EE0" w:rsidP="00921E96">
            <w:pPr>
              <w:rPr>
                <w:rFonts w:ascii="Palatino Linotype" w:hAnsi="Palatino Linotype"/>
                <w:sz w:val="20"/>
                <w:szCs w:val="20"/>
              </w:rPr>
            </w:pPr>
            <w:r w:rsidRPr="00921E96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2511" w:type="dxa"/>
            <w:shd w:val="clear" w:color="auto" w:fill="B4C6E7" w:themeFill="accent1" w:themeFillTint="66"/>
            <w:vAlign w:val="center"/>
          </w:tcPr>
          <w:p w14:paraId="547C8F86" w14:textId="3BEE9869" w:rsidR="00B53EE0" w:rsidRPr="00921E96" w:rsidRDefault="00B53EE0" w:rsidP="00921E96">
            <w:pPr>
              <w:rPr>
                <w:rFonts w:ascii="Palatino Linotype" w:hAnsi="Palatino Linotype" w:cstheme="majorBidi"/>
                <w:i/>
                <w:iCs/>
                <w:sz w:val="20"/>
                <w:szCs w:val="20"/>
              </w:rPr>
            </w:pPr>
            <w:bookmarkStart w:id="1" w:name="_Hlk171336743"/>
            <w:r w:rsidRPr="00921E96">
              <w:rPr>
                <w:rFonts w:ascii="Palatino Linotype" w:hAnsi="Palatino Linotype" w:cstheme="majorBidi"/>
                <w:i/>
                <w:iCs/>
                <w:sz w:val="20"/>
                <w:szCs w:val="20"/>
              </w:rPr>
              <w:t>Three Stories of a Prophet: Al-Tabarī's Treatment of Job in Sūrah al-Anbiyā'83–4</w:t>
            </w:r>
            <w:bookmarkEnd w:id="1"/>
          </w:p>
        </w:tc>
        <w:tc>
          <w:tcPr>
            <w:tcW w:w="1212" w:type="dxa"/>
            <w:shd w:val="clear" w:color="auto" w:fill="B4C6E7" w:themeFill="accent1" w:themeFillTint="66"/>
            <w:vAlign w:val="center"/>
          </w:tcPr>
          <w:p w14:paraId="499AD934" w14:textId="110EA956" w:rsidR="00B53EE0" w:rsidRPr="00921E96" w:rsidRDefault="00B53EE0" w:rsidP="009A493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21E96">
              <w:rPr>
                <w:rFonts w:ascii="Palatino Linotype" w:hAnsi="Palatino Linotype"/>
                <w:sz w:val="20"/>
                <w:szCs w:val="20"/>
              </w:rPr>
              <w:t>A.H Johns</w:t>
            </w:r>
          </w:p>
        </w:tc>
        <w:tc>
          <w:tcPr>
            <w:tcW w:w="1311" w:type="dxa"/>
            <w:shd w:val="clear" w:color="auto" w:fill="B4C6E7" w:themeFill="accent1" w:themeFillTint="66"/>
            <w:vAlign w:val="center"/>
          </w:tcPr>
          <w:p w14:paraId="0DFA2E75" w14:textId="44566D57" w:rsidR="00B53EE0" w:rsidRPr="00921E96" w:rsidRDefault="00B53EE0" w:rsidP="00B53EE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2001</w:t>
            </w:r>
          </w:p>
        </w:tc>
        <w:tc>
          <w:tcPr>
            <w:tcW w:w="4022" w:type="dxa"/>
            <w:shd w:val="clear" w:color="auto" w:fill="B4C6E7" w:themeFill="accent1" w:themeFillTint="66"/>
          </w:tcPr>
          <w:p w14:paraId="548B6B58" w14:textId="2C63DBF6" w:rsidR="00B53EE0" w:rsidRPr="00921E96" w:rsidRDefault="00B53EE0">
            <w:pPr>
              <w:rPr>
                <w:rFonts w:ascii="Palatino Linotype" w:hAnsi="Palatino Linotype"/>
                <w:sz w:val="20"/>
                <w:szCs w:val="20"/>
              </w:rPr>
            </w:pPr>
            <w:r w:rsidRPr="00921E96">
              <w:rPr>
                <w:rFonts w:ascii="Palatino Linotype" w:hAnsi="Palatino Linotype"/>
                <w:sz w:val="20"/>
                <w:szCs w:val="20"/>
              </w:rPr>
              <w:t>Penelitian kisah Nabi Ayub dari kitab Tafsir Jami` Al-Bayan Karya Imam Tabrani yang terbagi menjadi 3 bentuk penceritaan : 2 cerita dinukil oleh Wahb ibnu Munabbih dan 2 cerita dinukil oleh al-Hasan al-Basri.</w:t>
            </w:r>
          </w:p>
        </w:tc>
      </w:tr>
      <w:tr w:rsidR="00B53EE0" w:rsidRPr="00787BB9" w14:paraId="77D6CAD5" w14:textId="77777777" w:rsidTr="004641FA">
        <w:tc>
          <w:tcPr>
            <w:tcW w:w="578" w:type="dxa"/>
            <w:shd w:val="clear" w:color="auto" w:fill="B4C6E7" w:themeFill="accent1" w:themeFillTint="66"/>
            <w:vAlign w:val="center"/>
          </w:tcPr>
          <w:p w14:paraId="6ADEB093" w14:textId="60475179" w:rsidR="00B53EE0" w:rsidRPr="00921E96" w:rsidRDefault="00B53EE0" w:rsidP="00921E96">
            <w:pPr>
              <w:rPr>
                <w:rFonts w:ascii="Palatino Linotype" w:hAnsi="Palatino Linotype"/>
                <w:sz w:val="20"/>
                <w:szCs w:val="20"/>
              </w:rPr>
            </w:pPr>
            <w:r w:rsidRPr="00921E96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2511" w:type="dxa"/>
            <w:shd w:val="clear" w:color="auto" w:fill="B4C6E7" w:themeFill="accent1" w:themeFillTint="66"/>
            <w:vAlign w:val="center"/>
          </w:tcPr>
          <w:p w14:paraId="7C28E89E" w14:textId="58AD9CB0" w:rsidR="00B53EE0" w:rsidRPr="00921E96" w:rsidRDefault="00B53EE0" w:rsidP="00921E96">
            <w:pPr>
              <w:rPr>
                <w:rFonts w:ascii="Palatino Linotype" w:hAnsi="Palatino Linotype"/>
                <w:sz w:val="20"/>
                <w:szCs w:val="20"/>
              </w:rPr>
            </w:pPr>
            <w:r w:rsidRPr="00921E96">
              <w:rPr>
                <w:rFonts w:ascii="Palatino Linotype" w:hAnsi="Palatino Linotype" w:cstheme="majorBidi"/>
                <w:sz w:val="20"/>
                <w:szCs w:val="20"/>
              </w:rPr>
              <w:t xml:space="preserve">Memahami Narasi Kisah al-Qur`an dengan </w:t>
            </w:r>
            <w:r w:rsidRPr="00921E96">
              <w:rPr>
                <w:rFonts w:ascii="Palatino Linotype" w:hAnsi="Palatino Linotype" w:cstheme="majorBidi"/>
                <w:i/>
                <w:iCs/>
                <w:sz w:val="20"/>
                <w:szCs w:val="20"/>
              </w:rPr>
              <w:t>Narrative Critism</w:t>
            </w:r>
            <w:r w:rsidRPr="00921E96">
              <w:rPr>
                <w:rFonts w:ascii="Palatino Linotype" w:hAnsi="Palatino Linotype" w:cstheme="majorBidi"/>
                <w:sz w:val="20"/>
                <w:szCs w:val="20"/>
              </w:rPr>
              <w:t>; Studi atas kajain A.H Johns</w:t>
            </w:r>
          </w:p>
        </w:tc>
        <w:tc>
          <w:tcPr>
            <w:tcW w:w="1212" w:type="dxa"/>
            <w:shd w:val="clear" w:color="auto" w:fill="B4C6E7" w:themeFill="accent1" w:themeFillTint="66"/>
            <w:vAlign w:val="center"/>
          </w:tcPr>
          <w:p w14:paraId="4870E0EC" w14:textId="7A83071B" w:rsidR="00B53EE0" w:rsidRPr="00921E96" w:rsidRDefault="00B53EE0" w:rsidP="009A493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21E96">
              <w:rPr>
                <w:rFonts w:ascii="Palatino Linotype" w:hAnsi="Palatino Linotype"/>
                <w:sz w:val="20"/>
                <w:szCs w:val="20"/>
              </w:rPr>
              <w:t>Wardatun Nadhiroh</w:t>
            </w:r>
          </w:p>
        </w:tc>
        <w:tc>
          <w:tcPr>
            <w:tcW w:w="1311" w:type="dxa"/>
            <w:shd w:val="clear" w:color="auto" w:fill="B4C6E7" w:themeFill="accent1" w:themeFillTint="66"/>
            <w:vAlign w:val="center"/>
          </w:tcPr>
          <w:p w14:paraId="7284AE25" w14:textId="5745A320" w:rsidR="00B53EE0" w:rsidRPr="00921E96" w:rsidRDefault="00B53EE0" w:rsidP="00B53EE0">
            <w:pPr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>
              <w:rPr>
                <w:rFonts w:ascii="Palatino Linotype" w:hAnsi="Palatino Linotype" w:cstheme="majorBidi"/>
                <w:sz w:val="20"/>
                <w:szCs w:val="20"/>
              </w:rPr>
              <w:t>2013</w:t>
            </w:r>
          </w:p>
        </w:tc>
        <w:tc>
          <w:tcPr>
            <w:tcW w:w="4022" w:type="dxa"/>
            <w:shd w:val="clear" w:color="auto" w:fill="B4C6E7" w:themeFill="accent1" w:themeFillTint="66"/>
          </w:tcPr>
          <w:p w14:paraId="2D718A63" w14:textId="51D4F9EC" w:rsidR="00B53EE0" w:rsidRPr="00921E96" w:rsidRDefault="00B53EE0">
            <w:pPr>
              <w:rPr>
                <w:rFonts w:ascii="Palatino Linotype" w:hAnsi="Palatino Linotype"/>
                <w:sz w:val="20"/>
                <w:szCs w:val="20"/>
              </w:rPr>
            </w:pPr>
            <w:r w:rsidRPr="00921E96">
              <w:rPr>
                <w:rFonts w:ascii="Palatino Linotype" w:hAnsi="Palatino Linotype" w:cstheme="majorBidi"/>
                <w:sz w:val="20"/>
                <w:szCs w:val="20"/>
              </w:rPr>
              <w:t xml:space="preserve">Penelitian ini bahkan mengimplementasikan salah satu inovasi teori A.H Johns dalam memaknai kisah-kisah Nabi dalam al-Qur`an, yaitu </w:t>
            </w:r>
            <w:r w:rsidRPr="00921E96">
              <w:rPr>
                <w:rFonts w:ascii="Palatino Linotype" w:hAnsi="Palatino Linotype" w:cstheme="majorBidi"/>
                <w:i/>
                <w:iCs/>
                <w:sz w:val="20"/>
                <w:szCs w:val="20"/>
              </w:rPr>
              <w:t>Narrative Critism</w:t>
            </w:r>
            <w:r w:rsidRPr="00921E96">
              <w:rPr>
                <w:rFonts w:ascii="Palatino Linotype" w:hAnsi="Palatino Linotype" w:cstheme="majorBidi"/>
                <w:sz w:val="20"/>
                <w:szCs w:val="20"/>
              </w:rPr>
              <w:t>—atau bisa diartikan sebagai kritik naratif</w:t>
            </w:r>
          </w:p>
        </w:tc>
      </w:tr>
      <w:tr w:rsidR="00B53EE0" w:rsidRPr="00787BB9" w14:paraId="2F797A9F" w14:textId="77777777" w:rsidTr="004641FA">
        <w:tc>
          <w:tcPr>
            <w:tcW w:w="578" w:type="dxa"/>
            <w:shd w:val="clear" w:color="auto" w:fill="B4C6E7" w:themeFill="accent1" w:themeFillTint="66"/>
            <w:vAlign w:val="center"/>
          </w:tcPr>
          <w:p w14:paraId="0630498A" w14:textId="400C42A8" w:rsidR="00B53EE0" w:rsidRPr="00921E96" w:rsidRDefault="00B53EE0" w:rsidP="00921E96">
            <w:pPr>
              <w:rPr>
                <w:rFonts w:ascii="Palatino Linotype" w:hAnsi="Palatino Linotype"/>
                <w:sz w:val="20"/>
                <w:szCs w:val="20"/>
              </w:rPr>
            </w:pPr>
            <w:r w:rsidRPr="00921E96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2511" w:type="dxa"/>
            <w:shd w:val="clear" w:color="auto" w:fill="B4C6E7" w:themeFill="accent1" w:themeFillTint="66"/>
            <w:vAlign w:val="center"/>
          </w:tcPr>
          <w:p w14:paraId="0581E5DD" w14:textId="1F773667" w:rsidR="00B53EE0" w:rsidRPr="00921E96" w:rsidRDefault="00B53EE0" w:rsidP="00921E96">
            <w:pPr>
              <w:rPr>
                <w:rFonts w:ascii="Palatino Linotype" w:hAnsi="Palatino Linotype"/>
                <w:sz w:val="20"/>
                <w:szCs w:val="20"/>
              </w:rPr>
            </w:pPr>
            <w:r w:rsidRPr="00921E96">
              <w:rPr>
                <w:rFonts w:ascii="Palatino Linotype" w:hAnsi="Palatino Linotype"/>
                <w:sz w:val="20"/>
                <w:szCs w:val="20"/>
              </w:rPr>
              <w:t>Pendekatan Kritik Naratif A.H. Johns terhadap Narasi Dialog dalam Surah Yūsuf</w:t>
            </w:r>
          </w:p>
        </w:tc>
        <w:tc>
          <w:tcPr>
            <w:tcW w:w="1212" w:type="dxa"/>
            <w:shd w:val="clear" w:color="auto" w:fill="B4C6E7" w:themeFill="accent1" w:themeFillTint="66"/>
            <w:vAlign w:val="center"/>
          </w:tcPr>
          <w:p w14:paraId="635C01A3" w14:textId="0FB47FDD" w:rsidR="00B53EE0" w:rsidRPr="00921E96" w:rsidRDefault="00B53EE0" w:rsidP="009A493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21E96">
              <w:rPr>
                <w:rFonts w:ascii="Palatino Linotype" w:hAnsi="Palatino Linotype"/>
                <w:sz w:val="20"/>
                <w:szCs w:val="20"/>
              </w:rPr>
              <w:t>Akrimi Matswah</w:t>
            </w:r>
          </w:p>
        </w:tc>
        <w:tc>
          <w:tcPr>
            <w:tcW w:w="1311" w:type="dxa"/>
            <w:shd w:val="clear" w:color="auto" w:fill="B4C6E7" w:themeFill="accent1" w:themeFillTint="66"/>
            <w:vAlign w:val="center"/>
          </w:tcPr>
          <w:p w14:paraId="5FDC4312" w14:textId="60093422" w:rsidR="00B53EE0" w:rsidRPr="00921E96" w:rsidRDefault="00B53EE0" w:rsidP="00B53EE0">
            <w:pPr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>
              <w:rPr>
                <w:rFonts w:ascii="Palatino Linotype" w:hAnsi="Palatino Linotype" w:cstheme="majorBidi"/>
                <w:sz w:val="20"/>
                <w:szCs w:val="20"/>
              </w:rPr>
              <w:t>2018</w:t>
            </w:r>
          </w:p>
        </w:tc>
        <w:tc>
          <w:tcPr>
            <w:tcW w:w="4022" w:type="dxa"/>
            <w:shd w:val="clear" w:color="auto" w:fill="B4C6E7" w:themeFill="accent1" w:themeFillTint="66"/>
          </w:tcPr>
          <w:p w14:paraId="5BB7A673" w14:textId="6719B25B" w:rsidR="00B53EE0" w:rsidRPr="00921E96" w:rsidRDefault="00B53EE0">
            <w:pPr>
              <w:rPr>
                <w:rFonts w:ascii="Palatino Linotype" w:hAnsi="Palatino Linotype"/>
                <w:sz w:val="20"/>
                <w:szCs w:val="20"/>
              </w:rPr>
            </w:pPr>
            <w:r w:rsidRPr="00921E96">
              <w:rPr>
                <w:rFonts w:ascii="Palatino Linotype" w:hAnsi="Palatino Linotype" w:cstheme="majorBidi"/>
                <w:sz w:val="20"/>
                <w:szCs w:val="20"/>
              </w:rPr>
              <w:t>Penelitian ini menjelaskans secara aplikatif, tentang bagaimana kritik naratif mampu menjelaskan runtutan kisah Nabi Yusuf dengan menggunakan konsep alur penceritaan</w:t>
            </w:r>
          </w:p>
        </w:tc>
      </w:tr>
      <w:tr w:rsidR="00B53EE0" w:rsidRPr="00787BB9" w14:paraId="1BEB728F" w14:textId="77777777" w:rsidTr="004641FA">
        <w:tc>
          <w:tcPr>
            <w:tcW w:w="578" w:type="dxa"/>
            <w:shd w:val="clear" w:color="auto" w:fill="B4C6E7" w:themeFill="accent1" w:themeFillTint="66"/>
            <w:vAlign w:val="center"/>
          </w:tcPr>
          <w:p w14:paraId="6261EE5E" w14:textId="303F4811" w:rsidR="00B53EE0" w:rsidRPr="00921E96" w:rsidRDefault="00B53EE0" w:rsidP="00921E96">
            <w:pPr>
              <w:rPr>
                <w:rFonts w:ascii="Palatino Linotype" w:hAnsi="Palatino Linotype"/>
                <w:sz w:val="20"/>
                <w:szCs w:val="20"/>
              </w:rPr>
            </w:pPr>
            <w:r w:rsidRPr="00921E96">
              <w:rPr>
                <w:rFonts w:ascii="Palatino Linotype" w:hAnsi="Palatino Linotype"/>
                <w:sz w:val="20"/>
                <w:szCs w:val="20"/>
              </w:rPr>
              <w:t>6</w:t>
            </w:r>
          </w:p>
        </w:tc>
        <w:tc>
          <w:tcPr>
            <w:tcW w:w="2511" w:type="dxa"/>
            <w:shd w:val="clear" w:color="auto" w:fill="B4C6E7" w:themeFill="accent1" w:themeFillTint="66"/>
            <w:vAlign w:val="center"/>
          </w:tcPr>
          <w:p w14:paraId="6202665C" w14:textId="2548DB71" w:rsidR="00B53EE0" w:rsidRPr="00921E96" w:rsidRDefault="00B53EE0" w:rsidP="00921E96">
            <w:pPr>
              <w:rPr>
                <w:rFonts w:ascii="Palatino Linotype" w:hAnsi="Palatino Linotype"/>
                <w:sz w:val="20"/>
                <w:szCs w:val="20"/>
              </w:rPr>
            </w:pPr>
            <w:r w:rsidRPr="00921E96">
              <w:rPr>
                <w:rFonts w:ascii="Palatino Linotype" w:hAnsi="Palatino Linotype"/>
                <w:sz w:val="20"/>
                <w:szCs w:val="20"/>
              </w:rPr>
              <w:t>Joseph in the Qur’ān, a prophetic narrative. Incidents and specific language</w:t>
            </w:r>
          </w:p>
        </w:tc>
        <w:tc>
          <w:tcPr>
            <w:tcW w:w="1212" w:type="dxa"/>
            <w:shd w:val="clear" w:color="auto" w:fill="B4C6E7" w:themeFill="accent1" w:themeFillTint="66"/>
            <w:vAlign w:val="center"/>
          </w:tcPr>
          <w:p w14:paraId="111DCBF0" w14:textId="08F19955" w:rsidR="00B53EE0" w:rsidRPr="00921E96" w:rsidRDefault="00B53EE0" w:rsidP="009A493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21E96">
              <w:rPr>
                <w:rFonts w:ascii="Palatino Linotype" w:hAnsi="Palatino Linotype"/>
                <w:sz w:val="20"/>
                <w:szCs w:val="20"/>
              </w:rPr>
              <w:t xml:space="preserve">Antonio Cuciniello </w:t>
            </w:r>
          </w:p>
        </w:tc>
        <w:tc>
          <w:tcPr>
            <w:tcW w:w="1311" w:type="dxa"/>
            <w:shd w:val="clear" w:color="auto" w:fill="B4C6E7" w:themeFill="accent1" w:themeFillTint="66"/>
            <w:vAlign w:val="center"/>
          </w:tcPr>
          <w:p w14:paraId="1D6C6C5A" w14:textId="2E1C0D66" w:rsidR="00B53EE0" w:rsidRPr="00921E96" w:rsidRDefault="00B53EE0" w:rsidP="00B53EE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2019</w:t>
            </w:r>
          </w:p>
        </w:tc>
        <w:tc>
          <w:tcPr>
            <w:tcW w:w="4022" w:type="dxa"/>
            <w:shd w:val="clear" w:color="auto" w:fill="B4C6E7" w:themeFill="accent1" w:themeFillTint="66"/>
          </w:tcPr>
          <w:p w14:paraId="3F257AF9" w14:textId="2005E69A" w:rsidR="00B53EE0" w:rsidRPr="00921E96" w:rsidRDefault="00B53EE0">
            <w:pPr>
              <w:rPr>
                <w:rFonts w:ascii="Palatino Linotype" w:hAnsi="Palatino Linotype"/>
                <w:sz w:val="20"/>
                <w:szCs w:val="20"/>
              </w:rPr>
            </w:pPr>
            <w:r w:rsidRPr="00921E96">
              <w:rPr>
                <w:rFonts w:ascii="Palatino Linotype" w:hAnsi="Palatino Linotype"/>
                <w:sz w:val="20"/>
                <w:szCs w:val="20"/>
              </w:rPr>
              <w:t>Objek esainya adalah nubuatan dalam Al-Qur’an, melalui kisah para nabi dan bahasa yang mereka gunakan. Secara khusus, narasi Al-Qur’an dan cerita  Yusuf telah dikaji secara sistematis, dengan tujuan memperkenalkan pembacaan kisah yang simetris antara peristiwa dan bahasa tertentu. Penekanannya diberikan pada aspek filologis, dengan memfokuskan analisis pada Al-Qur'an versi Arab, untuk mencoba menggambarkan profil pribadi Yusuf dan, pada saat yang sama, untuk mencoba melawan pendekatan yang mengklaim untuk melihat seluruh utusan Al-Qur'an hanya dalam fungsi instrumentalnya dalam dakwah Muhammad.</w:t>
            </w:r>
          </w:p>
        </w:tc>
      </w:tr>
      <w:tr w:rsidR="00B53EE0" w:rsidRPr="00787BB9" w14:paraId="295FDD87" w14:textId="77777777" w:rsidTr="004641FA">
        <w:tc>
          <w:tcPr>
            <w:tcW w:w="578" w:type="dxa"/>
            <w:shd w:val="clear" w:color="auto" w:fill="B4C6E7" w:themeFill="accent1" w:themeFillTint="66"/>
            <w:vAlign w:val="center"/>
          </w:tcPr>
          <w:p w14:paraId="32969218" w14:textId="076AE61E" w:rsidR="00B53EE0" w:rsidRPr="00921E96" w:rsidRDefault="00B53EE0" w:rsidP="00921E96">
            <w:pPr>
              <w:rPr>
                <w:rFonts w:ascii="Palatino Linotype" w:hAnsi="Palatino Linotype"/>
                <w:sz w:val="20"/>
                <w:szCs w:val="20"/>
              </w:rPr>
            </w:pPr>
            <w:r w:rsidRPr="00921E96">
              <w:rPr>
                <w:rFonts w:ascii="Palatino Linotype" w:hAnsi="Palatino Linotype"/>
                <w:sz w:val="20"/>
                <w:szCs w:val="20"/>
              </w:rPr>
              <w:t>7</w:t>
            </w:r>
          </w:p>
        </w:tc>
        <w:tc>
          <w:tcPr>
            <w:tcW w:w="2511" w:type="dxa"/>
            <w:shd w:val="clear" w:color="auto" w:fill="B4C6E7" w:themeFill="accent1" w:themeFillTint="66"/>
            <w:vAlign w:val="center"/>
          </w:tcPr>
          <w:p w14:paraId="556F7AC2" w14:textId="3A5D8BE6" w:rsidR="00B53EE0" w:rsidRPr="00921E96" w:rsidRDefault="00B53EE0" w:rsidP="00921E96">
            <w:pPr>
              <w:rPr>
                <w:rFonts w:ascii="Palatino Linotype" w:hAnsi="Palatino Linotype"/>
                <w:sz w:val="20"/>
                <w:szCs w:val="20"/>
              </w:rPr>
            </w:pPr>
            <w:r w:rsidRPr="00921E96">
              <w:rPr>
                <w:rFonts w:ascii="Palatino Linotype" w:hAnsi="Palatino Linotype"/>
                <w:sz w:val="20"/>
                <w:szCs w:val="20"/>
              </w:rPr>
              <w:t>Pendekatan Sastra dalam Tafsir Ayat Kisah: Studi Komparatif Pemikiran Ahmad Khalfullah dan A.H Johns</w:t>
            </w:r>
          </w:p>
        </w:tc>
        <w:tc>
          <w:tcPr>
            <w:tcW w:w="1212" w:type="dxa"/>
            <w:shd w:val="clear" w:color="auto" w:fill="B4C6E7" w:themeFill="accent1" w:themeFillTint="66"/>
            <w:vAlign w:val="center"/>
          </w:tcPr>
          <w:p w14:paraId="30C54EBA" w14:textId="56556F21" w:rsidR="00B53EE0" w:rsidRPr="00921E96" w:rsidRDefault="00B53EE0" w:rsidP="009A493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21E96">
              <w:rPr>
                <w:rFonts w:ascii="Palatino Linotype" w:hAnsi="Palatino Linotype"/>
                <w:sz w:val="20"/>
                <w:szCs w:val="20"/>
              </w:rPr>
              <w:t>Nu</w:t>
            </w:r>
            <w:r>
              <w:rPr>
                <w:rFonts w:ascii="Palatino Linotype" w:hAnsi="Palatino Linotype"/>
                <w:sz w:val="20"/>
                <w:szCs w:val="20"/>
              </w:rPr>
              <w:t>z</w:t>
            </w:r>
            <w:r w:rsidRPr="00921E96">
              <w:rPr>
                <w:rFonts w:ascii="Palatino Linotype" w:hAnsi="Palatino Linotype"/>
                <w:sz w:val="20"/>
                <w:szCs w:val="20"/>
              </w:rPr>
              <w:t>ul Fitriansyah</w:t>
            </w:r>
          </w:p>
        </w:tc>
        <w:tc>
          <w:tcPr>
            <w:tcW w:w="1311" w:type="dxa"/>
            <w:shd w:val="clear" w:color="auto" w:fill="B4C6E7" w:themeFill="accent1" w:themeFillTint="66"/>
            <w:vAlign w:val="center"/>
          </w:tcPr>
          <w:p w14:paraId="12B2ED37" w14:textId="26BE7BFA" w:rsidR="00B53EE0" w:rsidRPr="00921E96" w:rsidRDefault="00B53EE0" w:rsidP="00B53EE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2020</w:t>
            </w:r>
          </w:p>
        </w:tc>
        <w:tc>
          <w:tcPr>
            <w:tcW w:w="4022" w:type="dxa"/>
            <w:shd w:val="clear" w:color="auto" w:fill="B4C6E7" w:themeFill="accent1" w:themeFillTint="66"/>
          </w:tcPr>
          <w:p w14:paraId="1C69FEC7" w14:textId="63857A55" w:rsidR="00B53EE0" w:rsidRPr="00921E96" w:rsidRDefault="00B53EE0">
            <w:pPr>
              <w:rPr>
                <w:rFonts w:ascii="Palatino Linotype" w:hAnsi="Palatino Linotype"/>
                <w:sz w:val="20"/>
                <w:szCs w:val="20"/>
              </w:rPr>
            </w:pPr>
            <w:r w:rsidRPr="00921E96">
              <w:rPr>
                <w:rFonts w:ascii="Palatino Linotype" w:hAnsi="Palatino Linotype"/>
                <w:sz w:val="20"/>
                <w:szCs w:val="20"/>
              </w:rPr>
              <w:t>Hubungan teoretis antara  AH Johns dengan Ahmad Khalfullah dalam melihat himpunan kisah dalam al-Qur`an sebagai bagaian dari produk sastra.</w:t>
            </w:r>
          </w:p>
        </w:tc>
      </w:tr>
    </w:tbl>
    <w:p w14:paraId="059706E6" w14:textId="77777777" w:rsidR="00D57CA3" w:rsidRPr="00787BB9" w:rsidRDefault="00D57CA3">
      <w:pPr>
        <w:rPr>
          <w:rFonts w:ascii="Palatino Linotype" w:hAnsi="Palatino Linotype"/>
        </w:rPr>
      </w:pPr>
    </w:p>
    <w:sectPr w:rsidR="00D57CA3" w:rsidRPr="00787BB9" w:rsidSect="00921E96">
      <w:pgSz w:w="11906" w:h="16838"/>
      <w:pgMar w:top="127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79"/>
    <w:rsid w:val="00221207"/>
    <w:rsid w:val="00243ABA"/>
    <w:rsid w:val="0031498E"/>
    <w:rsid w:val="004300AD"/>
    <w:rsid w:val="004641FA"/>
    <w:rsid w:val="005E6B53"/>
    <w:rsid w:val="006279DD"/>
    <w:rsid w:val="006374E1"/>
    <w:rsid w:val="006F3D69"/>
    <w:rsid w:val="00787BB9"/>
    <w:rsid w:val="007A410C"/>
    <w:rsid w:val="00921E96"/>
    <w:rsid w:val="009A493E"/>
    <w:rsid w:val="009E3101"/>
    <w:rsid w:val="00A25C2A"/>
    <w:rsid w:val="00B26374"/>
    <w:rsid w:val="00B53EE0"/>
    <w:rsid w:val="00B805C9"/>
    <w:rsid w:val="00D57CA3"/>
    <w:rsid w:val="00D9174E"/>
    <w:rsid w:val="00E8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C565A"/>
  <w15:chartTrackingRefBased/>
  <w15:docId w15:val="{ABB8444A-B17A-4B5C-9E67-E7CE1F55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9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A49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dhana kusuma</dc:creator>
  <cp:keywords/>
  <dc:description/>
  <cp:lastModifiedBy>dhana kusuma</cp:lastModifiedBy>
  <cp:revision>9</cp:revision>
  <dcterms:created xsi:type="dcterms:W3CDTF">2024-07-07T10:06:00Z</dcterms:created>
  <dcterms:modified xsi:type="dcterms:W3CDTF">2024-07-08T10:04:00Z</dcterms:modified>
</cp:coreProperties>
</file>