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5C57" w14:textId="7278240F" w:rsidR="00696C94" w:rsidRDefault="00696C94" w:rsidP="00696C94">
      <w:pPr>
        <w:bidi/>
        <w:jc w:val="center"/>
        <w:rPr>
          <w:rFonts w:ascii="Traditional Arabic" w:hAnsi="Traditional Arabic" w:cs="Traditional Arabic"/>
          <w:b/>
          <w:bCs/>
          <w:sz w:val="32"/>
          <w:szCs w:val="32"/>
        </w:rPr>
      </w:pPr>
      <w:r w:rsidRPr="00696C94">
        <w:rPr>
          <w:rFonts w:ascii="Traditional Arabic" w:hAnsi="Traditional Arabic" w:cs="Traditional Arabic" w:hint="eastAsia"/>
          <w:b/>
          <w:bCs/>
          <w:sz w:val="32"/>
          <w:szCs w:val="32"/>
          <w:rtl/>
        </w:rPr>
        <w:t>مفهوم</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التربية</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في</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سورة</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لقمان</w:t>
      </w:r>
      <w:r w:rsidRPr="00696C94">
        <w:rPr>
          <w:rFonts w:ascii="Traditional Arabic" w:hAnsi="Traditional Arabic" w:cs="Traditional Arabic"/>
          <w:b/>
          <w:bCs/>
          <w:sz w:val="32"/>
          <w:szCs w:val="32"/>
          <w:rtl/>
        </w:rPr>
        <w:t xml:space="preserve">: 12-19 </w:t>
      </w:r>
      <w:r w:rsidRPr="00696C94">
        <w:rPr>
          <w:rFonts w:ascii="Traditional Arabic" w:hAnsi="Traditional Arabic" w:cs="Traditional Arabic" w:hint="eastAsia"/>
          <w:b/>
          <w:bCs/>
          <w:sz w:val="32"/>
          <w:szCs w:val="32"/>
          <w:rtl/>
        </w:rPr>
        <w:t>منظور</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تيسير</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كريم</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الرحمن</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في</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تفسير</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كلام</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المنان</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لعبد</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الرحمن</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بن</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ناصر</w:t>
      </w:r>
      <w:r w:rsidRPr="00696C94">
        <w:rPr>
          <w:rFonts w:ascii="Traditional Arabic" w:hAnsi="Traditional Arabic" w:cs="Traditional Arabic"/>
          <w:b/>
          <w:bCs/>
          <w:sz w:val="32"/>
          <w:szCs w:val="32"/>
          <w:rtl/>
        </w:rPr>
        <w:t xml:space="preserve"> </w:t>
      </w:r>
      <w:r w:rsidRPr="00696C94">
        <w:rPr>
          <w:rFonts w:ascii="Traditional Arabic" w:hAnsi="Traditional Arabic" w:cs="Traditional Arabic" w:hint="eastAsia"/>
          <w:b/>
          <w:bCs/>
          <w:sz w:val="32"/>
          <w:szCs w:val="32"/>
          <w:rtl/>
        </w:rPr>
        <w:t>الصعيدي</w:t>
      </w:r>
    </w:p>
    <w:p w14:paraId="50781065" w14:textId="77777777" w:rsidR="00696C94" w:rsidRDefault="00696C94" w:rsidP="00696C94">
      <w:pPr>
        <w:bidi/>
        <w:rPr>
          <w:rFonts w:ascii="Traditional Arabic" w:hAnsi="Traditional Arabic" w:cs="Traditional Arabic"/>
          <w:b/>
          <w:bCs/>
          <w:sz w:val="32"/>
          <w:szCs w:val="32"/>
        </w:rPr>
      </w:pPr>
    </w:p>
    <w:p w14:paraId="57D549A1" w14:textId="5E1E6E3D" w:rsidR="00462A83" w:rsidRPr="009657B8" w:rsidRDefault="00462A83" w:rsidP="00696C94">
      <w:pPr>
        <w:bidi/>
        <w:rPr>
          <w:rFonts w:ascii="Traditional Arabic" w:hAnsi="Traditional Arabic" w:cs="Traditional Arabic"/>
          <w:b/>
          <w:bCs/>
          <w:sz w:val="32"/>
          <w:szCs w:val="32"/>
        </w:rPr>
      </w:pPr>
      <w:r w:rsidRPr="009657B8">
        <w:rPr>
          <w:rFonts w:ascii="Traditional Arabic" w:hAnsi="Traditional Arabic" w:cs="Traditional Arabic"/>
          <w:b/>
          <w:bCs/>
          <w:sz w:val="32"/>
          <w:szCs w:val="32"/>
          <w:rtl/>
        </w:rPr>
        <w:t>الملخص: هذا البحث مدفوع بهيمنة مفهوم التربية الغربية في المؤسسات التربوية وحتى المؤسسات التربوية الإسلامية. هذا أمر مقلق للغاية بالنسبة للمسلمين الذين يهدفون إلى التعليم لإنتاج بشر يتمتعون بالإيمان والتقوى والشخصية النبيلة. في حين أن الحضارة الغربية تقوم على العلمانية والعقلانية والمادية ، فإن الله ليس اعتبارًا في العلوم الغربية ، لأن الله لا يعتبر حقيقيًا. ومن المعروف أن المعرفة التي أنتجها المفكرون الغربيون لا تخلو من الفكر الغربي والثقافة والمنظور والثقافة الغربية. تهدف هذه الدراسة إلى وصف: مفهوم التربويين في ق. لقمان: 12-19 ومدى انعكاساته على التربية الإسلامية. يتمثل إطار التفكير في هذه الدراسة في النظر إلى القرآن على أنه أهم أساس للتربية الإسلامية ، حيث توجد مفاهيم مختلفة يمكن أن تكون دليلًا لحياة الإنسان على الأرض ، بما في ذلك مفهوم التعليم. تظهر نتائج الدراسة أن 1) يجب أن يكون لدى التربويين معرفة مؤهلة للتدريس ، وأفعال جديرة بالثناء على الصعيدين الداخلي والداخلي ، ويسعون جاهدين للتنسيق بين المعرفة والإحسان ، وأن يتمتعوا بطبيعة عطوفة وصادقة. 2) يجب على الطلاب التحلي بالصبر في تلقي الدروس. 3) تهدف التربية الإسلامية إلى التأكيد على العبودية الحسنة لله في الإيمان والعبادة ، وامتلاك الشخصية الطيبة والقدرة على التفاعل بشكل جيد مع إخواننا من البشر. 4) مواد الإكراه هي: العقيدة ، والعبادة ، والأخلاق ، والدعوة. 5) طريقة التعليم الموجودة هي ترغيب وترهيب ومثالية. 6) من خلال تنفيذ المفهوم التربوي لـ</w:t>
      </w:r>
      <w:r w:rsidRPr="00FB1B0B">
        <w:rPr>
          <w:rFonts w:ascii="Traditional Arabic" w:hAnsi="Traditional Arabic" w:cs="Traditional Arabic" w:hint="cs"/>
          <w:b/>
          <w:bCs/>
          <w:sz w:val="32"/>
          <w:szCs w:val="32"/>
          <w:rtl/>
          <w:lang w:bidi="ar-JO"/>
        </w:rPr>
        <w:t>سورة</w:t>
      </w:r>
      <w:r w:rsidRPr="00FB1B0B">
        <w:rPr>
          <w:rFonts w:ascii="Traditional Arabic" w:hAnsi="Traditional Arabic" w:cs="Traditional Arabic"/>
          <w:b/>
          <w:bCs/>
          <w:sz w:val="32"/>
          <w:szCs w:val="32"/>
          <w:rtl/>
          <w:lang w:bidi="ar-JO"/>
        </w:rPr>
        <w:t xml:space="preserve"> لقمان: الآيات 12-19</w:t>
      </w:r>
      <w:r w:rsidRPr="00FB1B0B">
        <w:rPr>
          <w:rFonts w:ascii="Traditional Arabic" w:hAnsi="Traditional Arabic" w:cs="Traditional Arabic" w:hint="cs"/>
          <w:b/>
          <w:bCs/>
          <w:sz w:val="32"/>
          <w:szCs w:val="32"/>
          <w:rtl/>
          <w:lang w:bidi="ar-JO"/>
        </w:rPr>
        <w:t xml:space="preserve"> </w:t>
      </w:r>
      <w:r w:rsidRPr="009657B8">
        <w:rPr>
          <w:rFonts w:ascii="Traditional Arabic" w:hAnsi="Traditional Arabic" w:cs="Traditional Arabic"/>
          <w:b/>
          <w:bCs/>
          <w:sz w:val="32"/>
          <w:szCs w:val="32"/>
          <w:rtl/>
        </w:rPr>
        <w:t>الذي يؤكد على أهمية التوحيد ، فإنه سيتجنب فهم الإنسان الغربي.</w:t>
      </w:r>
    </w:p>
    <w:p w14:paraId="2C768A32" w14:textId="77777777" w:rsidR="00462A83" w:rsidRPr="009657B8" w:rsidRDefault="00462A83" w:rsidP="00462A83">
      <w:pPr>
        <w:bidi/>
        <w:rPr>
          <w:rFonts w:ascii="Traditional Arabic" w:hAnsi="Traditional Arabic" w:cs="Traditional Arabic"/>
          <w:b/>
          <w:bCs/>
          <w:sz w:val="32"/>
          <w:szCs w:val="32"/>
        </w:rPr>
      </w:pPr>
      <w:r w:rsidRPr="009657B8">
        <w:rPr>
          <w:rFonts w:ascii="Traditional Arabic" w:hAnsi="Traditional Arabic" w:cs="Traditional Arabic"/>
          <w:b/>
          <w:bCs/>
          <w:sz w:val="32"/>
          <w:szCs w:val="32"/>
          <w:rtl/>
        </w:rPr>
        <w:t>الكلمات الدالة</w:t>
      </w:r>
    </w:p>
    <w:p w14:paraId="5AA0586F" w14:textId="77777777" w:rsidR="00462A83" w:rsidRDefault="00462A83" w:rsidP="00462A83">
      <w:pPr>
        <w:bidi/>
        <w:rPr>
          <w:rFonts w:ascii="Traditional Arabic" w:hAnsi="Traditional Arabic" w:cs="Traditional Arabic"/>
          <w:b/>
          <w:bCs/>
          <w:sz w:val="32"/>
          <w:szCs w:val="32"/>
        </w:rPr>
      </w:pPr>
      <w:r w:rsidRPr="009657B8">
        <w:rPr>
          <w:rFonts w:ascii="Traditional Arabic" w:hAnsi="Traditional Arabic" w:cs="Traditional Arabic"/>
          <w:b/>
          <w:bCs/>
          <w:sz w:val="32"/>
          <w:szCs w:val="32"/>
          <w:rtl/>
        </w:rPr>
        <w:t xml:space="preserve">مفهوم التربية ، التفسير ، </w:t>
      </w:r>
      <w:r w:rsidRPr="00FB1B0B">
        <w:rPr>
          <w:rFonts w:ascii="Traditional Arabic" w:hAnsi="Traditional Arabic" w:cs="Traditional Arabic" w:hint="cs"/>
          <w:b/>
          <w:bCs/>
          <w:sz w:val="32"/>
          <w:szCs w:val="32"/>
          <w:rtl/>
          <w:lang w:bidi="ar-JO"/>
        </w:rPr>
        <w:t>سورة</w:t>
      </w:r>
      <w:r w:rsidRPr="00FB1B0B">
        <w:rPr>
          <w:rFonts w:ascii="Traditional Arabic" w:hAnsi="Traditional Arabic" w:cs="Traditional Arabic"/>
          <w:b/>
          <w:bCs/>
          <w:sz w:val="32"/>
          <w:szCs w:val="32"/>
          <w:rtl/>
          <w:lang w:bidi="ar-JO"/>
        </w:rPr>
        <w:t xml:space="preserve"> لقمان: الآيات 12-19</w:t>
      </w:r>
    </w:p>
    <w:p w14:paraId="546D83F9" w14:textId="77777777" w:rsidR="00462A83" w:rsidRDefault="00462A83" w:rsidP="00462A83">
      <w:pPr>
        <w:bidi/>
        <w:rPr>
          <w:rFonts w:ascii="Traditional Arabic" w:hAnsi="Traditional Arabic" w:cs="Traditional Arabic"/>
          <w:b/>
          <w:bCs/>
          <w:sz w:val="32"/>
          <w:szCs w:val="32"/>
        </w:rPr>
      </w:pPr>
    </w:p>
    <w:p w14:paraId="086CC5A5" w14:textId="77777777" w:rsidR="00462A83" w:rsidRPr="004723A7" w:rsidRDefault="00462A83" w:rsidP="00462A83">
      <w:pPr>
        <w:bidi/>
        <w:rPr>
          <w:rFonts w:ascii="Traditional Arabic" w:hAnsi="Traditional Arabic" w:cs="Traditional Arabic"/>
          <w:b/>
          <w:bCs/>
          <w:sz w:val="32"/>
          <w:szCs w:val="32"/>
        </w:rPr>
      </w:pPr>
      <w:r w:rsidRPr="004723A7">
        <w:rPr>
          <w:rFonts w:ascii="Traditional Arabic" w:hAnsi="Traditional Arabic" w:cs="Traditional Arabic"/>
          <w:b/>
          <w:bCs/>
          <w:sz w:val="32"/>
          <w:szCs w:val="32"/>
          <w:rtl/>
        </w:rPr>
        <w:t>مقدمة</w:t>
      </w:r>
    </w:p>
    <w:p w14:paraId="4FE70AC8"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 xml:space="preserve">في عالم التعليم هيمنة التعليم الغربي واضحة جدا. على سبيل المثال ، المربين المحتملين في المحاضرة هي أكثر عرض مع النظريات التعليمية للفكر العلماء الغربيين ، فضلا عن عملية قبول المتعلمين الجدد الذين يستخدمون اختبار قياس الذكاء التي عثر عليها ألفريد بينيه ، وأساليب التعلم المطبقة تحمل أيضا الكثير من النتائج التي </w:t>
      </w:r>
      <w:r w:rsidRPr="00D26FD4">
        <w:rPr>
          <w:rFonts w:ascii="Traditional Arabic" w:hAnsi="Traditional Arabic" w:cs="Traditional Arabic"/>
          <w:sz w:val="32"/>
          <w:szCs w:val="32"/>
          <w:rtl/>
        </w:rPr>
        <w:lastRenderedPageBreak/>
        <w:t>توصل إليها العلماء الغربيين مثل الاستخبارات المتعددة (غاردنر) ، فضلا عن نماذج التعلم بما في ذلك نماذج التعلم القائمة على المشاكل التي هي  تم تطويره من قبل روبرت م. غاني. حتى مرحلة التقييم اعتمدت أيضا مفهوم العلماء الغربيين، وهي تصنيف بنيامين</w:t>
      </w:r>
      <w:r>
        <w:rPr>
          <w:rFonts w:ascii="Traditional Arabic" w:hAnsi="Traditional Arabic" w:cs="Traditional Arabic"/>
          <w:sz w:val="32"/>
          <w:szCs w:val="32"/>
        </w:rPr>
        <w:t xml:space="preserve"> </w:t>
      </w:r>
      <w:r w:rsidRPr="00D26FD4">
        <w:rPr>
          <w:rFonts w:ascii="Traditional Arabic" w:hAnsi="Traditional Arabic" w:cs="Traditional Arabic"/>
          <w:sz w:val="32"/>
          <w:szCs w:val="32"/>
          <w:rtl/>
        </w:rPr>
        <w:t>بلوم. وهذا يثبت أنه منذ البداية وحتى النهاية مفهوم التعليم يأخذ الكثير من مفهوم التعليم الذي يحمله العلماء الغربيون. (روسيدين: 2017)</w:t>
      </w:r>
    </w:p>
    <w:p w14:paraId="6D956B34"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الحضارة الغربية، القائمة على العلمانية والعقلانية والنفعية والمادية، جعلت العالم على حافة الانهيار. والواقع أنها لا تغض الطرف عن مختلف النجاحات والتقدم الذي أحرزته هذه الحضارة. ولكن لا يمكن إنكار أن الحضارة الغربية قد أنتجت أيضا الاستعمار والحروب المطولة وعدم المساواة الاجتماعية والضرر البيئي والاغتراب وانخفاض العادات الاجتماعية أو المعايير الأخلاقية في الأفراد أو المجتمعات. (حسيني: 2015)</w:t>
      </w:r>
    </w:p>
    <w:p w14:paraId="183E8DD9"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يكتب حميد فهمي زركاسي، بما أن العلم الغربي لا يعطي أي مكان للوحي والدين وحتى لله، فإن العلم الغربي يعتبر محايدا. الحياد هنا يعني التحرر من الدين. إن واقع الله ليس اعتبارا في العلم الغربي، لأن الله يعتبر غير حقيقي. ومع ذلك، فإن العلم ليس خاليا من الأيديولوجيات والثقافات ووجهات النظر والثقافات البشرية الغربية. واتضح، في العلم نفسه، أن هناك افتراضات، مذاهب لا تختلف عن الدين. وفي النهاية، يعتقد أن مذاهب العلم مؤكدة، على عكس المذاهب الدينية التي تعتبر غير عقلانية وليست تجريبية. إن الدين هو الذي يحشر في الزاوية ويحشر في الزاوية. بل إن الدين موضع تساؤل ومطلوب إصلاحه من أجل اتباع افتراضات العلم. وأصبح الدين مهمشا وأصبح الآن مهجورا</w:t>
      </w:r>
      <w:r w:rsidRPr="00D26FD4">
        <w:rPr>
          <w:rFonts w:ascii="Traditional Arabic" w:hAnsi="Traditional Arabic" w:cs="Traditional Arabic"/>
          <w:sz w:val="32"/>
          <w:szCs w:val="32"/>
        </w:rPr>
        <w:t>.</w:t>
      </w:r>
    </w:p>
    <w:p w14:paraId="32D47D4C"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سيغموند فرويد (</w:t>
      </w:r>
      <w:r>
        <w:rPr>
          <w:rFonts w:ascii="Traditional Arabic" w:hAnsi="Traditional Arabic" w:cs="Traditional Arabic" w:hint="cs"/>
          <w:sz w:val="32"/>
          <w:szCs w:val="32"/>
          <w:rtl/>
        </w:rPr>
        <w:t>ت.</w:t>
      </w:r>
      <w:r w:rsidRPr="00D26FD4">
        <w:rPr>
          <w:rFonts w:ascii="Traditional Arabic" w:hAnsi="Traditional Arabic" w:cs="Traditional Arabic"/>
          <w:sz w:val="32"/>
          <w:szCs w:val="32"/>
          <w:rtl/>
        </w:rPr>
        <w:t xml:space="preserve"> 1939) عالم نفس رائد أسس عقائد دينية كان وهما. الدين لا يتوافق مع واقع العالم. ليس الدين، ولكن فقط العمل العلمي، الطريقة الوحيدة لتوجيه اتجاه العلم. (حسيني: 2015)</w:t>
      </w:r>
    </w:p>
    <w:p w14:paraId="1CD7A0AE" w14:textId="77777777" w:rsidR="00462A83" w:rsidRPr="00D26FD4" w:rsidRDefault="00462A83" w:rsidP="00462A83">
      <w:pPr>
        <w:bidi/>
        <w:rPr>
          <w:rFonts w:ascii="Traditional Arabic" w:hAnsi="Traditional Arabic" w:cs="Traditional Arabic"/>
          <w:sz w:val="32"/>
          <w:szCs w:val="32"/>
          <w:lang w:bidi="ar-JO"/>
        </w:rPr>
      </w:pPr>
      <w:r w:rsidRPr="00D26FD4">
        <w:rPr>
          <w:rFonts w:ascii="Traditional Arabic" w:hAnsi="Traditional Arabic" w:cs="Traditional Arabic"/>
          <w:sz w:val="32"/>
          <w:szCs w:val="32"/>
          <w:rtl/>
        </w:rPr>
        <w:t>الحل لهم جميعا هو في كلمة واحدة، وهي التعليم، بطبيعة الحال، التعليم الإسلامي. لأن التعليم وفقا للسعد</w:t>
      </w:r>
      <w:r>
        <w:rPr>
          <w:rFonts w:ascii="Traditional Arabic" w:hAnsi="Traditional Arabic" w:cs="Traditional Arabic" w:hint="cs"/>
          <w:sz w:val="32"/>
          <w:szCs w:val="32"/>
          <w:rtl/>
        </w:rPr>
        <w:t xml:space="preserve">ي </w:t>
      </w:r>
      <w:r w:rsidRPr="00D26FD4">
        <w:rPr>
          <w:rFonts w:ascii="Traditional Arabic" w:hAnsi="Traditional Arabic" w:cs="Traditional Arabic"/>
          <w:sz w:val="32"/>
          <w:szCs w:val="32"/>
          <w:rtl/>
        </w:rPr>
        <w:t>له هدف من شأنه أن يحل مختلف المشاكل من الإيمان إلى الحياة المجتمعية. (عبد العزيز: 2000) يريد العطاس أن يكون هدف التعليم الإسلامي إنسانا صالحا. ووفقا لقطب، فإن الغرض العام من التعليم هو الإنسان الذي هو تاكوة. هذا أفضل إنسان وفقا له لقد أخذت من</w:t>
      </w:r>
      <w:r>
        <w:rPr>
          <w:rFonts w:ascii="Traditional Arabic" w:hAnsi="Traditional Arabic" w:cs="Traditional Arabic" w:hint="cs"/>
          <w:sz w:val="32"/>
          <w:szCs w:val="32"/>
          <w:rtl/>
        </w:rPr>
        <w:t xml:space="preserve"> سورة الحجرات</w:t>
      </w:r>
      <w:r w:rsidRPr="00D26FD4">
        <w:rPr>
          <w:rFonts w:ascii="Traditional Arabic" w:hAnsi="Traditional Arabic" w:cs="Traditional Arabic"/>
          <w:sz w:val="32"/>
          <w:szCs w:val="32"/>
          <w:rtl/>
        </w:rPr>
        <w:t xml:space="preserve"> الآية 13</w:t>
      </w:r>
      <w:r>
        <w:rPr>
          <w:rFonts w:ascii="Traditional Arabic" w:hAnsi="Traditional Arabic" w:cs="Traditional Arabic"/>
          <w:sz w:val="32"/>
          <w:szCs w:val="32"/>
        </w:rPr>
        <w:t xml:space="preserve">  </w:t>
      </w:r>
      <w:r>
        <w:rPr>
          <w:rFonts w:ascii="Traditional Arabic" w:hAnsi="Traditional Arabic" w:cs="Traditional Arabic" w:hint="cs"/>
          <w:sz w:val="32"/>
          <w:szCs w:val="32"/>
          <w:rtl/>
          <w:lang w:bidi="ar-JO"/>
        </w:rPr>
        <w:t xml:space="preserve">قال الله تعالي: (( </w:t>
      </w:r>
      <w:r w:rsidRPr="004C17C7">
        <w:rPr>
          <w:rFonts w:ascii="Traditional Arabic" w:hAnsi="Traditional Arabic" w:cs="Traditional Arabic"/>
          <w:color w:val="auto"/>
          <w:spacing w:val="15"/>
          <w:sz w:val="32"/>
          <w:szCs w:val="32"/>
          <w:shd w:val="clear" w:color="auto" w:fill="FFFFFF"/>
          <w:rtl/>
        </w:rPr>
        <w:t>إِنَّ أَكْرَمَكُمْ عِنْدَ اللَّهِ أَتْقَاكُمْ</w:t>
      </w:r>
      <w:r>
        <w:rPr>
          <w:rFonts w:ascii="Traditional Arabic" w:hAnsi="Traditional Arabic" w:cs="Traditional Arabic" w:hint="cs"/>
          <w:sz w:val="32"/>
          <w:szCs w:val="32"/>
          <w:rtl/>
        </w:rPr>
        <w:t>)).</w:t>
      </w:r>
      <w:r w:rsidRPr="00D26FD4">
        <w:rPr>
          <w:rFonts w:ascii="Traditional Arabic" w:hAnsi="Traditional Arabic" w:cs="Traditional Arabic"/>
          <w:sz w:val="32"/>
          <w:szCs w:val="32"/>
          <w:rtl/>
        </w:rPr>
        <w:t xml:space="preserve"> وخلص المؤتمر العالمي الأول للتعليم الإسلامي (1977) إلى أن الهدف النهائي للتعليم الإسلامي هو الإنسان الذي يسلم نفسه لله تماما. (تفس</w:t>
      </w:r>
      <w:r>
        <w:rPr>
          <w:rFonts w:ascii="Traditional Arabic" w:hAnsi="Traditional Arabic" w:cs="Traditional Arabic" w:hint="cs"/>
          <w:sz w:val="32"/>
          <w:szCs w:val="32"/>
          <w:rtl/>
        </w:rPr>
        <w:t>ي</w:t>
      </w:r>
      <w:r w:rsidRPr="00D26FD4">
        <w:rPr>
          <w:rFonts w:ascii="Traditional Arabic" w:hAnsi="Traditional Arabic" w:cs="Traditional Arabic"/>
          <w:sz w:val="32"/>
          <w:szCs w:val="32"/>
          <w:rtl/>
        </w:rPr>
        <w:t>ر: 2014)</w:t>
      </w:r>
    </w:p>
    <w:p w14:paraId="173C0569"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القرآن هو المصدر الأساسي للشريعة الإسلامية كما أنشأه الإمام الشافعي وغيره من العلماء، على الرغم من أنه بالإضافة إلى القرآن هناك مصادر أخرى للشريعة الإسلامية مثل السنة والإجما والقياس. (</w:t>
      </w:r>
      <w:r>
        <w:rPr>
          <w:rFonts w:ascii="Traditional Arabic" w:hAnsi="Traditional Arabic" w:cs="Traditional Arabic" w:hint="cs"/>
          <w:sz w:val="32"/>
          <w:szCs w:val="32"/>
          <w:rtl/>
        </w:rPr>
        <w:t>شافعي</w:t>
      </w:r>
      <w:r w:rsidRPr="00D26FD4">
        <w:rPr>
          <w:rFonts w:ascii="Traditional Arabic" w:hAnsi="Traditional Arabic" w:cs="Traditional Arabic"/>
          <w:sz w:val="32"/>
          <w:szCs w:val="32"/>
          <w:rtl/>
        </w:rPr>
        <w:t>: 2015)</w:t>
      </w:r>
      <w:r>
        <w:rPr>
          <w:rFonts w:ascii="Traditional Arabic" w:hAnsi="Traditional Arabic" w:cs="Traditional Arabic" w:hint="cs"/>
          <w:sz w:val="32"/>
          <w:szCs w:val="32"/>
          <w:rtl/>
        </w:rPr>
        <w:t>.</w:t>
      </w:r>
    </w:p>
    <w:p w14:paraId="74A84A95" w14:textId="77777777" w:rsidR="00462A83" w:rsidRPr="008B5BED" w:rsidRDefault="00462A83" w:rsidP="00462A83">
      <w:pPr>
        <w:bidi/>
        <w:rPr>
          <w:rFonts w:ascii="Traditional Arabic" w:hAnsi="Traditional Arabic" w:cs="Traditional Arabic"/>
          <w:color w:val="auto"/>
          <w:sz w:val="32"/>
          <w:szCs w:val="32"/>
        </w:rPr>
      </w:pPr>
      <w:r w:rsidRPr="008B5BED">
        <w:rPr>
          <w:rFonts w:ascii="Traditional Arabic" w:hAnsi="Traditional Arabic" w:cs="Traditional Arabic"/>
          <w:color w:val="auto"/>
          <w:spacing w:val="15"/>
          <w:sz w:val="32"/>
          <w:szCs w:val="32"/>
          <w:shd w:val="clear" w:color="auto" w:fill="FFFFFF"/>
          <w:rtl/>
        </w:rPr>
        <w:lastRenderedPageBreak/>
        <w:t>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r w:rsidRPr="008B5BED">
        <w:rPr>
          <w:rFonts w:ascii="Traditional Arabic" w:hAnsi="Traditional Arabic" w:cs="Traditional Arabic"/>
          <w:color w:val="auto"/>
          <w:sz w:val="32"/>
          <w:szCs w:val="32"/>
          <w:rtl/>
        </w:rPr>
        <w:t xml:space="preserve">. </w:t>
      </w:r>
      <w:r w:rsidRPr="008B5BED">
        <w:rPr>
          <w:rFonts w:ascii="Traditional Arabic" w:hAnsi="Traditional Arabic" w:cs="Traditional Arabic" w:hint="cs"/>
          <w:color w:val="auto"/>
          <w:sz w:val="32"/>
          <w:szCs w:val="32"/>
          <w:rtl/>
        </w:rPr>
        <w:t>[</w:t>
      </w:r>
      <w:r w:rsidRPr="008B5BED">
        <w:rPr>
          <w:rFonts w:ascii="Traditional Arabic" w:hAnsi="Traditional Arabic" w:cs="Traditional Arabic"/>
          <w:color w:val="auto"/>
          <w:sz w:val="32"/>
          <w:szCs w:val="32"/>
          <w:rtl/>
        </w:rPr>
        <w:t>يوسف</w:t>
      </w:r>
      <w:r w:rsidRPr="008B5BED">
        <w:rPr>
          <w:rFonts w:ascii="Traditional Arabic" w:hAnsi="Traditional Arabic" w:cs="Traditional Arabic" w:hint="cs"/>
          <w:color w:val="auto"/>
          <w:sz w:val="32"/>
          <w:szCs w:val="32"/>
          <w:rtl/>
        </w:rPr>
        <w:t xml:space="preserve">: </w:t>
      </w:r>
      <w:r w:rsidRPr="008B5BED">
        <w:rPr>
          <w:rFonts w:ascii="Traditional Arabic" w:hAnsi="Traditional Arabic" w:cs="Traditional Arabic"/>
          <w:color w:val="auto"/>
          <w:sz w:val="32"/>
          <w:szCs w:val="32"/>
          <w:rtl/>
        </w:rPr>
        <w:t>76</w:t>
      </w:r>
      <w:r w:rsidRPr="008B5BED">
        <w:rPr>
          <w:rFonts w:ascii="Traditional Arabic" w:hAnsi="Traditional Arabic" w:cs="Traditional Arabic" w:hint="cs"/>
          <w:color w:val="auto"/>
          <w:sz w:val="32"/>
          <w:szCs w:val="32"/>
          <w:rtl/>
        </w:rPr>
        <w:t>]</w:t>
      </w:r>
    </w:p>
    <w:p w14:paraId="7742343B"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 xml:space="preserve">كما </w:t>
      </w:r>
      <w:r>
        <w:rPr>
          <w:rFonts w:ascii="Traditional Arabic" w:hAnsi="Traditional Arabic" w:cs="Traditional Arabic" w:hint="cs"/>
          <w:sz w:val="32"/>
          <w:szCs w:val="32"/>
          <w:rtl/>
        </w:rPr>
        <w:t>يقول السعدي</w:t>
      </w:r>
      <w:r w:rsidRPr="00D26FD4">
        <w:rPr>
          <w:rFonts w:ascii="Traditional Arabic" w:hAnsi="Traditional Arabic" w:cs="Traditional Arabic"/>
          <w:sz w:val="32"/>
          <w:szCs w:val="32"/>
          <w:rtl/>
        </w:rPr>
        <w:t xml:space="preserve"> تفسير هذه الآية: كل من يعرف على ذلك هناك معرفة أكثر منه حتى أخيرا معرفة عليم الغيب وا الشحادة</w:t>
      </w:r>
      <w:r w:rsidRPr="00D26FD4">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Pr="00D26FD4">
        <w:rPr>
          <w:rFonts w:ascii="Traditional Arabic" w:hAnsi="Traditional Arabic" w:cs="Traditional Arabic"/>
          <w:sz w:val="32"/>
          <w:szCs w:val="32"/>
          <w:rtl/>
        </w:rPr>
        <w:t xml:space="preserve">وفقا للتفسير المذكور أعلاه، في تفسير </w:t>
      </w:r>
      <w:r>
        <w:rPr>
          <w:rFonts w:ascii="Traditional Arabic" w:hAnsi="Traditional Arabic" w:cs="Traditional Arabic" w:hint="cs"/>
          <w:sz w:val="32"/>
          <w:szCs w:val="32"/>
          <w:rtl/>
        </w:rPr>
        <w:t>الطباري</w:t>
      </w:r>
      <w:r w:rsidRPr="00D26FD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Pr="00D26FD4">
        <w:rPr>
          <w:rFonts w:ascii="Traditional Arabic" w:hAnsi="Traditional Arabic" w:cs="Traditional Arabic"/>
          <w:sz w:val="32"/>
          <w:szCs w:val="32"/>
          <w:rtl/>
        </w:rPr>
        <w:t xml:space="preserve"> 68 </w:t>
      </w:r>
      <w:r>
        <w:rPr>
          <w:rFonts w:ascii="Traditional Arabic" w:hAnsi="Traditional Arabic" w:cs="Traditional Arabic" w:hint="cs"/>
          <w:sz w:val="32"/>
          <w:szCs w:val="32"/>
          <w:rtl/>
        </w:rPr>
        <w:t>ه</w:t>
      </w:r>
      <w:r w:rsidRPr="00D26FD4">
        <w:rPr>
          <w:rFonts w:ascii="Traditional Arabic" w:hAnsi="Traditional Arabic" w:cs="Traditional Arabic"/>
          <w:sz w:val="32"/>
          <w:szCs w:val="32"/>
          <w:rtl/>
        </w:rPr>
        <w:t xml:space="preserve">) يفسره ابن عباس راضي الله </w:t>
      </w:r>
      <w:r>
        <w:rPr>
          <w:rFonts w:ascii="Traditional Arabic" w:hAnsi="Traditional Arabic" w:cs="Traditional Arabic" w:hint="cs"/>
          <w:sz w:val="32"/>
          <w:szCs w:val="32"/>
          <w:rtl/>
        </w:rPr>
        <w:t>عنهما</w:t>
      </w:r>
      <w:r w:rsidRPr="00D26FD4">
        <w:rPr>
          <w:rFonts w:ascii="Traditional Arabic" w:hAnsi="Traditional Arabic" w:cs="Traditional Arabic"/>
          <w:sz w:val="32"/>
          <w:szCs w:val="32"/>
          <w:rtl/>
        </w:rPr>
        <w:t>: "الشخص أكثر دراية من هذا الشخص والآخرين أكثر دراية من هذا الشخص وعلاه هو قمة كل المعرفة</w:t>
      </w:r>
      <w:r w:rsidRPr="00D26FD4">
        <w:rPr>
          <w:rFonts w:ascii="Traditional Arabic" w:hAnsi="Traditional Arabic" w:cs="Traditional Arabic"/>
          <w:sz w:val="32"/>
          <w:szCs w:val="32"/>
        </w:rPr>
        <w:t>".</w:t>
      </w:r>
    </w:p>
    <w:p w14:paraId="41DAB03F"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 xml:space="preserve">من ابن مسعود راضي الله </w:t>
      </w:r>
      <w:r>
        <w:rPr>
          <w:rFonts w:ascii="Traditional Arabic" w:hAnsi="Traditional Arabic" w:cs="Traditional Arabic" w:hint="cs"/>
          <w:sz w:val="32"/>
          <w:szCs w:val="32"/>
          <w:rtl/>
        </w:rPr>
        <w:t>عنه</w:t>
      </w:r>
      <w:r w:rsidRPr="00D26FD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Pr="00D26FD4">
        <w:rPr>
          <w:rFonts w:ascii="Traditional Arabic" w:hAnsi="Traditional Arabic" w:cs="Traditional Arabic"/>
          <w:sz w:val="32"/>
          <w:szCs w:val="32"/>
          <w:rtl/>
        </w:rPr>
        <w:t xml:space="preserve"> 32 </w:t>
      </w:r>
      <w:r>
        <w:rPr>
          <w:rFonts w:ascii="Traditional Arabic" w:hAnsi="Traditional Arabic" w:cs="Traditional Arabic" w:hint="cs"/>
          <w:sz w:val="32"/>
          <w:szCs w:val="32"/>
          <w:rtl/>
        </w:rPr>
        <w:t>ه</w:t>
      </w:r>
      <w:r w:rsidRPr="00D26FD4">
        <w:rPr>
          <w:rFonts w:ascii="Traditional Arabic" w:hAnsi="Traditional Arabic" w:cs="Traditional Arabic"/>
          <w:sz w:val="32"/>
          <w:szCs w:val="32"/>
          <w:rtl/>
        </w:rPr>
        <w:t>) ، قال: "من يريد المعرفة في القرآن، لأنه فيها معرفة بالسابق والناس اللاحقين</w:t>
      </w:r>
      <w:r w:rsidRPr="00D26FD4">
        <w:rPr>
          <w:rFonts w:ascii="Traditional Arabic" w:hAnsi="Traditional Arabic" w:cs="Traditional Arabic"/>
          <w:sz w:val="32"/>
          <w:szCs w:val="32"/>
        </w:rPr>
        <w:t>".</w:t>
      </w:r>
    </w:p>
    <w:p w14:paraId="7DA8419E"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هذا الخطاب الشهابات النبيل مقبول عموما بعلم الآخرة وعلم العالم، سواء العلوم الدينية أو العلمية. يتضمن القرآن كل المعرفة، على الرغم من أن القرآن ليس كتاب معرفة، ولكن القرآن هو دليل الحياة البشرية لكي يكون سعيدا في العالم وبعده. انها مجرد أن</w:t>
      </w:r>
      <w:r w:rsidRPr="00D26FD4">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الله </w:t>
      </w:r>
      <w:r w:rsidRPr="00D26FD4">
        <w:rPr>
          <w:rFonts w:ascii="Traditional Arabic" w:hAnsi="Traditional Arabic" w:cs="Traditional Arabic"/>
          <w:sz w:val="32"/>
          <w:szCs w:val="32"/>
          <w:rtl/>
        </w:rPr>
        <w:t>هو الكمال وقادرة على الكمال مضمون كلمته. (كاندير: 2016)</w:t>
      </w:r>
    </w:p>
    <w:p w14:paraId="3AEA3758"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 xml:space="preserve">من بين الأشكال المعجزة للقرآن، توجد العديد من الآيات الموجزة ولكن لها محتوى عميق جدا كما هو الحال في آيات </w:t>
      </w:r>
      <w:r>
        <w:rPr>
          <w:rFonts w:ascii="Traditional Arabic" w:hAnsi="Traditional Arabic" w:cs="Traditional Arabic" w:hint="cs"/>
          <w:sz w:val="32"/>
          <w:szCs w:val="32"/>
          <w:rtl/>
        </w:rPr>
        <w:t>12 -19 من سورة لقمان</w:t>
      </w:r>
      <w:r w:rsidRPr="00D26FD4">
        <w:rPr>
          <w:rFonts w:ascii="Traditional Arabic" w:hAnsi="Traditional Arabic" w:cs="Traditional Arabic"/>
          <w:sz w:val="32"/>
          <w:szCs w:val="32"/>
          <w:rtl/>
        </w:rPr>
        <w:t xml:space="preserve"> التي تحتوي على مفاهيم تعليمية تتضمن مفهوم الأهداف التعليمية، ومفاهيم المعلمين، ومفاهيم الطلاب، ومفاهيم المناهج التعليمية، ومفهوم الأساليب التعليمية.</w:t>
      </w:r>
    </w:p>
    <w:p w14:paraId="465A0901" w14:textId="77777777" w:rsidR="00462A83" w:rsidRPr="00D26FD4" w:rsidRDefault="00462A83" w:rsidP="00462A83">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كتاب تيسبر الكريم في تفسير كلام المنان, </w:t>
      </w:r>
      <w:r w:rsidRPr="00D26FD4">
        <w:rPr>
          <w:rFonts w:ascii="Traditional Arabic" w:hAnsi="Traditional Arabic" w:cs="Traditional Arabic"/>
          <w:sz w:val="32"/>
          <w:szCs w:val="32"/>
          <w:rtl/>
        </w:rPr>
        <w:t>يعتقد الباحثون أن هذا التفسير يصب بلغة بسيطة تجعل من السهل فهمه، المليئ بال</w:t>
      </w:r>
      <w:r>
        <w:rPr>
          <w:rFonts w:ascii="Traditional Arabic" w:hAnsi="Traditional Arabic" w:cs="Traditional Arabic" w:hint="cs"/>
          <w:sz w:val="32"/>
          <w:szCs w:val="32"/>
          <w:rtl/>
        </w:rPr>
        <w:t xml:space="preserve">فوائد </w:t>
      </w:r>
      <w:r w:rsidRPr="00D26FD4">
        <w:rPr>
          <w:rFonts w:ascii="Traditional Arabic" w:hAnsi="Traditional Arabic" w:cs="Traditional Arabic"/>
          <w:sz w:val="32"/>
          <w:szCs w:val="32"/>
          <w:rtl/>
        </w:rPr>
        <w:t>ولكن لا يزال يقدم بإيجاز، وهذا التفسير ينتمي إلى التفسير باستخدام طريقة الإجمالي.</w:t>
      </w:r>
    </w:p>
    <w:p w14:paraId="071843A2"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الشيخ عبد الرحمن بن نا</w:t>
      </w:r>
      <w:r>
        <w:rPr>
          <w:rFonts w:ascii="Traditional Arabic" w:hAnsi="Traditional Arabic" w:cs="Traditional Arabic" w:hint="cs"/>
          <w:sz w:val="32"/>
          <w:szCs w:val="32"/>
          <w:rtl/>
        </w:rPr>
        <w:t>ص</w:t>
      </w:r>
      <w:r w:rsidRPr="00D26FD4">
        <w:rPr>
          <w:rFonts w:ascii="Traditional Arabic" w:hAnsi="Traditional Arabic" w:cs="Traditional Arabic"/>
          <w:sz w:val="32"/>
          <w:szCs w:val="32"/>
          <w:rtl/>
        </w:rPr>
        <w:t>ر ال</w:t>
      </w:r>
      <w:r>
        <w:rPr>
          <w:rFonts w:ascii="Traditional Arabic" w:hAnsi="Traditional Arabic" w:cs="Traditional Arabic" w:hint="cs"/>
          <w:sz w:val="32"/>
          <w:szCs w:val="32"/>
          <w:rtl/>
        </w:rPr>
        <w:t>سع</w:t>
      </w:r>
      <w:r w:rsidRPr="00D26FD4">
        <w:rPr>
          <w:rFonts w:ascii="Traditional Arabic" w:hAnsi="Traditional Arabic" w:cs="Traditional Arabic"/>
          <w:sz w:val="32"/>
          <w:szCs w:val="32"/>
          <w:rtl/>
        </w:rPr>
        <w:t>دي. لديه العديد من الأعمال المكتوبة في مختلف فروع العلوم. تفس</w:t>
      </w:r>
      <w:r>
        <w:rPr>
          <w:rFonts w:ascii="Traditional Arabic" w:hAnsi="Traditional Arabic" w:cs="Traditional Arabic" w:hint="cs"/>
          <w:sz w:val="32"/>
          <w:szCs w:val="32"/>
          <w:rtl/>
        </w:rPr>
        <w:t>ي</w:t>
      </w:r>
      <w:r w:rsidRPr="00D26FD4">
        <w:rPr>
          <w:rFonts w:ascii="Traditional Arabic" w:hAnsi="Traditional Arabic" w:cs="Traditional Arabic"/>
          <w:sz w:val="32"/>
          <w:szCs w:val="32"/>
          <w:rtl/>
        </w:rPr>
        <w:t>ر</w:t>
      </w:r>
      <w:r>
        <w:rPr>
          <w:rFonts w:ascii="Traditional Arabic" w:hAnsi="Traditional Arabic" w:cs="Traditional Arabic" w:hint="cs"/>
          <w:sz w:val="32"/>
          <w:szCs w:val="32"/>
          <w:rtl/>
        </w:rPr>
        <w:t xml:space="preserve"> و الفقه و ال</w:t>
      </w:r>
      <w:r w:rsidRPr="00D26FD4">
        <w:rPr>
          <w:rFonts w:ascii="Traditional Arabic" w:hAnsi="Traditional Arabic" w:cs="Traditional Arabic"/>
          <w:sz w:val="32"/>
          <w:szCs w:val="32"/>
          <w:rtl/>
        </w:rPr>
        <w:t>حديث</w:t>
      </w:r>
      <w:r>
        <w:rPr>
          <w:rFonts w:ascii="Traditional Arabic" w:hAnsi="Traditional Arabic" w:cs="Traditional Arabic" w:hint="cs"/>
          <w:sz w:val="32"/>
          <w:szCs w:val="32"/>
          <w:rtl/>
        </w:rPr>
        <w:t xml:space="preserve"> و اصول الفقه و قواعد الفقه و</w:t>
      </w:r>
      <w:r w:rsidRPr="00D26FD4">
        <w:rPr>
          <w:rFonts w:ascii="Traditional Arabic" w:hAnsi="Traditional Arabic" w:cs="Traditional Arabic"/>
          <w:sz w:val="32"/>
          <w:szCs w:val="32"/>
          <w:rtl/>
        </w:rPr>
        <w:t xml:space="preserve"> عل</w:t>
      </w:r>
      <w:r>
        <w:rPr>
          <w:rFonts w:ascii="Traditional Arabic" w:hAnsi="Traditional Arabic" w:cs="Traditional Arabic" w:hint="cs"/>
          <w:sz w:val="32"/>
          <w:szCs w:val="32"/>
          <w:rtl/>
        </w:rPr>
        <w:t>و</w:t>
      </w:r>
      <w:r w:rsidRPr="00D26FD4">
        <w:rPr>
          <w:rFonts w:ascii="Traditional Arabic" w:hAnsi="Traditional Arabic" w:cs="Traditional Arabic"/>
          <w:sz w:val="32"/>
          <w:szCs w:val="32"/>
          <w:rtl/>
        </w:rPr>
        <w:t>م القرآن وال</w:t>
      </w:r>
      <w:r>
        <w:rPr>
          <w:rFonts w:ascii="Traditional Arabic" w:hAnsi="Traditional Arabic" w:cs="Traditional Arabic" w:hint="cs"/>
          <w:sz w:val="32"/>
          <w:szCs w:val="32"/>
          <w:rtl/>
        </w:rPr>
        <w:t>عقيدة</w:t>
      </w:r>
      <w:r w:rsidRPr="00D26FD4">
        <w:rPr>
          <w:rFonts w:ascii="Traditional Arabic" w:hAnsi="Traditional Arabic" w:cs="Traditional Arabic"/>
          <w:sz w:val="32"/>
          <w:szCs w:val="32"/>
          <w:rtl/>
        </w:rPr>
        <w:t xml:space="preserve">. لم يكتف بإثارة النظريات بل كان أيضا ممارسا ناجحا في عالم التعليم، ومن بين أشكال النجاح ولادة علماء رباني مثل الشيخ محمد بن </w:t>
      </w:r>
      <w:r>
        <w:rPr>
          <w:rFonts w:ascii="Traditional Arabic" w:hAnsi="Traditional Arabic" w:cs="Traditional Arabic" w:hint="cs"/>
          <w:sz w:val="32"/>
          <w:szCs w:val="32"/>
          <w:rtl/>
        </w:rPr>
        <w:t>صالح العثيمين</w:t>
      </w:r>
      <w:r w:rsidRPr="00D26FD4">
        <w:rPr>
          <w:rFonts w:ascii="Traditional Arabic" w:hAnsi="Traditional Arabic" w:cs="Traditional Arabic"/>
          <w:sz w:val="32"/>
          <w:szCs w:val="32"/>
          <w:rtl/>
        </w:rPr>
        <w:t xml:space="preserve">. ولد شيخ السعدي في مدينة أونايزة في منطقة </w:t>
      </w:r>
      <w:r>
        <w:rPr>
          <w:rFonts w:ascii="Traditional Arabic" w:hAnsi="Traditional Arabic" w:cs="Traditional Arabic" w:hint="cs"/>
          <w:sz w:val="32"/>
          <w:szCs w:val="32"/>
          <w:rtl/>
        </w:rPr>
        <w:t>القاسم</w:t>
      </w:r>
      <w:r w:rsidRPr="00D26FD4">
        <w:rPr>
          <w:rFonts w:ascii="Traditional Arabic" w:hAnsi="Traditional Arabic" w:cs="Traditional Arabic"/>
          <w:sz w:val="32"/>
          <w:szCs w:val="32"/>
          <w:rtl/>
        </w:rPr>
        <w:t xml:space="preserve"> عام 1307 هجري.</w:t>
      </w:r>
    </w:p>
    <w:p w14:paraId="48E75047"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 xml:space="preserve">التعليم هو التوجيه أو القيادة بوعي من قبل المربين على التنمية الجسدية والروحية للطلاب نحو تشكيل الشخصية الرئيسية. يقول أحمد تفسير إن تعريف هذا يحظى بشعبية كبيرة، ولكن في الواقع التعريف لا يزال ضيقا جدا، يقول لودج إن التعليم يتعلق بالتجربة بأكملها. الآباء يعلمون أطفالهم، والأطفال يعلمون والديهم، والمعلمون يعلمون طلابهم، والطلاب يعلمون معلميهم، وبعبارة أخرى الحياة هي التعليم، والتعليم هو الحياة. التعليم هو مجموعة متنوعة من الجهود التي يبذلها المعلم تجاه الطالب من أجل تحقيق أقصى قدر من التطور </w:t>
      </w:r>
      <w:r w:rsidRPr="00D26FD4">
        <w:rPr>
          <w:rFonts w:ascii="Traditional Arabic" w:hAnsi="Traditional Arabic" w:cs="Traditional Arabic"/>
          <w:sz w:val="32"/>
          <w:szCs w:val="32"/>
          <w:rtl/>
        </w:rPr>
        <w:lastRenderedPageBreak/>
        <w:t>الإيجابي. (تفس</w:t>
      </w:r>
      <w:r>
        <w:rPr>
          <w:rFonts w:ascii="Traditional Arabic" w:hAnsi="Traditional Arabic" w:cs="Traditional Arabic" w:hint="cs"/>
          <w:sz w:val="32"/>
          <w:szCs w:val="32"/>
          <w:rtl/>
        </w:rPr>
        <w:t>ي</w:t>
      </w:r>
      <w:r w:rsidRPr="00D26FD4">
        <w:rPr>
          <w:rFonts w:ascii="Traditional Arabic" w:hAnsi="Traditional Arabic" w:cs="Traditional Arabic"/>
          <w:sz w:val="32"/>
          <w:szCs w:val="32"/>
          <w:rtl/>
        </w:rPr>
        <w:t>ر: 2014) ومن الصعب صياغة تعريف التعليم، ومن بين الأسباب: عدد أنواع الأنشطة التي يمكن الإشارة إليها على أنها أنشطة تعليمية واتساع نطاق الجوانب التي يعززها التعليم. في المؤتمر العالمي الأول حول تعليم المسلمين الذي نظمته جامعة الملك عبد العزيز</w:t>
      </w:r>
      <w:r>
        <w:rPr>
          <w:rFonts w:ascii="Traditional Arabic" w:hAnsi="Traditional Arabic" w:cs="Traditional Arabic" w:hint="cs"/>
          <w:sz w:val="32"/>
          <w:szCs w:val="32"/>
          <w:rtl/>
        </w:rPr>
        <w:t xml:space="preserve"> ب</w:t>
      </w:r>
      <w:r w:rsidRPr="00D26FD4">
        <w:rPr>
          <w:rFonts w:ascii="Traditional Arabic" w:hAnsi="Traditional Arabic" w:cs="Traditional Arabic"/>
          <w:sz w:val="32"/>
          <w:szCs w:val="32"/>
          <w:rtl/>
        </w:rPr>
        <w:t>جدة في عام 1977</w:t>
      </w:r>
      <w:r>
        <w:rPr>
          <w:rFonts w:ascii="Traditional Arabic" w:hAnsi="Traditional Arabic" w:cs="Traditional Arabic" w:hint="cs"/>
          <w:sz w:val="32"/>
          <w:szCs w:val="32"/>
          <w:rtl/>
        </w:rPr>
        <w:t>,</w:t>
      </w:r>
      <w:r w:rsidRPr="00D26FD4">
        <w:rPr>
          <w:rFonts w:ascii="Traditional Arabic" w:hAnsi="Traditional Arabic" w:cs="Traditional Arabic"/>
          <w:sz w:val="32"/>
          <w:szCs w:val="32"/>
          <w:rtl/>
        </w:rPr>
        <w:t xml:space="preserve"> لم تنجح في وضع صياغة واضحة لتعريف التعليم وفقا للإسلام. وفي قسم التوصيات في المؤتمر، خلص المشاركون فقط إلى أن فهم التعليم وفقا للإسلام هو الفهم الكامل الوارد في المصطلحات، "تمليم ل"، و"الطربية" و"تاديب".</w:t>
      </w:r>
    </w:p>
    <w:p w14:paraId="6CFF96FF" w14:textId="77777777" w:rsidR="00462A83" w:rsidRPr="00D26FD4"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 xml:space="preserve">وفقا لأب الدين ناتا في </w:t>
      </w:r>
      <w:r>
        <w:rPr>
          <w:rFonts w:ascii="Traditional Arabic" w:hAnsi="Traditional Arabic" w:cs="Traditional Arabic" w:hint="cs"/>
          <w:sz w:val="32"/>
          <w:szCs w:val="32"/>
          <w:rtl/>
        </w:rPr>
        <w:t>سورة العلق الاية 1-5</w:t>
      </w:r>
      <w:r w:rsidRPr="00D26FD4">
        <w:rPr>
          <w:rFonts w:ascii="Traditional Arabic" w:hAnsi="Traditional Arabic" w:cs="Traditional Arabic"/>
          <w:sz w:val="32"/>
          <w:szCs w:val="32"/>
          <w:rtl/>
        </w:rPr>
        <w:t xml:space="preserve"> هناك أيضا شرح لعناصر التعليم، وهي: (أ) مكون الأسلوب، الذي في هذه الحالة طريقة إقرا بأوسع معانيها (ب) عنصر المعلم، وفي هذه الحالة الله الذي أمر النبي محمد (صلى الله عليه وسلم) بقراءة وتعليم الإنسان عن السوتو الذي لا يعرفه بعد. (ج) عنصر التلميذ، وفي هذه الحالة النبي محمد (صلى الله عليه وسلم) الذي أمر بقراءته الله سبحانه وتعالى. (د) عنصر مرافق البنية التحتية، التي في هذه الحالة القلم، بأوسع معانيها. (ه) المنهج الدراسي، الذي هو في هذه الحالة </w:t>
      </w:r>
      <w:r>
        <w:rPr>
          <w:rFonts w:ascii="Traditional Arabic" w:hAnsi="Traditional Arabic" w:cs="Traditional Arabic" w:hint="cs"/>
          <w:sz w:val="32"/>
          <w:szCs w:val="32"/>
          <w:rtl/>
        </w:rPr>
        <w:t>"ما لم يعلم", فهو</w:t>
      </w:r>
      <w:r w:rsidRPr="00D26FD4">
        <w:rPr>
          <w:rFonts w:ascii="Traditional Arabic" w:hAnsi="Traditional Arabic" w:cs="Traditional Arabic"/>
          <w:sz w:val="32"/>
          <w:szCs w:val="32"/>
          <w:rtl/>
        </w:rPr>
        <w:t xml:space="preserve"> جميع </w:t>
      </w:r>
      <w:r>
        <w:rPr>
          <w:rFonts w:ascii="Traditional Arabic" w:hAnsi="Traditional Arabic" w:cs="Traditional Arabic" w:hint="cs"/>
          <w:sz w:val="32"/>
          <w:szCs w:val="32"/>
          <w:rtl/>
        </w:rPr>
        <w:t>الحال</w:t>
      </w:r>
      <w:r w:rsidRPr="00D26FD4">
        <w:rPr>
          <w:rFonts w:ascii="Traditional Arabic" w:hAnsi="Traditional Arabic" w:cs="Traditional Arabic"/>
          <w:sz w:val="32"/>
          <w:szCs w:val="32"/>
          <w:rtl/>
        </w:rPr>
        <w:t xml:space="preserve"> التي لم يعرفها الإنسان بعد. (ناتا: 2011)</w:t>
      </w:r>
    </w:p>
    <w:p w14:paraId="2450A15C" w14:textId="77777777" w:rsidR="00462A83" w:rsidRDefault="00462A83" w:rsidP="00462A83">
      <w:pPr>
        <w:bidi/>
        <w:rPr>
          <w:rFonts w:ascii="Traditional Arabic" w:hAnsi="Traditional Arabic" w:cs="Traditional Arabic"/>
          <w:sz w:val="32"/>
          <w:szCs w:val="32"/>
        </w:rPr>
      </w:pPr>
      <w:r w:rsidRPr="00D26FD4">
        <w:rPr>
          <w:rFonts w:ascii="Traditional Arabic" w:hAnsi="Traditional Arabic" w:cs="Traditional Arabic"/>
          <w:sz w:val="32"/>
          <w:szCs w:val="32"/>
          <w:rtl/>
        </w:rPr>
        <w:t>القرآن مشتق من كلمة "</w:t>
      </w:r>
      <w:r>
        <w:rPr>
          <w:rFonts w:ascii="Traditional Arabic" w:hAnsi="Traditional Arabic" w:cs="Traditional Arabic" w:hint="cs"/>
          <w:sz w:val="32"/>
          <w:szCs w:val="32"/>
          <w:rtl/>
        </w:rPr>
        <w:t>قرأ</w:t>
      </w:r>
      <w:r w:rsidRPr="00D26FD4">
        <w:rPr>
          <w:rFonts w:ascii="Traditional Arabic" w:hAnsi="Traditional Arabic" w:cs="Traditional Arabic"/>
          <w:sz w:val="32"/>
          <w:szCs w:val="32"/>
          <w:rtl/>
        </w:rPr>
        <w:t xml:space="preserve">" التي لها معنى يقرأ أو يجمع؛ إنه يجمع الأخبار والقوانين. (اليوتسامين: 2017) في حين أن القرآن الكريم هو كلام الله الذي كشف للنبي محمد </w:t>
      </w:r>
      <w:r>
        <w:rPr>
          <w:rFonts w:ascii="Traditional Arabic" w:hAnsi="Traditional Arabic" w:cs="Traditional Arabic" w:hint="cs"/>
          <w:sz w:val="32"/>
          <w:szCs w:val="32"/>
          <w:rtl/>
        </w:rPr>
        <w:t>صلي الله عليه و سلم</w:t>
      </w:r>
      <w:r w:rsidRPr="00D26FD4">
        <w:rPr>
          <w:rFonts w:ascii="Traditional Arabic" w:hAnsi="Traditional Arabic" w:cs="Traditional Arabic"/>
          <w:sz w:val="32"/>
          <w:szCs w:val="32"/>
          <w:rtl/>
        </w:rPr>
        <w:t xml:space="preserve"> باللغة العربية التي تمنح للجيل القاد</w:t>
      </w:r>
      <w:r>
        <w:rPr>
          <w:rFonts w:ascii="Traditional Arabic" w:hAnsi="Traditional Arabic" w:cs="Traditional Arabic" w:hint="cs"/>
          <w:sz w:val="32"/>
          <w:szCs w:val="32"/>
          <w:rtl/>
        </w:rPr>
        <w:t>م علي طريقة المتواتر</w:t>
      </w:r>
      <w:r w:rsidRPr="00D26FD4">
        <w:rPr>
          <w:rFonts w:ascii="Traditional Arabic" w:hAnsi="Traditional Arabic" w:cs="Traditional Arabic"/>
          <w:sz w:val="32"/>
          <w:szCs w:val="32"/>
          <w:rtl/>
        </w:rPr>
        <w:t>، وقراءته هو العبادة، وكتب في ال</w:t>
      </w:r>
      <w:r>
        <w:rPr>
          <w:rFonts w:ascii="Traditional Arabic" w:hAnsi="Traditional Arabic" w:cs="Traditional Arabic" w:hint="cs"/>
          <w:sz w:val="32"/>
          <w:szCs w:val="32"/>
          <w:rtl/>
        </w:rPr>
        <w:t>مصحف</w:t>
      </w:r>
      <w:r w:rsidRPr="00D26FD4">
        <w:rPr>
          <w:rFonts w:ascii="Traditional Arabic" w:hAnsi="Traditional Arabic" w:cs="Traditional Arabic"/>
          <w:sz w:val="32"/>
          <w:szCs w:val="32"/>
          <w:rtl/>
        </w:rPr>
        <w:t>: بدءا من سورة الفاتحة ومغلقة مع سورة الن</w:t>
      </w:r>
      <w:r>
        <w:rPr>
          <w:rFonts w:ascii="Traditional Arabic" w:hAnsi="Traditional Arabic" w:cs="Traditional Arabic" w:hint="cs"/>
          <w:sz w:val="32"/>
          <w:szCs w:val="32"/>
          <w:rtl/>
        </w:rPr>
        <w:t>اس</w:t>
      </w:r>
      <w:r w:rsidRPr="00D26FD4">
        <w:rPr>
          <w:rFonts w:ascii="Traditional Arabic" w:hAnsi="Traditional Arabic" w:cs="Traditional Arabic"/>
          <w:sz w:val="32"/>
          <w:szCs w:val="32"/>
          <w:rtl/>
        </w:rPr>
        <w:t xml:space="preserve">. يتكون القرآن من 114 </w:t>
      </w:r>
      <w:r>
        <w:rPr>
          <w:rFonts w:ascii="Traditional Arabic" w:hAnsi="Traditional Arabic" w:cs="Traditional Arabic" w:hint="cs"/>
          <w:sz w:val="32"/>
          <w:szCs w:val="32"/>
          <w:rtl/>
        </w:rPr>
        <w:t>جزءا</w:t>
      </w:r>
      <w:r w:rsidRPr="00D26FD4">
        <w:rPr>
          <w:rFonts w:ascii="Traditional Arabic" w:hAnsi="Traditional Arabic" w:cs="Traditional Arabic"/>
          <w:sz w:val="32"/>
          <w:szCs w:val="32"/>
          <w:rtl/>
        </w:rPr>
        <w:t>، و</w:t>
      </w:r>
      <w:r>
        <w:rPr>
          <w:rFonts w:ascii="Traditional Arabic" w:hAnsi="Traditional Arabic" w:cs="Traditional Arabic" w:hint="cs"/>
          <w:sz w:val="32"/>
          <w:szCs w:val="32"/>
          <w:rtl/>
        </w:rPr>
        <w:t xml:space="preserve"> سورة</w:t>
      </w:r>
      <w:r w:rsidRPr="00D26FD4">
        <w:rPr>
          <w:rFonts w:ascii="Traditional Arabic" w:hAnsi="Traditional Arabic" w:cs="Traditional Arabic"/>
          <w:sz w:val="32"/>
          <w:szCs w:val="32"/>
          <w:rtl/>
        </w:rPr>
        <w:t xml:space="preserve"> هي قطع من كلام الله تتضمن ثلاث آيات أو أكثر، وأقصر</w:t>
      </w:r>
      <w:r>
        <w:rPr>
          <w:rFonts w:ascii="Traditional Arabic" w:hAnsi="Traditional Arabic" w:cs="Traditional Arabic" w:hint="cs"/>
          <w:sz w:val="32"/>
          <w:szCs w:val="32"/>
          <w:rtl/>
        </w:rPr>
        <w:t>ها سورة التكاثر</w:t>
      </w:r>
      <w:r w:rsidRPr="00D26FD4">
        <w:rPr>
          <w:rFonts w:ascii="Traditional Arabic" w:hAnsi="Traditional Arabic" w:cs="Traditional Arabic"/>
          <w:sz w:val="32"/>
          <w:szCs w:val="32"/>
          <w:rtl/>
        </w:rPr>
        <w:t xml:space="preserve"> وأطول</w:t>
      </w:r>
      <w:r>
        <w:rPr>
          <w:rFonts w:ascii="Traditional Arabic" w:hAnsi="Traditional Arabic" w:cs="Traditional Arabic" w:hint="cs"/>
          <w:sz w:val="32"/>
          <w:szCs w:val="32"/>
          <w:rtl/>
        </w:rPr>
        <w:t>ها</w:t>
      </w:r>
      <w:r w:rsidRPr="00D26FD4">
        <w:rPr>
          <w:rFonts w:ascii="Traditional Arabic" w:hAnsi="Traditional Arabic" w:cs="Traditional Arabic"/>
          <w:sz w:val="32"/>
          <w:szCs w:val="32"/>
          <w:rtl/>
        </w:rPr>
        <w:t xml:space="preserve"> البقورة. (الجزائري: 1990)</w:t>
      </w:r>
    </w:p>
    <w:p w14:paraId="444B0F7A"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 xml:space="preserve">التفسير في اللغة يكشف عن الحجب. بينما بعبارات توضح معنى القرآن الكريم. (أوتسيمين: 2017) تفسير القرآن له بعض النهج الأولى التي تسمى </w:t>
      </w:r>
      <w:r>
        <w:rPr>
          <w:rFonts w:ascii="Traditional Arabic" w:hAnsi="Traditional Arabic" w:cs="Traditional Arabic" w:hint="cs"/>
          <w:sz w:val="32"/>
          <w:szCs w:val="32"/>
          <w:rtl/>
        </w:rPr>
        <w:t>التفسير بالمأثور</w:t>
      </w:r>
      <w:r w:rsidRPr="008D1031">
        <w:rPr>
          <w:rFonts w:ascii="Traditional Arabic" w:hAnsi="Traditional Arabic" w:cs="Traditional Arabic"/>
          <w:sz w:val="32"/>
          <w:szCs w:val="32"/>
          <w:rtl/>
        </w:rPr>
        <w:t>، وهي تفسيرات تتم من خلال مطابقة ن</w:t>
      </w:r>
      <w:r>
        <w:rPr>
          <w:rFonts w:ascii="Traditional Arabic" w:hAnsi="Traditional Arabic" w:cs="Traditional Arabic" w:hint="cs"/>
          <w:sz w:val="32"/>
          <w:szCs w:val="32"/>
          <w:rtl/>
        </w:rPr>
        <w:t>صا بنص</w:t>
      </w:r>
      <w:r w:rsidRPr="008D1031">
        <w:rPr>
          <w:rFonts w:ascii="Traditional Arabic" w:hAnsi="Traditional Arabic" w:cs="Traditional Arabic"/>
          <w:sz w:val="32"/>
          <w:szCs w:val="32"/>
          <w:rtl/>
        </w:rPr>
        <w:t xml:space="preserve"> مع بعضها البعض، كما يتم شرح القرآن مع القرآن كما فعل ال</w:t>
      </w:r>
      <w:r>
        <w:rPr>
          <w:rFonts w:ascii="Traditional Arabic" w:hAnsi="Traditional Arabic" w:cs="Traditional Arabic" w:hint="cs"/>
          <w:sz w:val="32"/>
          <w:szCs w:val="32"/>
          <w:rtl/>
        </w:rPr>
        <w:t>شنقطي</w:t>
      </w:r>
      <w:r w:rsidRPr="008D1031">
        <w:rPr>
          <w:rFonts w:ascii="Traditional Arabic" w:hAnsi="Traditional Arabic" w:cs="Traditional Arabic"/>
          <w:sz w:val="32"/>
          <w:szCs w:val="32"/>
          <w:rtl/>
        </w:rPr>
        <w:t xml:space="preserve">، أو يتم تفسير القرآن بالأحاديث، كلمات الصحابة، كلمات التابيين تفسير. ثانيا: نهج </w:t>
      </w:r>
      <w:r>
        <w:rPr>
          <w:rFonts w:ascii="Traditional Arabic" w:hAnsi="Traditional Arabic" w:cs="Traditional Arabic" w:hint="cs"/>
          <w:sz w:val="32"/>
          <w:szCs w:val="32"/>
          <w:rtl/>
        </w:rPr>
        <w:t>بالرأي</w:t>
      </w:r>
      <w:r w:rsidRPr="008D1031">
        <w:rPr>
          <w:rFonts w:ascii="Traditional Arabic" w:hAnsi="Traditional Arabic" w:cs="Traditional Arabic"/>
          <w:sz w:val="32"/>
          <w:szCs w:val="32"/>
          <w:rtl/>
        </w:rPr>
        <w:t xml:space="preserve"> هو تفسير القرآن بنسبة معفية، ويختلف العلماء حول قدرة هذا النهج، لكن نقطة الاهتمام هي نسبة المفسر، إذا كان المفسر يعطي الشروط للتفسير فلا بأس في حين أن الاستفادة من هذه الشهوة أمر مستهجن. ثالثا: </w:t>
      </w:r>
      <w:r>
        <w:rPr>
          <w:rFonts w:ascii="Traditional Arabic" w:hAnsi="Traditional Arabic" w:cs="Traditional Arabic" w:hint="cs"/>
          <w:sz w:val="32"/>
          <w:szCs w:val="32"/>
          <w:rtl/>
        </w:rPr>
        <w:t>التفسير الاشاري</w:t>
      </w:r>
      <w:r w:rsidRPr="008D103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w:t>
      </w:r>
      <w:r w:rsidRPr="008D1031">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8D1031">
        <w:rPr>
          <w:rFonts w:ascii="Traditional Arabic" w:hAnsi="Traditional Arabic" w:cs="Traditional Arabic"/>
          <w:sz w:val="32"/>
          <w:szCs w:val="32"/>
          <w:rtl/>
        </w:rPr>
        <w:t>التفسير الذي يقوم به المفسر وفقا للصفحة الدينية ونتائج تأملها فيما يتعلق بقدراتها أمر متنازع عليه. كتب ال</w:t>
      </w:r>
      <w:r>
        <w:rPr>
          <w:rFonts w:ascii="Traditional Arabic" w:hAnsi="Traditional Arabic" w:cs="Traditional Arabic" w:hint="cs"/>
          <w:sz w:val="32"/>
          <w:szCs w:val="32"/>
          <w:rtl/>
        </w:rPr>
        <w:t>تفاسير</w:t>
      </w:r>
      <w:r w:rsidRPr="008D1031">
        <w:rPr>
          <w:rFonts w:ascii="Traditional Arabic" w:hAnsi="Traditional Arabic" w:cs="Traditional Arabic"/>
          <w:sz w:val="32"/>
          <w:szCs w:val="32"/>
          <w:rtl/>
        </w:rPr>
        <w:t xml:space="preserve"> لها أنماط مختلفة في تفسير القرآن، وفقا لخلفية وخبرة المفسر، إذا كان المفسر لديه إتقان عميق للفقه، فإن تفسير عمله سيكون مغمورا جدا برؤى حول علم الفقه، بحيث يصنف الكتاب ككتاب تفسير منقوش على الفقه. في تفسير القرآن هناك تطورات في الأسلوب، في بداية تطور القرآن يفسر عالميا </w:t>
      </w:r>
      <w:r>
        <w:rPr>
          <w:rFonts w:ascii="Traditional Arabic" w:hAnsi="Traditional Arabic" w:cs="Traditional Arabic" w:hint="cs"/>
          <w:sz w:val="32"/>
          <w:szCs w:val="32"/>
          <w:rtl/>
        </w:rPr>
        <w:t>(الاجمالي</w:t>
      </w:r>
      <w:r w:rsidRPr="008D1031">
        <w:rPr>
          <w:rFonts w:ascii="Traditional Arabic" w:hAnsi="Traditional Arabic" w:cs="Traditional Arabic"/>
          <w:sz w:val="32"/>
          <w:szCs w:val="32"/>
          <w:rtl/>
        </w:rPr>
        <w:t xml:space="preserve">) لأن حالة الأمة في ذلك الوقت بطلاقة في اللغة العربية، مع مرور الوقت والثقافة المتزايدة للحاجة إلى تفسير أوسع للقرآن ويبدو أن طريقة المخاطية لتفسير التحليلي ، وتصنيف وفقا لموضوع اللغة ثم هناك حاجة أيضا ثم </w:t>
      </w:r>
      <w:r>
        <w:rPr>
          <w:rFonts w:ascii="Traditional Arabic" w:hAnsi="Traditional Arabic" w:cs="Traditional Arabic" w:hint="cs"/>
          <w:sz w:val="32"/>
          <w:szCs w:val="32"/>
          <w:rtl/>
        </w:rPr>
        <w:t>منهج الموضوعي</w:t>
      </w:r>
      <w:r w:rsidRPr="008D1031">
        <w:rPr>
          <w:rFonts w:ascii="Traditional Arabic" w:hAnsi="Traditional Arabic" w:cs="Traditional Arabic"/>
          <w:sz w:val="32"/>
          <w:szCs w:val="32"/>
          <w:rtl/>
        </w:rPr>
        <w:t xml:space="preserve"> </w:t>
      </w:r>
      <w:r w:rsidRPr="008D1031">
        <w:rPr>
          <w:rFonts w:ascii="Traditional Arabic" w:hAnsi="Traditional Arabic" w:cs="Traditional Arabic"/>
          <w:sz w:val="32"/>
          <w:szCs w:val="32"/>
          <w:rtl/>
        </w:rPr>
        <w:lastRenderedPageBreak/>
        <w:t xml:space="preserve">الأسلوب الذي يجمع ويناقش آيات القرآن  وفقا للقضاء. وهناك أيضا طريقة </w:t>
      </w:r>
      <w:r>
        <w:rPr>
          <w:rFonts w:ascii="Traditional Arabic" w:hAnsi="Traditional Arabic" w:cs="Traditional Arabic" w:hint="cs"/>
          <w:sz w:val="32"/>
          <w:szCs w:val="32"/>
          <w:rtl/>
        </w:rPr>
        <w:t>مقارنة</w:t>
      </w:r>
      <w:r w:rsidRPr="008D1031">
        <w:rPr>
          <w:rFonts w:ascii="Traditional Arabic" w:hAnsi="Traditional Arabic" w:cs="Traditional Arabic"/>
          <w:sz w:val="32"/>
          <w:szCs w:val="32"/>
          <w:rtl/>
        </w:rPr>
        <w:t xml:space="preserve"> لإضافة نظرة مفصلة على وجهة نظر الكتاب مع بعضها البعض.</w:t>
      </w:r>
    </w:p>
    <w:p w14:paraId="0E9D98FC" w14:textId="77777777" w:rsidR="00462A83"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 xml:space="preserve">وهذا يشجع الباحثين على المشاركة في تحسين التعليم القائم من خلال المفاهيم التعليمية المستخلصة من مصدر التعليم الإسلامي (القرآن) بعنوان "مفهوم التعليم في </w:t>
      </w:r>
      <w:r>
        <w:rPr>
          <w:rFonts w:ascii="Traditional Arabic" w:hAnsi="Traditional Arabic" w:cs="Traditional Arabic" w:hint="cs"/>
          <w:sz w:val="32"/>
          <w:szCs w:val="32"/>
          <w:rtl/>
        </w:rPr>
        <w:t>سورة لقمان الاية 12-19 عند</w:t>
      </w:r>
      <w:r w:rsidRPr="008D1031">
        <w:rPr>
          <w:rFonts w:ascii="Traditional Arabic" w:hAnsi="Traditional Arabic" w:cs="Traditional Arabic"/>
          <w:sz w:val="32"/>
          <w:szCs w:val="32"/>
          <w:rtl/>
        </w:rPr>
        <w:t xml:space="preserve">  تيسير كريم الرحمن </w:t>
      </w:r>
      <w:r>
        <w:rPr>
          <w:rFonts w:ascii="Traditional Arabic" w:hAnsi="Traditional Arabic" w:cs="Traditional Arabic" w:hint="cs"/>
          <w:sz w:val="32"/>
          <w:szCs w:val="32"/>
          <w:rtl/>
        </w:rPr>
        <w:t>في تفسير</w:t>
      </w:r>
      <w:r w:rsidRPr="008D1031">
        <w:rPr>
          <w:rFonts w:ascii="Traditional Arabic" w:hAnsi="Traditional Arabic" w:cs="Traditional Arabic"/>
          <w:sz w:val="32"/>
          <w:szCs w:val="32"/>
          <w:rtl/>
        </w:rPr>
        <w:t xml:space="preserve"> كلام المنان </w:t>
      </w:r>
      <w:r>
        <w:rPr>
          <w:rFonts w:ascii="Traditional Arabic" w:hAnsi="Traditional Arabic" w:cs="Traditional Arabic" w:hint="cs"/>
          <w:sz w:val="32"/>
          <w:szCs w:val="32"/>
          <w:rtl/>
        </w:rPr>
        <w:t>ل</w:t>
      </w:r>
      <w:r w:rsidRPr="008D1031">
        <w:rPr>
          <w:rFonts w:ascii="Traditional Arabic" w:hAnsi="Traditional Arabic" w:cs="Traditional Arabic"/>
          <w:sz w:val="32"/>
          <w:szCs w:val="32"/>
          <w:rtl/>
        </w:rPr>
        <w:t>عبد الرحمن بن نا</w:t>
      </w:r>
      <w:r>
        <w:rPr>
          <w:rFonts w:ascii="Traditional Arabic" w:hAnsi="Traditional Arabic" w:cs="Traditional Arabic" w:hint="cs"/>
          <w:sz w:val="32"/>
          <w:szCs w:val="32"/>
          <w:rtl/>
        </w:rPr>
        <w:t>صر</w:t>
      </w:r>
      <w:r w:rsidRPr="008D1031">
        <w:rPr>
          <w:rFonts w:ascii="Traditional Arabic" w:hAnsi="Traditional Arabic" w:cs="Traditional Arabic"/>
          <w:sz w:val="32"/>
          <w:szCs w:val="32"/>
          <w:rtl/>
        </w:rPr>
        <w:t xml:space="preserve"> ال</w:t>
      </w:r>
      <w:r>
        <w:rPr>
          <w:rFonts w:ascii="Traditional Arabic" w:hAnsi="Traditional Arabic" w:cs="Traditional Arabic" w:hint="cs"/>
          <w:sz w:val="32"/>
          <w:szCs w:val="32"/>
          <w:rtl/>
        </w:rPr>
        <w:t>سعدي</w:t>
      </w:r>
      <w:r w:rsidRPr="008D1031">
        <w:rPr>
          <w:rFonts w:ascii="Traditional Arabic" w:hAnsi="Traditional Arabic" w:cs="Traditional Arabic"/>
          <w:sz w:val="32"/>
          <w:szCs w:val="32"/>
          <w:rtl/>
        </w:rPr>
        <w:t>"</w:t>
      </w:r>
    </w:p>
    <w:p w14:paraId="4F02B0F8" w14:textId="77777777" w:rsidR="00462A83" w:rsidRDefault="00462A83" w:rsidP="00462A83">
      <w:pPr>
        <w:bidi/>
        <w:rPr>
          <w:rFonts w:ascii="Traditional Arabic" w:hAnsi="Traditional Arabic" w:cs="Traditional Arabic"/>
          <w:sz w:val="32"/>
          <w:szCs w:val="32"/>
        </w:rPr>
      </w:pPr>
    </w:p>
    <w:p w14:paraId="354C077D"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طرق البحث</w:t>
      </w:r>
    </w:p>
    <w:p w14:paraId="40C827BE"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 xml:space="preserve">يستخدم الباحثون في هذه الدراسة مقاربات نوعية وأساليب وصفية لأن البحوث التي أجريت تحليلية، وبحوث تستند إلى تحليل الوثائق (الكتب والأوراق العلمية والملاحظات وغيرها من محو الأمية). طريقة البحث النوعي هو أسلوب بحثي يقوم على فلسفة ما بعد الموضوعية ، وتستخدم لدراسة ظروف الأجسام الطبيعية ، (بدلا من التجريبية) حيث الباحث هو أداة رئيسية ، ويتم تنفيذ تقنيات جمع البيانات من التشريب (مجتمعة) تحليل البيانات هو الاستقرائي / النوعي والبحث النوعي يؤكد معنى بدلا من التعميم. (سوجيونو: 2013) الطريقة الوصفية هي تقديم البيانات بطريقة تصف الحقيقة قدر الإمكان، وفقا للبيانات التي تم الحصول عليها من نتائج الدراسة. الغرض من استخدام الباحثين لأساليب البحث الوصفية في هذه الدراسة هو: معرفة مفهوم التعليم في </w:t>
      </w:r>
      <w:r>
        <w:rPr>
          <w:rFonts w:ascii="Traditional Arabic" w:hAnsi="Traditional Arabic" w:cs="Traditional Arabic" w:hint="cs"/>
          <w:sz w:val="32"/>
          <w:szCs w:val="32"/>
          <w:rtl/>
        </w:rPr>
        <w:t xml:space="preserve">سورة لقمان الاية 12-19 </w:t>
      </w:r>
      <w:r w:rsidRPr="008D1031">
        <w:rPr>
          <w:rFonts w:ascii="Traditional Arabic" w:hAnsi="Traditional Arabic" w:cs="Traditional Arabic"/>
          <w:sz w:val="32"/>
          <w:szCs w:val="32"/>
          <w:rtl/>
        </w:rPr>
        <w:t>مع بذل جهود لتحليل وشرح بعناية وعناية وفقا لمنظور تفسير تيسير كريم الرحمن في تفسير كلام المنان بحيث يصبح مفهوما تعليميا يمكن أن يكون حلا في عالم التعليم.</w:t>
      </w:r>
    </w:p>
    <w:p w14:paraId="59A97BFD"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هذا النوع من البحوث ينتمي إلى دراسات الأدب. الدراسات الأدبية تعني أيضا تقنيات جمع البيانات من خلال إجراء مراجعة للكتب والأدب والملاحظات والتقارير المختلفة المتعلقة بالمشكلة التي يتعين حلها. الخطوات في البحوث الأدبية وفقا ل</w:t>
      </w:r>
      <w:r>
        <w:rPr>
          <w:rFonts w:ascii="Traditional Arabic" w:hAnsi="Traditional Arabic" w:cs="Traditional Arabic" w:hint="cs"/>
          <w:sz w:val="32"/>
          <w:szCs w:val="32"/>
          <w:rtl/>
        </w:rPr>
        <w:t>كهلطو</w:t>
      </w:r>
      <w:r w:rsidRPr="008D1031">
        <w:rPr>
          <w:rFonts w:ascii="Traditional Arabic" w:hAnsi="Traditional Arabic" w:cs="Traditional Arabic"/>
          <w:sz w:val="32"/>
          <w:szCs w:val="32"/>
          <w:rtl/>
        </w:rPr>
        <w:t xml:space="preserve"> (2002) هي على النحو التالي : 1. اختيار المواضيع 2. استكشاف المعلومات 3. تحديد محور البحث 4. جمع مصدر البيانات 5. إعداد عرض البيانات 6. صياغة تقرير.</w:t>
      </w:r>
    </w:p>
    <w:p w14:paraId="56067C30"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المصدر الأساسي للبحوث، جعل المؤلف الأعمال التي كتبها عبد الرحمن بن ناشر الصيردي مصدرا أساسيا بسبب المفهوم التعليمي المنشود استنادا إلى وجهة نظره، وخاصة تيسير تيسير الكريم الرحمن في تيسير كلام المنان، من بين كتب أخرى. وفي حين أن مصادر ثانوية غير أن صاحب البلاغ أخذ أيضا مصادر أخرى ذات صلة بهذه الدراسة، منها: طالب معتم الزرقنجي، وشارة هيلا ثليب علمي بكر أبو زيد، وفيكر عط- طرباوي، وشيخ عبد الرحمن بن نا</w:t>
      </w:r>
      <w:r>
        <w:rPr>
          <w:rFonts w:ascii="Traditional Arabic" w:hAnsi="Traditional Arabic" w:cs="Traditional Arabic" w:hint="cs"/>
          <w:sz w:val="32"/>
          <w:szCs w:val="32"/>
          <w:rtl/>
        </w:rPr>
        <w:t>ص</w:t>
      </w:r>
      <w:r w:rsidRPr="008D1031">
        <w:rPr>
          <w:rFonts w:ascii="Traditional Arabic" w:hAnsi="Traditional Arabic" w:cs="Traditional Arabic"/>
          <w:sz w:val="32"/>
          <w:szCs w:val="32"/>
          <w:rtl/>
        </w:rPr>
        <w:t>ر السعدي</w:t>
      </w:r>
      <w:r>
        <w:rPr>
          <w:rFonts w:ascii="Traditional Arabic" w:hAnsi="Traditional Arabic" w:cs="Traditional Arabic" w:hint="cs"/>
          <w:sz w:val="32"/>
          <w:szCs w:val="32"/>
          <w:rtl/>
        </w:rPr>
        <w:t xml:space="preserve"> </w:t>
      </w:r>
      <w:r w:rsidRPr="008D1031">
        <w:rPr>
          <w:rFonts w:ascii="Traditional Arabic" w:hAnsi="Traditional Arabic" w:cs="Traditional Arabic"/>
          <w:sz w:val="32"/>
          <w:szCs w:val="32"/>
          <w:rtl/>
        </w:rPr>
        <w:t>الخ</w:t>
      </w:r>
      <w:r>
        <w:rPr>
          <w:rFonts w:ascii="Traditional Arabic" w:hAnsi="Traditional Arabic" w:cs="Traditional Arabic" w:hint="cs"/>
          <w:sz w:val="32"/>
          <w:szCs w:val="32"/>
          <w:rtl/>
        </w:rPr>
        <w:t>.</w:t>
      </w:r>
    </w:p>
    <w:p w14:paraId="51D73120"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 xml:space="preserve">تستخدم تقنيات جمع البيانات تقنيات التوثيق. تركز تقنية جمع البيانات الخاصة بالمؤلف على المكتبات. لذا فإن كل كتاب ومجلة وكتاب وغيرها من الأعمال المكتوبة التي لها صلة بالبحوث ستكون مصدرا للبيانات. </w:t>
      </w:r>
      <w:r w:rsidRPr="008D1031">
        <w:rPr>
          <w:rFonts w:ascii="Traditional Arabic" w:hAnsi="Traditional Arabic" w:cs="Traditional Arabic"/>
          <w:sz w:val="32"/>
          <w:szCs w:val="32"/>
          <w:rtl/>
        </w:rPr>
        <w:lastRenderedPageBreak/>
        <w:t>والتوثيق، التوثيق هو تقنية لجمع البيانات التي لا يتم توجيهها مباشرة إلى موضوع البحث، ولكن من خلال الوثيقة. الوثيقة هي سجل مكتوب تشكل محتوياته أي بيان مكتوب يعده شخص أو مؤسسة لأغراض اختبار حدث ومفيد لمصادر البيانات والأدلة والمعلومات الطبيعية التي يصعب الحصول عليها، ويصعب العثور عليها، ويفتح الفرصة لزيادة توسيع نطاق المعرفة بشيء يجري التحقيق فيه. (بريانا: 2020)</w:t>
      </w:r>
    </w:p>
    <w:p w14:paraId="478483D9" w14:textId="77777777" w:rsidR="00462A83" w:rsidRPr="008D1031" w:rsidRDefault="00462A83" w:rsidP="00462A83">
      <w:pPr>
        <w:bidi/>
        <w:rPr>
          <w:rFonts w:ascii="Traditional Arabic" w:hAnsi="Traditional Arabic" w:cs="Traditional Arabic"/>
          <w:sz w:val="32"/>
          <w:szCs w:val="32"/>
        </w:rPr>
      </w:pPr>
      <w:r w:rsidRPr="008D1031">
        <w:rPr>
          <w:rFonts w:ascii="Traditional Arabic" w:hAnsi="Traditional Arabic" w:cs="Traditional Arabic"/>
          <w:sz w:val="32"/>
          <w:szCs w:val="32"/>
          <w:rtl/>
        </w:rPr>
        <w:t>تقنية تحليل البيانات باستخدام تقنيات تحليل المحتوى ، وتقنيات تحليل المحتوى هي طريقة بحثية باستخدام مجموعة من الإجراءات لجعل الاستدلالات الصحيحة من النص (</w:t>
      </w:r>
      <w:r w:rsidRPr="008D1031">
        <w:rPr>
          <w:rFonts w:ascii="Traditional Arabic" w:hAnsi="Traditional Arabic" w:cs="Traditional Arabic"/>
          <w:sz w:val="32"/>
          <w:szCs w:val="32"/>
        </w:rPr>
        <w:t>Weber</w:t>
      </w:r>
      <w:r w:rsidRPr="008D1031">
        <w:rPr>
          <w:rFonts w:ascii="Traditional Arabic" w:hAnsi="Traditional Arabic" w:cs="Traditional Arabic"/>
          <w:sz w:val="32"/>
          <w:szCs w:val="32"/>
          <w:rtl/>
        </w:rPr>
        <w:t>) السبب في استخدام الباحثين لتقنيات تحليل محتوى البيانات التي يعتبرها الباحثون أن هذا البحث يتطلب فهما صحيحا لمحتوى النص ونقصد منه ، لذلك فهو مناسب جدا لاستخدام أساليب تحليل المحتوى التي تؤكد عليه. ثانيا، لأن الباحثين يأخذون بيانات من مختلف الأدبيات التي يتم تحليلها بعد ذلك.</w:t>
      </w:r>
    </w:p>
    <w:p w14:paraId="41C2F2E6" w14:textId="77777777" w:rsidR="00462A83" w:rsidRDefault="00462A83" w:rsidP="00462A83">
      <w:pPr>
        <w:bidi/>
        <w:rPr>
          <w:rFonts w:ascii="Traditional Arabic" w:hAnsi="Traditional Arabic" w:cs="Traditional Arabic"/>
          <w:sz w:val="32"/>
          <w:szCs w:val="32"/>
          <w:rtl/>
          <w:lang w:bidi="ar-JO"/>
        </w:rPr>
      </w:pPr>
      <w:r w:rsidRPr="008D1031">
        <w:rPr>
          <w:rFonts w:ascii="Traditional Arabic" w:hAnsi="Traditional Arabic" w:cs="Traditional Arabic"/>
          <w:sz w:val="32"/>
          <w:szCs w:val="32"/>
          <w:rtl/>
        </w:rPr>
        <w:t>خطوات تقنيات تحليل البيانات هي كما يلي: 1. اختيار وتحديد الموضوع الذي سيتم دراسته 2. جمع البيانات التي تتفق مع الموضوع من خلال الكتب والمجلات والأطروحات وغيرها من مصادر محو الأمية.3 تحليل وتوضيح البيانات في المصدر المرجعي. 4. التواصل مع الإطار النظري المستخدم</w:t>
      </w:r>
      <w:r>
        <w:rPr>
          <w:rFonts w:ascii="Traditional Arabic" w:hAnsi="Traditional Arabic" w:cs="Traditional Arabic" w:hint="cs"/>
          <w:sz w:val="32"/>
          <w:szCs w:val="32"/>
          <w:rtl/>
          <w:lang w:bidi="ar-JO"/>
        </w:rPr>
        <w:t>.</w:t>
      </w:r>
    </w:p>
    <w:p w14:paraId="6EED3DF0" w14:textId="77777777" w:rsidR="00462A83" w:rsidRPr="004723A7" w:rsidRDefault="00462A83" w:rsidP="00462A83">
      <w:pPr>
        <w:bidi/>
        <w:rPr>
          <w:rFonts w:ascii="Traditional Arabic" w:hAnsi="Traditional Arabic" w:cs="Traditional Arabic"/>
          <w:b/>
          <w:bCs/>
          <w:sz w:val="32"/>
          <w:szCs w:val="32"/>
          <w:lang w:bidi="ar-JO"/>
        </w:rPr>
      </w:pPr>
      <w:r w:rsidRPr="004723A7">
        <w:rPr>
          <w:rFonts w:ascii="Traditional Arabic" w:hAnsi="Traditional Arabic" w:cs="Traditional Arabic"/>
          <w:b/>
          <w:bCs/>
          <w:sz w:val="32"/>
          <w:szCs w:val="32"/>
          <w:rtl/>
          <w:lang w:bidi="ar-JO"/>
        </w:rPr>
        <w:t>نتائج البحث والمناقشة</w:t>
      </w:r>
    </w:p>
    <w:p w14:paraId="1E6E1EF8"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 xml:space="preserve">ألف - سيرة مؤلف </w:t>
      </w:r>
    </w:p>
    <w:p w14:paraId="01A6D076"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 xml:space="preserve">اسمه الكامل عبد الرحمن بن ناصر بن عبد الله بن ناصر بن حمد السعدي من إحدى قبائل بني التميمي، الذي يعرف أيضا باسم الشيخ السعدي، ولد عاساي شيخ السعدي في مدينة أونايزة في منطقة القصيم في 1307 هجرية، وفي سن الحادية عشرة (أحد عشر) سنة تمكن من حفظ القرآن تماما، ثم قرأ الحديث،  مثالاهول الحديث، اقتراح الطافسير، التفسر وغيرها. ومن بين تلاميذه أسي الشيخ محمد بن صالح </w:t>
      </w:r>
      <w:r>
        <w:rPr>
          <w:rFonts w:ascii="Traditional Arabic" w:hAnsi="Traditional Arabic" w:cs="Traditional Arabic" w:hint="cs"/>
          <w:sz w:val="32"/>
          <w:szCs w:val="32"/>
          <w:rtl/>
          <w:lang w:bidi="ar-JO"/>
        </w:rPr>
        <w:t>العثيمين</w:t>
      </w:r>
      <w:r w:rsidRPr="008D1031">
        <w:rPr>
          <w:rFonts w:ascii="Traditional Arabic" w:hAnsi="Traditional Arabic" w:cs="Traditional Arabic"/>
          <w:sz w:val="32"/>
          <w:szCs w:val="32"/>
          <w:rtl/>
          <w:lang w:bidi="ar-JO"/>
        </w:rPr>
        <w:t xml:space="preserve">، واسي الشيخ عبد الله بن عبد الرحمن البسام، واسي الشيخ عبد الله بن عبد العزيز بن عقيل. لديه الكثير من الأعمال المكتوبة في جميع مجالات العلوم العلمية بما في ذلك كتاب تيسير تيسير الكريم الرحمن في تيسير كلام المنان </w:t>
      </w:r>
      <w:r>
        <w:rPr>
          <w:rFonts w:ascii="Traditional Arabic" w:hAnsi="Traditional Arabic" w:cs="Traditional Arabic" w:hint="cs"/>
          <w:sz w:val="32"/>
          <w:szCs w:val="32"/>
          <w:rtl/>
          <w:lang w:bidi="ar-JO"/>
        </w:rPr>
        <w:t>.</w:t>
      </w:r>
      <w:r w:rsidRPr="008D1031">
        <w:rPr>
          <w:rFonts w:ascii="Traditional Arabic" w:hAnsi="Traditional Arabic" w:cs="Traditional Arabic"/>
          <w:sz w:val="32"/>
          <w:szCs w:val="32"/>
          <w:rtl/>
          <w:lang w:bidi="ar-JO"/>
        </w:rPr>
        <w:t xml:space="preserve">قال محمد بن صالح </w:t>
      </w:r>
      <w:r>
        <w:rPr>
          <w:rFonts w:ascii="Traditional Arabic" w:hAnsi="Traditional Arabic" w:cs="Traditional Arabic" w:hint="cs"/>
          <w:sz w:val="32"/>
          <w:szCs w:val="32"/>
          <w:rtl/>
          <w:lang w:bidi="ar-JO"/>
        </w:rPr>
        <w:t>العثيمين</w:t>
      </w:r>
      <w:r w:rsidRPr="008D1031">
        <w:rPr>
          <w:rFonts w:ascii="Traditional Arabic" w:hAnsi="Traditional Arabic" w:cs="Traditional Arabic"/>
          <w:sz w:val="32"/>
          <w:szCs w:val="32"/>
          <w:rtl/>
          <w:lang w:bidi="ar-JO"/>
        </w:rPr>
        <w:t xml:space="preserve"> ، عندما قدم ديباجة أو مقدمة لتافسير السعدي، إن كتاب الطافسر عيسى الشيخ السعدي هذا من أفضل كتب التفسر، لأنه له عدة امتيازات وخصوصيات، منها:</w:t>
      </w:r>
    </w:p>
    <w:p w14:paraId="7797F377"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1. الجمل المعروضة بسيطة وسهلة وواضحة ، بحيث يمكن فهمها بسرعة من قبل جميع الدوائر.</w:t>
      </w:r>
    </w:p>
    <w:p w14:paraId="1B6409B4"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2. لا طويلة الرياح وخلع ملابسه بعبارات أقل فائدة، أو إدراج شيء أقل أهمية.</w:t>
      </w:r>
    </w:p>
    <w:p w14:paraId="67D50BF0"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3. لا ذكر للخلاف، باستثناء الكهيلاف القوي والثابت.</w:t>
      </w:r>
    </w:p>
    <w:p w14:paraId="7337F650"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4. اتبع طريقة المنحاج / السلف في تفسير آيات الطبيعة ، حتى لا نعترض على ما يريده الله.</w:t>
      </w:r>
    </w:p>
    <w:p w14:paraId="44F14C21"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5. دقيق جدا في تقديم جميع الفايدة والقوانين التي نوقشت</w:t>
      </w:r>
    </w:p>
    <w:p w14:paraId="78026B92"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6. كتاب التفسير هذا تعليمي (</w:t>
      </w:r>
      <w:r>
        <w:rPr>
          <w:rFonts w:ascii="Traditional Arabic" w:hAnsi="Traditional Arabic" w:cs="Traditional Arabic" w:hint="cs"/>
          <w:sz w:val="32"/>
          <w:szCs w:val="32"/>
          <w:rtl/>
          <w:lang w:bidi="ar-JO"/>
        </w:rPr>
        <w:t>مانك: 2020</w:t>
      </w:r>
      <w:r w:rsidRPr="008D1031">
        <w:rPr>
          <w:rFonts w:ascii="Traditional Arabic" w:hAnsi="Traditional Arabic" w:cs="Traditional Arabic"/>
          <w:sz w:val="32"/>
          <w:szCs w:val="32"/>
          <w:rtl/>
          <w:lang w:bidi="ar-JO"/>
        </w:rPr>
        <w:t>)</w:t>
      </w:r>
    </w:p>
    <w:p w14:paraId="0FE5BB39"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lastRenderedPageBreak/>
        <w:t>ومن بين مديحاته، قال الشيخ عبد العزيز بن باز: "لم يتحدث إلا قليلا جدا باستثناء الأشياء التي جاءت ذات فائدة، لم أكن معه إلا مرة واحدة أثناء وجوده في مكة والرياض، لم يتحدث إلا قليلا عن مسائل المعرفة، كان متواضعا جدا، مدروسا جيدا، أيا كان من قرأ كتبه، سيعرف فضائله وحكمته واهتمامه بالاقتراح. بارك الله فيه برحمة كبيرة.</w:t>
      </w:r>
    </w:p>
    <w:p w14:paraId="7B4C44DB"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rtl/>
          <w:lang w:bidi="ar-JO"/>
        </w:rPr>
        <w:t xml:space="preserve">كان منذ طفولته مرتبطا بالتوجيه الديني من والده وشقيقه، اللذين كانا من الشخصيات الدينية في قريته. بالإضافة إلى ذلك، يعيش في المملكة العربية السعودية التي ثقافتها الدينية سميكة جدا مع أفكار الشيخ محمد بن عبد الوهاب. بالإضافة إلى ذلك، عمل أيضا في كتب ابن القائم وإبن تيمية. في ليلة الأربعاء 22 من الشهر في 1376 </w:t>
      </w:r>
      <w:r>
        <w:rPr>
          <w:rFonts w:ascii="Traditional Arabic" w:hAnsi="Traditional Arabic" w:cs="Traditional Arabic" w:hint="cs"/>
          <w:sz w:val="32"/>
          <w:szCs w:val="32"/>
          <w:rtl/>
          <w:lang w:bidi="ar-JO"/>
        </w:rPr>
        <w:t>ه</w:t>
      </w:r>
      <w:r w:rsidRPr="008D1031">
        <w:rPr>
          <w:rFonts w:ascii="Traditional Arabic" w:hAnsi="Traditional Arabic" w:cs="Traditional Arabic"/>
          <w:sz w:val="32"/>
          <w:szCs w:val="32"/>
          <w:rtl/>
          <w:lang w:bidi="ar-JO"/>
        </w:rPr>
        <w:t xml:space="preserve"> حدث ذلك بعد أن أنهى تعليمه المعتاد، مثل دراسته الأخرى. توفي فجر يوم الخميس الذي تزامن مع 23 جمعة خيرة في 1376 </w:t>
      </w:r>
      <w:r>
        <w:rPr>
          <w:rFonts w:ascii="Traditional Arabic" w:hAnsi="Traditional Arabic" w:cs="Traditional Arabic" w:hint="cs"/>
          <w:sz w:val="32"/>
          <w:szCs w:val="32"/>
          <w:rtl/>
          <w:lang w:bidi="ar-JO"/>
        </w:rPr>
        <w:t>ه</w:t>
      </w:r>
    </w:p>
    <w:p w14:paraId="37FA8CE1" w14:textId="77777777" w:rsidR="00462A83" w:rsidRPr="008D1031" w:rsidRDefault="00462A83" w:rsidP="00462A83">
      <w:pPr>
        <w:bidi/>
        <w:rPr>
          <w:rFonts w:ascii="Traditional Arabic" w:hAnsi="Traditional Arabic" w:cs="Traditional Arabic"/>
          <w:sz w:val="32"/>
          <w:szCs w:val="32"/>
          <w:lang w:bidi="ar-JO"/>
        </w:rPr>
      </w:pPr>
      <w:r w:rsidRPr="008D1031">
        <w:rPr>
          <w:rFonts w:ascii="Traditional Arabic" w:hAnsi="Traditional Arabic" w:cs="Traditional Arabic"/>
          <w:sz w:val="32"/>
          <w:szCs w:val="32"/>
          <w:lang w:bidi="ar-JO"/>
        </w:rPr>
        <w:t>Q.S</w:t>
      </w:r>
      <w:r w:rsidRPr="008D1031">
        <w:rPr>
          <w:rFonts w:ascii="Traditional Arabic" w:hAnsi="Traditional Arabic" w:cs="Traditional Arabic"/>
          <w:sz w:val="32"/>
          <w:szCs w:val="32"/>
          <w:rtl/>
          <w:lang w:bidi="ar-JO"/>
        </w:rPr>
        <w:t>. مفهوم التعليم</w:t>
      </w:r>
      <w:r>
        <w:rPr>
          <w:rFonts w:ascii="Traditional Arabic" w:hAnsi="Traditional Arabic" w:cs="Traditional Arabic" w:hint="cs"/>
          <w:sz w:val="32"/>
          <w:szCs w:val="32"/>
          <w:rtl/>
          <w:lang w:bidi="ar-JO"/>
        </w:rPr>
        <w:t xml:space="preserve"> في 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p>
    <w:p w14:paraId="21FB6F61" w14:textId="77777777" w:rsidR="00462A83" w:rsidRDefault="00462A83" w:rsidP="00462A83">
      <w:pPr>
        <w:bidi/>
        <w:rPr>
          <w:rFonts w:ascii="Traditional Arabic" w:hAnsi="Traditional Arabic" w:cs="Traditional Arabic"/>
          <w:sz w:val="32"/>
          <w:szCs w:val="32"/>
          <w:rtl/>
          <w:lang w:bidi="ar-JO"/>
        </w:rPr>
      </w:pPr>
      <w:r w:rsidRPr="008D1031">
        <w:rPr>
          <w:rFonts w:ascii="Traditional Arabic" w:hAnsi="Traditional Arabic" w:cs="Traditional Arabic"/>
          <w:sz w:val="32"/>
          <w:szCs w:val="32"/>
          <w:rtl/>
          <w:lang w:bidi="ar-JO"/>
        </w:rPr>
        <w:t xml:space="preserve">ذات صلة بمفهوم المعلمين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 xml:space="preserve">لقمان: 12-19، في منظور تفسير </w:t>
      </w:r>
      <w:r>
        <w:rPr>
          <w:rFonts w:ascii="Traditional Arabic" w:hAnsi="Traditional Arabic" w:cs="Traditional Arabic" w:hint="cs"/>
          <w:sz w:val="32"/>
          <w:szCs w:val="32"/>
          <w:rtl/>
          <w:lang w:bidi="ar-JO"/>
        </w:rPr>
        <w:t>السعدي</w:t>
      </w:r>
      <w:r w:rsidRPr="008D1031">
        <w:rPr>
          <w:rFonts w:ascii="Traditional Arabic" w:hAnsi="Traditional Arabic" w:cs="Traditional Arabic"/>
          <w:sz w:val="32"/>
          <w:szCs w:val="32"/>
          <w:rtl/>
          <w:lang w:bidi="ar-JO"/>
        </w:rPr>
        <w:t xml:space="preserve"> الذي التقطه الباحث ، أولا ؛ يجب أن يكون المعلم شخصا لديه قدرة علمية في هذا المجال ليتم تدريسه ، إذا كان الشخص الذي يريد تدريس مواد التعليم الديني الإسلامي ، فيجب عليه إتقان المواد التي سيتم تدريسها ، حتى يتمكن المتعلمون من الحصول على المعرفة الصحيحة وبعيدا عن الفهم الخاطئ. ثانيا: شخص مارس معرفته ثالثا: وفقا للعلوم والإحسان، لأنه إذا كان هناك فجوة بين العلم والإحسان فإن المعلم سيجعل المتعلمين يصبحون مشوشين، وهو ما يحتاج إلى أن يتبعه خطابه أو أفعاله، فهذا أمر خطير لتشكيل شخصية وفهم المتعلمين. رابعا: بصدق، بإخلاص سيكون المعلم متحمسا في توفير التعليم، وتكريس كل القدرة على توفير الفهم للمتعلمين، لأن النظر في مكافأة الله تعالى كبير جدا، سيظهر في ذهنه التدريس ممارسة ستستمر في تدفق مكافأته على الرغم من وفاته، والحصول على مكافأة كما هو الحال مع شخص يفعل ذلك لأن المعلم الذي يعلم مع هذا المعلم سوف يمارس القدرة على التدريس.  في أحسن الأحوال ، على النقيض من أولئك الذين لديهم توجه مادي ، وقال انه سيتم حساب مستوى المعرفة الصادرة لأنها تتكيف مع المكافآت الممنوحة. خامسا، 10 المودة، من خلال إعطاء المودة من المتعلمين سوف تكون سعيدة لمربي، إذا كان المتعلمون سعداء سيكون روح الترحيب الدرس ومتحمس في الدرس وذلك للحصول على أقصى قدر من النتائج في استيعاب الدروس المقدمة.</w:t>
      </w:r>
      <w:r w:rsidRPr="008D1031">
        <w:rPr>
          <w:rtl/>
        </w:rPr>
        <w:t xml:space="preserve"> </w:t>
      </w:r>
      <w:r w:rsidRPr="008D1031">
        <w:rPr>
          <w:rFonts w:ascii="Traditional Arabic" w:hAnsi="Traditional Arabic" w:cs="Traditional Arabic"/>
          <w:sz w:val="32"/>
          <w:szCs w:val="32"/>
          <w:rtl/>
          <w:lang w:bidi="ar-JO"/>
        </w:rPr>
        <w:t xml:space="preserve">المفاهيم الخمسة للمعلمين الموجودة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Pr>
          <w:rFonts w:ascii="Traditional Arabic" w:hAnsi="Traditional Arabic" w:cs="Traditional Arabic" w:hint="cs"/>
          <w:sz w:val="32"/>
          <w:szCs w:val="32"/>
          <w:rtl/>
          <w:lang w:bidi="ar-JO"/>
        </w:rPr>
        <w:t xml:space="preserve"> </w:t>
      </w:r>
      <w:r w:rsidRPr="008D1031">
        <w:rPr>
          <w:rFonts w:ascii="Traditional Arabic" w:hAnsi="Traditional Arabic" w:cs="Traditional Arabic"/>
          <w:sz w:val="32"/>
          <w:szCs w:val="32"/>
          <w:rtl/>
          <w:lang w:bidi="ar-JO"/>
        </w:rPr>
        <w:t xml:space="preserve">موجودة أيضا في النبي محمد شلالاهو الليثي والسلام، وهو معلم بشري نموذجي، في علم النبي شلالاهو الليثي والسلام لديه القدرة القصوى في مجاله، في الممارسة العملية هو كلي جدا، في تاريخ على الرغم من أنه نبي لكنه صلى حتى تورمت قدماه،  لا يوجد تناقض بين العلم والإحسان، إذا تبين أن تناقض بعض الكارهين لا ينشأ إلا عن براعة فهمهم للأحاديث ومعرفتهم بطبيعة النبي شالاهو اللاحي وسالم. في الحب والإخلاص ليس هناك شك، </w:t>
      </w:r>
      <w:r w:rsidRPr="008D1031">
        <w:rPr>
          <w:rFonts w:ascii="Traditional Arabic" w:hAnsi="Traditional Arabic" w:cs="Traditional Arabic"/>
          <w:sz w:val="32"/>
          <w:szCs w:val="32"/>
          <w:rtl/>
          <w:lang w:bidi="ar-JO"/>
        </w:rPr>
        <w:lastRenderedPageBreak/>
        <w:t xml:space="preserve">مرة واحدة النبي شالاهو عليحي والسلام يريد أن يعظ إلى </w:t>
      </w:r>
      <w:r>
        <w:rPr>
          <w:rFonts w:ascii="Traditional Arabic" w:hAnsi="Traditional Arabic" w:cs="Traditional Arabic" w:hint="cs"/>
          <w:sz w:val="32"/>
          <w:szCs w:val="32"/>
          <w:rtl/>
          <w:lang w:bidi="ar-JO"/>
        </w:rPr>
        <w:t xml:space="preserve">طائف </w:t>
      </w:r>
      <w:r w:rsidRPr="008D1031">
        <w:rPr>
          <w:rFonts w:ascii="Traditional Arabic" w:hAnsi="Traditional Arabic" w:cs="Traditional Arabic"/>
          <w:sz w:val="32"/>
          <w:szCs w:val="32"/>
          <w:rtl/>
          <w:lang w:bidi="ar-JO"/>
        </w:rPr>
        <w:t>ولكن يتم استقباله بسلوك غير سارة، وقال انه تعرض للضرب ورشق بالحجارة، ولكن في الوقت نفسه كان لا يزال غير راغبة عندما كان الناس إلحاق الموت، حتى انه صلى من أجل الخير وتلقى التوجيه.</w:t>
      </w:r>
    </w:p>
    <w:p w14:paraId="45EC9555" w14:textId="77777777" w:rsidR="00462A83" w:rsidRPr="002119A8" w:rsidRDefault="00462A83" w:rsidP="00462A83">
      <w:pPr>
        <w:bidi/>
        <w:rPr>
          <w:rFonts w:ascii="Traditional Arabic" w:hAnsi="Traditional Arabic" w:cs="Traditional Arabic"/>
          <w:sz w:val="32"/>
          <w:szCs w:val="32"/>
          <w:lang w:bidi="ar-JO"/>
        </w:rPr>
      </w:pPr>
      <w:r w:rsidRPr="002119A8">
        <w:rPr>
          <w:rFonts w:ascii="Traditional Arabic" w:hAnsi="Traditional Arabic" w:cs="Traditional Arabic"/>
          <w:sz w:val="32"/>
          <w:szCs w:val="32"/>
          <w:rtl/>
          <w:lang w:bidi="ar-JO"/>
        </w:rPr>
        <w:t xml:space="preserve">مفهوم المتعلمين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sidRPr="002119A8">
        <w:rPr>
          <w:rFonts w:ascii="Traditional Arabic" w:hAnsi="Traditional Arabic" w:cs="Traditional Arabic"/>
          <w:sz w:val="32"/>
          <w:szCs w:val="32"/>
          <w:rtl/>
          <w:lang w:bidi="ar-JO"/>
        </w:rPr>
        <w:t xml:space="preserve"> في منظور تفسير </w:t>
      </w:r>
      <w:r>
        <w:rPr>
          <w:rFonts w:ascii="Traditional Arabic" w:hAnsi="Traditional Arabic" w:cs="Traditional Arabic" w:hint="cs"/>
          <w:sz w:val="32"/>
          <w:szCs w:val="32"/>
          <w:rtl/>
          <w:lang w:bidi="ar-JO"/>
        </w:rPr>
        <w:t xml:space="preserve">السعدي </w:t>
      </w:r>
      <w:r w:rsidRPr="002119A8">
        <w:rPr>
          <w:rFonts w:ascii="Traditional Arabic" w:hAnsi="Traditional Arabic" w:cs="Traditional Arabic"/>
          <w:sz w:val="32"/>
          <w:szCs w:val="32"/>
          <w:rtl/>
          <w:lang w:bidi="ar-JO"/>
        </w:rPr>
        <w:t>الذي وجده الباحثون ، يجب أن يكون لدى المتعلمين أخلاقيات تجاه المعلم ، لا ينبغي أن يقطع حديث المعلم. كما أن الشيخ السعين يفسر آيات القيياما 16-19 التي تفسر عملية نقل المعرفة من جبريل إلى النبي محمد، ويفسر أن عملية التعلم تتم بالتناوب، عندما ينتهي جبريل من التدريس ثم يتبعه النبي شالاهو الليثي والسلام / كرر مرة أخرى ما علمه جبريل. وفي الكفي أيضا عندما وصف قصة موسى الذي درس في خضر، حذر خضر موسى من السؤال أثناء اتباعه. هذا التعلم جيد جدا، لأنه في كثير من الأحيان عندما يقطع المتعلمون محادثة المعلمين، يشعر اختصاصيو التوعية بالتركيز المدمر، ولكن هذا لا يعني أن المتعلمين لا ينبغي أن يسألوا المربي، ولكن مع إعطاء جلسة خاصة.</w:t>
      </w:r>
    </w:p>
    <w:p w14:paraId="2029C775" w14:textId="77777777" w:rsidR="00462A83" w:rsidRPr="002119A8" w:rsidRDefault="00462A83" w:rsidP="00462A83">
      <w:pPr>
        <w:bidi/>
        <w:rPr>
          <w:rFonts w:ascii="Traditional Arabic" w:hAnsi="Traditional Arabic" w:cs="Traditional Arabic"/>
          <w:sz w:val="32"/>
          <w:szCs w:val="32"/>
          <w:lang w:bidi="ar-JO"/>
        </w:rPr>
      </w:pPr>
      <w:r w:rsidRPr="002119A8">
        <w:rPr>
          <w:rFonts w:ascii="Traditional Arabic" w:hAnsi="Traditional Arabic" w:cs="Traditional Arabic"/>
          <w:sz w:val="32"/>
          <w:szCs w:val="32"/>
          <w:rtl/>
          <w:lang w:bidi="ar-JO"/>
        </w:rPr>
        <w:t xml:space="preserve">أن تكون خادما حقيقيا لله هو الهدف الرئيسي للتعليم الإسلامي كما ورد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sidRPr="002119A8">
        <w:rPr>
          <w:rFonts w:ascii="Traditional Arabic" w:hAnsi="Traditional Arabic" w:cs="Traditional Arabic"/>
          <w:sz w:val="32"/>
          <w:szCs w:val="32"/>
          <w:rtl/>
          <w:lang w:bidi="ar-JO"/>
        </w:rPr>
        <w:t>. في رونتوتان أن يكون إنسانا لديه علاقة جيدة مع الله هو في المقام الأول، تميزت العقيدة جيدة والعبادة الدؤوبة مثل الصلاة على سبيل المثال الذي يستخدم كتمثيل في العبادة.</w:t>
      </w:r>
    </w:p>
    <w:p w14:paraId="7DD5845B" w14:textId="77777777" w:rsidR="00462A83" w:rsidRPr="002119A8" w:rsidRDefault="00462A83" w:rsidP="00462A83">
      <w:pPr>
        <w:bidi/>
        <w:rPr>
          <w:rFonts w:ascii="Traditional Arabic" w:hAnsi="Traditional Arabic" w:cs="Traditional Arabic"/>
          <w:sz w:val="32"/>
          <w:szCs w:val="32"/>
          <w:lang w:bidi="ar-JO"/>
        </w:rPr>
      </w:pPr>
      <w:r w:rsidRPr="002119A8">
        <w:rPr>
          <w:rFonts w:ascii="Traditional Arabic" w:hAnsi="Traditional Arabic" w:cs="Traditional Arabic"/>
          <w:sz w:val="32"/>
          <w:szCs w:val="32"/>
          <w:rtl/>
          <w:lang w:bidi="ar-JO"/>
        </w:rPr>
        <w:t xml:space="preserve">ثم الغرض من التعليم الإسلامي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sidRPr="002119A8">
        <w:rPr>
          <w:rFonts w:ascii="Traditional Arabic" w:hAnsi="Traditional Arabic" w:cs="Traditional Arabic"/>
          <w:sz w:val="32"/>
          <w:szCs w:val="32"/>
          <w:rtl/>
          <w:lang w:bidi="ar-JO"/>
        </w:rPr>
        <w:t xml:space="preserve"> هو أن يكون لها علاقة جيدة خاصة مع كبار السن، وبشكل عام في كل إنسان. والهدف الأخير من التعليم الإسلامي الذي يمكن تعلمه من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sidRPr="002119A8">
        <w:rPr>
          <w:rFonts w:ascii="Traditional Arabic" w:hAnsi="Traditional Arabic" w:cs="Traditional Arabic"/>
          <w:sz w:val="32"/>
          <w:szCs w:val="32"/>
          <w:rtl/>
          <w:lang w:bidi="ar-JO"/>
        </w:rPr>
        <w:t xml:space="preserve"> الذي أبرزه التفسير ك</w:t>
      </w:r>
      <w:r>
        <w:rPr>
          <w:rFonts w:ascii="Traditional Arabic" w:hAnsi="Traditional Arabic" w:cs="Traditional Arabic" w:hint="cs"/>
          <w:sz w:val="32"/>
          <w:szCs w:val="32"/>
          <w:rtl/>
          <w:lang w:bidi="ar-JO"/>
        </w:rPr>
        <w:t>السعدي</w:t>
      </w:r>
      <w:r w:rsidRPr="002119A8">
        <w:rPr>
          <w:rFonts w:ascii="Traditional Arabic" w:hAnsi="Traditional Arabic" w:cs="Traditional Arabic"/>
          <w:sz w:val="32"/>
          <w:szCs w:val="32"/>
          <w:rtl/>
          <w:lang w:bidi="ar-JO"/>
        </w:rPr>
        <w:t xml:space="preserve"> هو استعادة أنفسهم سواء من حيث الشخصية التي تتميز بحظر ممارسة الغطرسة وعدم احترام الذات. مع كل هذه، عندما تتحقق سوف تنتج نوعية البشر الذين هم وفقا لأهداف التعليم الوطني.</w:t>
      </w:r>
    </w:p>
    <w:p w14:paraId="03438163" w14:textId="77777777" w:rsidR="00462A83" w:rsidRPr="002119A8" w:rsidRDefault="00462A83" w:rsidP="00462A83">
      <w:pPr>
        <w:bidi/>
        <w:rPr>
          <w:rFonts w:ascii="Traditional Arabic" w:hAnsi="Traditional Arabic" w:cs="Traditional Arabic"/>
          <w:sz w:val="32"/>
          <w:szCs w:val="32"/>
          <w:lang w:bidi="ar-JO"/>
        </w:rPr>
      </w:pPr>
      <w:r w:rsidRPr="002119A8">
        <w:rPr>
          <w:rFonts w:ascii="Traditional Arabic" w:hAnsi="Traditional Arabic" w:cs="Traditional Arabic"/>
          <w:sz w:val="32"/>
          <w:szCs w:val="32"/>
          <w:rtl/>
          <w:lang w:bidi="ar-JO"/>
        </w:rPr>
        <w:t>س. س. لقمان: يحتوي 12-19 أيضا على منهج تعليمي إسلامي مدهش، يجمع فيه إشارات حول المعرفة التي يجب أن يتعلمها كل مسلم. معرفة العقيلة والعبادة ومعامة إخوان البشر. يجب أن يكون هذا العلم في محتوى منهج التربية الإسلامية. لأنه من خلال دراسة هؤلاء المتعلمين لديهم إمكانية أقل للتعرض لليبرالية والعلمانية والمادية وما إلى ذلك من أولئك الذين لا يتعلمونها.</w:t>
      </w:r>
    </w:p>
    <w:p w14:paraId="4FC75CD9" w14:textId="77777777" w:rsidR="00462A83" w:rsidRDefault="00462A83" w:rsidP="00462A83">
      <w:pPr>
        <w:bidi/>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sidRPr="002119A8">
        <w:rPr>
          <w:rFonts w:ascii="Traditional Arabic" w:hAnsi="Traditional Arabic" w:cs="Traditional Arabic"/>
          <w:sz w:val="32"/>
          <w:szCs w:val="32"/>
          <w:rtl/>
          <w:lang w:bidi="ar-JO"/>
        </w:rPr>
        <w:t xml:space="preserve"> في ذلك لا يفلت من التلميح إلى طريقة التعليم، من بين الأساليب التي يمكن للباحثين تعلمها هي الأولى،</w:t>
      </w:r>
      <w:r>
        <w:rPr>
          <w:rFonts w:ascii="Traditional Arabic" w:hAnsi="Traditional Arabic" w:cs="Traditional Arabic" w:hint="cs"/>
          <w:sz w:val="32"/>
          <w:szCs w:val="32"/>
          <w:rtl/>
          <w:lang w:bidi="ar-JO"/>
        </w:rPr>
        <w:t xml:space="preserve">الموعظة </w:t>
      </w:r>
      <w:r w:rsidRPr="002119A8">
        <w:rPr>
          <w:rFonts w:ascii="Traditional Arabic" w:hAnsi="Traditional Arabic" w:cs="Traditional Arabic"/>
          <w:sz w:val="32"/>
          <w:szCs w:val="32"/>
          <w:rtl/>
          <w:lang w:bidi="ar-JO"/>
        </w:rPr>
        <w:t xml:space="preserve">، يمكن القيام بهذه النصيحة المثيرة عند إعطاء الدروس مع هذا المتعلمون سوف تتطور خاصة المجال المعرفي ويمكن تطوير عالم عاطفي كذلك. ثانيا، </w:t>
      </w:r>
      <w:r>
        <w:rPr>
          <w:rFonts w:ascii="Traditional Arabic" w:hAnsi="Traditional Arabic" w:cs="Traditional Arabic" w:hint="cs"/>
          <w:sz w:val="32"/>
          <w:szCs w:val="32"/>
          <w:rtl/>
          <w:lang w:bidi="ar-JO"/>
        </w:rPr>
        <w:t>الترغيب و الترهيب</w:t>
      </w:r>
      <w:r w:rsidRPr="002119A8">
        <w:rPr>
          <w:rFonts w:ascii="Traditional Arabic" w:hAnsi="Traditional Arabic" w:cs="Traditional Arabic"/>
          <w:sz w:val="32"/>
          <w:szCs w:val="32"/>
          <w:rtl/>
          <w:lang w:bidi="ar-JO"/>
        </w:rPr>
        <w:t xml:space="preserve">، وعود والتهديدات، وهذا الأسلوب يمكن تطوير عالم عاطفي من المتعلمين. ثالثا، المثال، يصبح شكل المعلم في </w:t>
      </w:r>
      <w:r w:rsidRPr="002119A8">
        <w:rPr>
          <w:rFonts w:ascii="Traditional Arabic" w:hAnsi="Traditional Arabic" w:cs="Traditional Arabic"/>
          <w:sz w:val="32"/>
          <w:szCs w:val="32"/>
          <w:rtl/>
          <w:lang w:bidi="ar-JO"/>
        </w:rPr>
        <w:lastRenderedPageBreak/>
        <w:t>الواقع منهجا خفيا، يوفر التعليم للمتعلمين، حتى ولو كان فعالا جدا، بسبب شخصية الطلاب الذين يحبون متابعة معلميهم.</w:t>
      </w:r>
    </w:p>
    <w:p w14:paraId="2E41DF48" w14:textId="77777777" w:rsidR="00462A83" w:rsidRDefault="00462A83" w:rsidP="00462A83">
      <w:pPr>
        <w:bidi/>
        <w:rPr>
          <w:rFonts w:ascii="Traditional Arabic" w:hAnsi="Traditional Arabic" w:cs="Traditional Arabic"/>
          <w:sz w:val="32"/>
          <w:szCs w:val="32"/>
          <w:rtl/>
          <w:lang w:bidi="ar-JO"/>
        </w:rPr>
      </w:pPr>
      <w:r w:rsidRPr="002119A8">
        <w:rPr>
          <w:rFonts w:ascii="Traditional Arabic" w:hAnsi="Traditional Arabic" w:cs="Traditional Arabic"/>
          <w:sz w:val="32"/>
          <w:szCs w:val="32"/>
          <w:rtl/>
          <w:lang w:bidi="ar-JO"/>
        </w:rPr>
        <w:t>قال الشيخ عبد الرحمن بن ناصر الصعيدي في الآيات من 12 إلى 19 من خطاب لقمان: "إن الوصايا التي أمر لقمان لأبنائه بجمع الحكمة وتقتضي ما لم يذكر منه. كل وصية مصحوبة بعوامل تشجعها على القيام بها إذا كانت الوصية على شكل أمر ، وعاملاً محفزًا على تركها إذا كانت الوصية على شكل تحريم ، وهذا يوضح ما ذكرناه بالفعل. تفسير الحكمة: معرفة الشرائع والحكمة. لذلك أمر الله بموضوع الدين وهو التوحيد ، ونهى الله عنه الشرك ، وشرح له الله أسباب وجوب ترك الشرك. وأمر بالتكريس للأباء والأمهات ثم أوضح الأسباب التي توجب التكريس للوالدين. وأمره الله بالشكر والامتنان لوالديه ، ثم أوضح أنه مكان لفعل الخير لكلا الوالدين وطاعة أوامرهما ما لم يأمرا بالعصيان. ولكن لا يجب أن يعصيهما ، بل عليه أن يحسن إليهما ، مع أنه لا يستطيع طاعتهما إذا أجبروهما على الشرك. ثم أمر الله أن يكون مرقبة عند الله ويخاف لقاءه. وأن الله لا يتجاهل أدنى وأصغر خير أو شر ، لكنه أتى به بالتأكيد. ونهى الله عنه أن يتكبر ويأمره بالتواضع ونهى عن التكبر والغرور والغطرسة. وأمره أيضا بالأمر بالخير والشر ، وإقامة الصلاة ، والصبر ، وكلاهما ينزف ، كما قال الله تعالى: "واستعينوا بالصبر والصلاة. إن هذا عسير حقًا إلا للمتواضعين "(البقرة: 45). لذا فهو مناسب جدًا لمن يشاء ما ورد أعلاه ، إذا كان له الأولوية بالحكمة وكان مشهورًا بها. لذلك يذكر الله رحمته له (لقمان) وجميع عباده بإخبارهم ببعض حكمته التي يمكن أن يكونوا قدوة لهم.</w:t>
      </w:r>
    </w:p>
    <w:p w14:paraId="301F8D99" w14:textId="77777777" w:rsidR="00462A83" w:rsidRPr="003E7A75" w:rsidRDefault="00462A83" w:rsidP="00462A83">
      <w:pPr>
        <w:bidi/>
        <w:rPr>
          <w:rFonts w:ascii="Traditional Arabic" w:hAnsi="Traditional Arabic" w:cs="Traditional Arabic"/>
          <w:b/>
          <w:bCs/>
          <w:sz w:val="32"/>
          <w:szCs w:val="32"/>
          <w:lang w:bidi="ar-JO"/>
        </w:rPr>
      </w:pPr>
      <w:r w:rsidRPr="003E7A75">
        <w:rPr>
          <w:rFonts w:ascii="Traditional Arabic" w:hAnsi="Traditional Arabic" w:cs="Traditional Arabic"/>
          <w:b/>
          <w:bCs/>
          <w:sz w:val="32"/>
          <w:szCs w:val="32"/>
          <w:rtl/>
          <w:lang w:bidi="ar-JO"/>
        </w:rPr>
        <w:t>استنتاج</w:t>
      </w:r>
    </w:p>
    <w:p w14:paraId="4587E226" w14:textId="77777777" w:rsidR="00462A83" w:rsidRPr="002119A8" w:rsidRDefault="00462A83" w:rsidP="00462A83">
      <w:pPr>
        <w:bidi/>
        <w:rPr>
          <w:rFonts w:ascii="Traditional Arabic" w:hAnsi="Traditional Arabic" w:cs="Traditional Arabic"/>
          <w:sz w:val="32"/>
          <w:szCs w:val="32"/>
          <w:lang w:bidi="ar-JO"/>
        </w:rPr>
      </w:pPr>
      <w:r w:rsidRPr="002119A8">
        <w:rPr>
          <w:rFonts w:ascii="Traditional Arabic" w:hAnsi="Traditional Arabic" w:cs="Traditional Arabic"/>
          <w:sz w:val="32"/>
          <w:szCs w:val="32"/>
          <w:rtl/>
          <w:lang w:bidi="ar-JO"/>
        </w:rPr>
        <w:t xml:space="preserve">إن مفهوم المعلم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Pr>
          <w:rFonts w:ascii="Traditional Arabic" w:hAnsi="Traditional Arabic" w:cs="Traditional Arabic" w:hint="cs"/>
          <w:sz w:val="32"/>
          <w:szCs w:val="32"/>
          <w:rtl/>
          <w:lang w:bidi="ar-JO"/>
        </w:rPr>
        <w:t xml:space="preserve"> </w:t>
      </w:r>
      <w:r w:rsidRPr="002119A8">
        <w:rPr>
          <w:rFonts w:ascii="Traditional Arabic" w:hAnsi="Traditional Arabic" w:cs="Traditional Arabic"/>
          <w:sz w:val="32"/>
          <w:szCs w:val="32"/>
          <w:rtl/>
          <w:lang w:bidi="ar-JO"/>
        </w:rPr>
        <w:t xml:space="preserve">يجعل لقمان نموذجًا أوليًا للمعلم ، لقمان الذي يُمنح الحكمة التي يفسرها الشيخ الصعيدي المعرفة المفيدة والعمل الصالح ، لذلك يجب أن يكون لدى المعلمين شيئين: هم المعرفة المختصة فيما يتعلق بمن سيتم تعليمه وله أعمال جديرة بالثناء سواء من الباطن أو الباطن. إلى جانب ذلك ، يحاول دائمًا تعديل ما هو معروف بما يتم ممارسته. وله طبيعة عطوفة ويحاول دائمًا أن يغفر أقواله وأفعاله على أمل أن يرضي الله تعالى. مفهوم الطلاب الموجود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لقمان: 12-19</w:t>
      </w:r>
      <w:r w:rsidRPr="002119A8">
        <w:rPr>
          <w:rFonts w:ascii="Traditional Arabic" w:hAnsi="Traditional Arabic" w:cs="Traditional Arabic"/>
          <w:sz w:val="32"/>
          <w:szCs w:val="32"/>
          <w:rtl/>
          <w:lang w:bidi="ar-JO"/>
        </w:rPr>
        <w:t xml:space="preserve"> هو الصبر في تلقي الدروس ، ابن لقمان يستمع بصبر إلى نصيحة والده دون مقاطعة في منتصف تقديم النصيحة. إن امتلاك شخصية جيدة ومحاولة تحسينها دائمًا في اتجاه إيجابي يؤدي إلى القدرة على التفاعل بشكل جيد مع البشر هو أيضًا هدف التربية الإسلامية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 xml:space="preserve">لقمان: </w:t>
      </w:r>
      <w:r w:rsidRPr="002119A8">
        <w:rPr>
          <w:rFonts w:ascii="Traditional Arabic" w:hAnsi="Traditional Arabic" w:cs="Traditional Arabic"/>
          <w:sz w:val="32"/>
          <w:szCs w:val="32"/>
          <w:rtl/>
          <w:lang w:bidi="ar-JO"/>
        </w:rPr>
        <w:t xml:space="preserve">الآيات 12-19. المواد التي يجب تضمينها في المنهج حسب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 xml:space="preserve">لقمان: </w:t>
      </w:r>
      <w:r w:rsidRPr="002119A8">
        <w:rPr>
          <w:rFonts w:ascii="Traditional Arabic" w:hAnsi="Traditional Arabic" w:cs="Traditional Arabic"/>
          <w:sz w:val="32"/>
          <w:szCs w:val="32"/>
          <w:rtl/>
          <w:lang w:bidi="ar-JO"/>
        </w:rPr>
        <w:t xml:space="preserve">الآيات 12-19. هي دروس العقيدة والعبادة والأخلاق والدعوة. الطريقة التربوية التي وجدتها الباحثة في </w:t>
      </w:r>
      <w:r>
        <w:rPr>
          <w:rFonts w:ascii="Traditional Arabic" w:hAnsi="Traditional Arabic" w:cs="Traditional Arabic" w:hint="cs"/>
          <w:sz w:val="32"/>
          <w:szCs w:val="32"/>
          <w:rtl/>
          <w:lang w:bidi="ar-JO"/>
        </w:rPr>
        <w:t>سورة</w:t>
      </w:r>
      <w:r w:rsidRPr="004723A7">
        <w:rPr>
          <w:rFonts w:ascii="Traditional Arabic" w:hAnsi="Traditional Arabic" w:cs="Traditional Arabic"/>
          <w:sz w:val="32"/>
          <w:szCs w:val="32"/>
          <w:rtl/>
          <w:lang w:bidi="ar-JO"/>
        </w:rPr>
        <w:t xml:space="preserve"> </w:t>
      </w:r>
      <w:r w:rsidRPr="008D1031">
        <w:rPr>
          <w:rFonts w:ascii="Traditional Arabic" w:hAnsi="Traditional Arabic" w:cs="Traditional Arabic"/>
          <w:sz w:val="32"/>
          <w:szCs w:val="32"/>
          <w:rtl/>
          <w:lang w:bidi="ar-JO"/>
        </w:rPr>
        <w:t xml:space="preserve">لقمان: </w:t>
      </w:r>
      <w:r w:rsidRPr="002119A8">
        <w:rPr>
          <w:rFonts w:ascii="Traditional Arabic" w:hAnsi="Traditional Arabic" w:cs="Traditional Arabic"/>
          <w:sz w:val="32"/>
          <w:szCs w:val="32"/>
          <w:rtl/>
          <w:lang w:bidi="ar-JO"/>
        </w:rPr>
        <w:t>الآيات 12-19. ي طريقة الترغيب والترهيب والطريقة النموذجية.</w:t>
      </w:r>
    </w:p>
    <w:p w14:paraId="08FBB528" w14:textId="77777777" w:rsidR="00462A83" w:rsidRDefault="00462A83" w:rsidP="00462A83">
      <w:pPr>
        <w:bidi/>
        <w:rPr>
          <w:rFonts w:ascii="Traditional Arabic" w:hAnsi="Traditional Arabic" w:cs="Traditional Arabic"/>
          <w:sz w:val="32"/>
          <w:szCs w:val="32"/>
          <w:lang w:bidi="ar-JO"/>
        </w:rPr>
      </w:pPr>
      <w:r w:rsidRPr="002119A8">
        <w:rPr>
          <w:rFonts w:ascii="Traditional Arabic" w:hAnsi="Traditional Arabic" w:cs="Traditional Arabic"/>
          <w:sz w:val="32"/>
          <w:szCs w:val="32"/>
          <w:rtl/>
          <w:lang w:bidi="ar-JO"/>
        </w:rPr>
        <w:t>يساهم الشيخ ال</w:t>
      </w:r>
      <w:r>
        <w:rPr>
          <w:rFonts w:ascii="Traditional Arabic" w:hAnsi="Traditional Arabic" w:cs="Traditional Arabic" w:hint="cs"/>
          <w:sz w:val="32"/>
          <w:szCs w:val="32"/>
          <w:rtl/>
          <w:lang w:bidi="ar-JO"/>
        </w:rPr>
        <w:t>س</w:t>
      </w:r>
      <w:r w:rsidRPr="002119A8">
        <w:rPr>
          <w:rFonts w:ascii="Traditional Arabic" w:hAnsi="Traditional Arabic" w:cs="Traditional Arabic"/>
          <w:sz w:val="32"/>
          <w:szCs w:val="32"/>
          <w:rtl/>
          <w:lang w:bidi="ar-JO"/>
        </w:rPr>
        <w:t xml:space="preserve">عدي من خلال تفسيره لما سبق في عالم التربية من أجل إعادة مجد المسلمين بجعل الحل الأول هو توحيد الله ، والإجابة على المشاكل التي طرحها الباحثون في البداية. في صورة هيمنة المفاهيم الغربية </w:t>
      </w:r>
      <w:r w:rsidRPr="002119A8">
        <w:rPr>
          <w:rFonts w:ascii="Traditional Arabic" w:hAnsi="Traditional Arabic" w:cs="Traditional Arabic"/>
          <w:sz w:val="32"/>
          <w:szCs w:val="32"/>
          <w:rtl/>
          <w:lang w:bidi="ar-JO"/>
        </w:rPr>
        <w:lastRenderedPageBreak/>
        <w:t>على التربية الإسلامية ، لأنه إذا علم الطلاب بالله ، فإن توحيد الله بشكل صحيح سيكون بعيدًا عن التفاهمات التي يتبناها الغرب ، حيث يكون هدف التربية الإسلامية هو تخليص أهل الإيمان والتقوى والشخصية النبيلة. سوف تتحقق.</w:t>
      </w:r>
      <w:r>
        <w:rPr>
          <w:rFonts w:ascii="Traditional Arabic" w:hAnsi="Traditional Arabic" w:cs="Traditional Arabic"/>
          <w:sz w:val="32"/>
          <w:szCs w:val="32"/>
          <w:lang w:bidi="ar-JO"/>
        </w:rPr>
        <w:t xml:space="preserve"> </w:t>
      </w:r>
    </w:p>
    <w:p w14:paraId="3B6181D8" w14:textId="77777777" w:rsidR="00462A83" w:rsidRPr="00D84C0A" w:rsidRDefault="00462A83" w:rsidP="00462A83">
      <w:pPr>
        <w:bidi/>
        <w:rPr>
          <w:rFonts w:ascii="Traditional Arabic" w:hAnsi="Traditional Arabic" w:cs="Traditional Arabic"/>
          <w:b/>
          <w:bCs/>
          <w:sz w:val="32"/>
          <w:szCs w:val="32"/>
          <w:lang w:bidi="ar-JO"/>
        </w:rPr>
      </w:pPr>
      <w:r w:rsidRPr="00D84C0A">
        <w:rPr>
          <w:rFonts w:ascii="Traditional Arabic" w:hAnsi="Traditional Arabic" w:cs="Traditional Arabic"/>
          <w:b/>
          <w:bCs/>
          <w:sz w:val="32"/>
          <w:szCs w:val="32"/>
          <w:rtl/>
          <w:lang w:bidi="ar-JO"/>
        </w:rPr>
        <w:t>مرجع</w:t>
      </w:r>
    </w:p>
    <w:p w14:paraId="26BF0BCB"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الغزالي، محمد. 2004. بيدايتول هداياه. بيوت، بيوت. دار المحاج.</w:t>
      </w:r>
    </w:p>
    <w:p w14:paraId="0A3439CD"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الشويمي، شاليه. 2011. شارة تادزيمول يم. المملكة العربية السعودية. برناميج محمد الإلم.</w:t>
      </w:r>
    </w:p>
    <w:p w14:paraId="109A12CA"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 xml:space="preserve">اليوتسامين، محمد. 2015. شارة هلية </w:t>
      </w:r>
      <w:r>
        <w:rPr>
          <w:rFonts w:ascii="Traditional Arabic" w:hAnsi="Traditional Arabic" w:cs="Traditional Arabic" w:hint="cs"/>
          <w:sz w:val="32"/>
          <w:szCs w:val="32"/>
          <w:rtl/>
          <w:lang w:bidi="ar-JO"/>
        </w:rPr>
        <w:t>طالب العلم</w:t>
      </w:r>
      <w:r w:rsidRPr="00D84C0A">
        <w:rPr>
          <w:rFonts w:ascii="Traditional Arabic" w:hAnsi="Traditional Arabic" w:cs="Traditional Arabic"/>
          <w:sz w:val="32"/>
          <w:szCs w:val="32"/>
          <w:rtl/>
          <w:lang w:bidi="ar-JO"/>
        </w:rPr>
        <w:t>. المملكة العربية السعودية. معساسة اسي الشيخ محمد بن شاليه العتسايمين خيرية</w:t>
      </w:r>
    </w:p>
    <w:p w14:paraId="01CF9465"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اليوتسامين، محمد. 2002. تفسر جوز 'أما. المملكة العربية السعودية. معساسة اسي الشيخ محمد بن شاليه العتسايمين الخيرية.</w:t>
      </w:r>
    </w:p>
    <w:p w14:paraId="137CA556"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اليوتسامين، محمد. 2013. توفيق القرآن الكريم سورات لقمان. المملكة العربية السعودية. معساسة اسي الشيخ محمد بن شاليه العتسايمين خيرية</w:t>
      </w:r>
    </w:p>
    <w:p w14:paraId="2FDF8207"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ال أوتسامين، محمد. 2017. أوشول في الطافسر. القاهرة. دار الأمة.</w:t>
      </w:r>
    </w:p>
    <w:p w14:paraId="2C8C1059"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أكمامسيا، م. 2015. القرآن والسنة هما الأساس المثالي للتعليم الإسلامي. مجلة تنمية المجتمع الإسلامي. المجلد 8 رقم 2</w:t>
      </w:r>
    </w:p>
    <w:p w14:paraId="145BFCF4"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 xml:space="preserve">عارفين، زينل. 2017. قيم التربية الدينية الإسلامية في آيات القرآن سورات لقمان 12-19 (وجهة نظر مصباح). التعساء. أطروحة أطروحة </w:t>
      </w:r>
      <w:r>
        <w:rPr>
          <w:rFonts w:ascii="Traditional Arabic" w:hAnsi="Traditional Arabic" w:cs="Traditional Arabic" w:hint="cs"/>
          <w:sz w:val="32"/>
          <w:szCs w:val="32"/>
          <w:rtl/>
          <w:lang w:bidi="ar-JO"/>
        </w:rPr>
        <w:t>الجامعة الحكومية الاسلامية</w:t>
      </w:r>
      <w:r w:rsidRPr="00D84C0A">
        <w:rPr>
          <w:rFonts w:ascii="Traditional Arabic" w:hAnsi="Traditional Arabic" w:cs="Traditional Arabic"/>
          <w:sz w:val="32"/>
          <w:szCs w:val="32"/>
          <w:rtl/>
          <w:lang w:bidi="ar-JO"/>
        </w:rPr>
        <w:t xml:space="preserve"> الفقيرة</w:t>
      </w:r>
    </w:p>
    <w:p w14:paraId="2803CF38"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أرسياد، محمد ن. 2008. النهج في الطافسر (تفسير بيل معتور، طافسير بل رعي، تفسير بيل إيشاري). (يوريسبريدنتيا) المجلد 4 رقم 2</w:t>
      </w:r>
    </w:p>
    <w:p w14:paraId="35316220"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عزيز، عبدول. 2000. الفكرو الطربوي 'إندا الشيخ عبد الرحمن بن ناشر السيدي. المملكة العربية السعودية. دار ابن الجاوزي.</w:t>
      </w:r>
    </w:p>
    <w:p w14:paraId="428E23BE"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حرق، الرماد. 1990. أيسار التافاسر ليكلام العلي الكبير. المدينه المنوره. نهارول خير.</w:t>
      </w:r>
    </w:p>
    <w:p w14:paraId="61FDF9C0"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برهاندين، دعوة. 2017. أولومول القرآن. باندونج.</w:t>
      </w:r>
    </w:p>
    <w:p w14:paraId="676330C3"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بوسرولي، أحمد. 2019. بيديكان أخلاك بن مسكاوية وإمام الغزالي في تعليم الشخصية في إندونيسيا. مجلة أثولاب. المجلد 4 رقم 2 237.</w:t>
      </w:r>
    </w:p>
    <w:p w14:paraId="635285E6"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هدايت، نورول. 2016. مفهوم التربية الإسلامية وفقا لآيات س. س. لقمان 12-19. "تالوم" المجلد 4 رقم 12</w:t>
      </w:r>
    </w:p>
    <w:p w14:paraId="6FE7B952"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حسيني، أديان. 2007. هيرمينيوتكس وطافسي من القرآن. (ديبوك) صدى إنساني.</w:t>
      </w:r>
    </w:p>
    <w:p w14:paraId="27BD66CB"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lastRenderedPageBreak/>
        <w:t>حسيني، أديان. 2010. التربية الإسلامية: مساعدة البشر من شخصية ومتحضرة. جاكارتا. هورايزون للنشر.</w:t>
      </w:r>
    </w:p>
    <w:p w14:paraId="281D31B8"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حسيني، أديان وآخرون، 2015. فلسفة وجهات النظر الغربية والإسلامية. (ديبوك) صدى إنساني.</w:t>
      </w:r>
    </w:p>
    <w:p w14:paraId="03092DA0"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قادر، عبدول. 2002. التعليم الأساسي. جاكارتا. مجموعة بريناداميديا</w:t>
      </w:r>
    </w:p>
    <w:p w14:paraId="1227F512"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 xml:space="preserve">إحسان، محمد ك. 2020. مفهوم التربية الدينية الإسلامية في الأسرة البادئة البروفيسور الدكتور أحمد الطافسر. باندونج. أطروحة </w:t>
      </w:r>
      <w:r>
        <w:rPr>
          <w:rFonts w:ascii="Traditional Arabic" w:hAnsi="Traditional Arabic" w:cs="Traditional Arabic" w:hint="cs"/>
          <w:sz w:val="32"/>
          <w:szCs w:val="32"/>
          <w:rtl/>
          <w:lang w:bidi="ar-JO"/>
        </w:rPr>
        <w:t>الجامعة الحكومية سونان غونوج جاتي الاسلامية</w:t>
      </w:r>
      <w:r w:rsidRPr="00D84C0A">
        <w:rPr>
          <w:rFonts w:ascii="Traditional Arabic" w:hAnsi="Traditional Arabic" w:cs="Traditional Arabic"/>
          <w:sz w:val="32"/>
          <w:szCs w:val="32"/>
          <w:rtl/>
          <w:lang w:bidi="ar-JO"/>
        </w:rPr>
        <w:t xml:space="preserve"> باندونغ</w:t>
      </w:r>
    </w:p>
    <w:p w14:paraId="21F171E2"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كاندير، نور. 2016. القرآن مصدر كل المعرفة. سورابايا. مكتبة سياباب.</w:t>
      </w:r>
    </w:p>
    <w:p w14:paraId="46AABA60"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 xml:space="preserve">(هوسي)، (واغمان). 2020. الأفكار التربوية لآصي شيخ السعدن تيسير تيسير كريم الرحمن في تيسير كلام المنان. التضاريس. </w:t>
      </w:r>
      <w:r>
        <w:rPr>
          <w:rFonts w:ascii="Traditional Arabic" w:hAnsi="Traditional Arabic" w:cs="Traditional Arabic" w:hint="cs"/>
          <w:sz w:val="32"/>
          <w:szCs w:val="32"/>
          <w:rtl/>
          <w:lang w:bidi="ar-JO"/>
        </w:rPr>
        <w:t>الجامعة الحكومية الاسلامية</w:t>
      </w:r>
      <w:r w:rsidRPr="00D84C0A">
        <w:rPr>
          <w:rFonts w:ascii="Traditional Arabic" w:hAnsi="Traditional Arabic" w:cs="Traditional Arabic"/>
          <w:sz w:val="32"/>
          <w:szCs w:val="32"/>
          <w:rtl/>
          <w:lang w:bidi="ar-JO"/>
        </w:rPr>
        <w:t xml:space="preserve"> شمال سومطرة أطروحة.</w:t>
      </w:r>
    </w:p>
    <w:p w14:paraId="1EBCD576"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(موهيمين) 2019. تطوير منهج التربية الدينية الإسلامية في المدارس والمدارس والجامعات. (ديبوك) حزب العمال. راجاجرافيندو</w:t>
      </w:r>
    </w:p>
    <w:p w14:paraId="4D55C883"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ناتا، عبودين. 2011. الدراسات الإسلامية الشاملة. جاكارتا. مجموعة برينادا الإعلامية.</w:t>
      </w:r>
    </w:p>
    <w:p w14:paraId="6EFA2FB7"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ناتا، عبودين. 2017. التربية الإسلامية. جاكارتا. مجموعة برينادا الإعلامية.</w:t>
      </w:r>
    </w:p>
    <w:p w14:paraId="0F056F6D"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(بريانا)، (تيدى) 2020. إجراء البحوث التربوية. باندونج. السيرة الذاتية إنسان مانديري.</w:t>
      </w:r>
    </w:p>
    <w:p w14:paraId="5E906A75"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غريس، هدايت. 2016- العلوم الإسلامية في التربية "تقود اتجاه التعليم الإسلامي الإندونيسي". التضاريس. الوكالة الإندونيسية للتنمية التعليمية.</w:t>
      </w:r>
    </w:p>
    <w:p w14:paraId="6550FDBE"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(روزيدين) 2017- العلاقات والمصالحة بين التربية الإسلامية والغرب. تقييم. المجلد 1 رقم 2 235-236.</w:t>
      </w:r>
    </w:p>
    <w:p w14:paraId="6F2349CC"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سعود. 2016. تعليم جيل صحابة النبي. ترجمة عمر مطهد. جاكارتا. علم (غريا)</w:t>
      </w:r>
    </w:p>
    <w:p w14:paraId="37D306E7"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 xml:space="preserve">(سيتيانينروم)، (أيو). 2015. تفسر سورات لقمان آيات 12-19 عن تعليم الأطفال وفقا لمحمد قريش شهاب ومحمود يونس (دراسات مقارنة). سيمارانج. أطروحة </w:t>
      </w:r>
      <w:r>
        <w:rPr>
          <w:rFonts w:ascii="Traditional Arabic" w:hAnsi="Traditional Arabic" w:cs="Traditional Arabic" w:hint="cs"/>
          <w:sz w:val="32"/>
          <w:szCs w:val="32"/>
          <w:rtl/>
          <w:lang w:bidi="ar-JO"/>
        </w:rPr>
        <w:t>الجامعة الحكومية الاسلامية</w:t>
      </w:r>
      <w:r w:rsidRPr="00D84C0A">
        <w:rPr>
          <w:rFonts w:ascii="Traditional Arabic" w:hAnsi="Traditional Arabic" w:cs="Traditional Arabic"/>
          <w:sz w:val="32"/>
          <w:szCs w:val="32"/>
          <w:rtl/>
          <w:lang w:bidi="ar-JO"/>
        </w:rPr>
        <w:t xml:space="preserve"> سيمارانج.</w:t>
      </w:r>
    </w:p>
    <w:p w14:paraId="35BCA60F"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سوجيونو. 2013. أساليب البحث الكمية والنوعية والبحثية في باندونغ. أبجد.</w:t>
      </w:r>
    </w:p>
    <w:p w14:paraId="213B54A2"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شافي، رشمات. 2015. أوشول فوخ للعلوم. باندونج. مكتبة سي في سي سيا.</w:t>
      </w:r>
    </w:p>
    <w:p w14:paraId="7C2A93C1"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شاه، أحمد. 2008- مصطلح الطربية، طليم وتاديب في التربية الإسلامية. ال فكرة. المجلد 7 رقم 1</w:t>
      </w:r>
    </w:p>
    <w:p w14:paraId="08734934"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الحمد لله يا عبدول. 2015. التعرف على نمط الطافسر القرآني. الفوركونيا. المجلد 1 رقم 1</w:t>
      </w:r>
    </w:p>
    <w:p w14:paraId="49CC0D8E"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(تافسير)، (أحمد). 2014- علم التربية من منظور إسلامي. باندونج. حزب العمال. المراهقة (روزداكاريا)</w:t>
      </w:r>
    </w:p>
    <w:p w14:paraId="3430ED3C" w14:textId="77777777" w:rsidR="00462A83" w:rsidRPr="00D84C0A" w:rsidRDefault="00462A83" w:rsidP="00462A83">
      <w:pPr>
        <w:bidi/>
        <w:rPr>
          <w:rFonts w:ascii="Traditional Arabic" w:hAnsi="Traditional Arabic" w:cs="Traditional Arabic"/>
          <w:sz w:val="32"/>
          <w:szCs w:val="32"/>
          <w:lang w:bidi="ar-JO"/>
        </w:rPr>
      </w:pPr>
      <w:r w:rsidRPr="00D84C0A">
        <w:rPr>
          <w:rFonts w:ascii="Traditional Arabic" w:hAnsi="Traditional Arabic" w:cs="Traditional Arabic"/>
          <w:sz w:val="32"/>
          <w:szCs w:val="32"/>
          <w:rtl/>
          <w:lang w:bidi="ar-JO"/>
        </w:rPr>
        <w:t>ثالهان، محمود. 2005. علم الحديث العملي. بوجور. مكتبة ثاريكيل عزة.</w:t>
      </w:r>
    </w:p>
    <w:p w14:paraId="5409D8CF" w14:textId="77777777" w:rsidR="00462A83" w:rsidRPr="00D26FD4" w:rsidRDefault="00462A83" w:rsidP="00462A83">
      <w:pPr>
        <w:bidi/>
        <w:rPr>
          <w:rFonts w:ascii="Traditional Arabic" w:hAnsi="Traditional Arabic" w:cs="Traditional Arabic"/>
          <w:sz w:val="32"/>
          <w:szCs w:val="32"/>
          <w:rtl/>
          <w:lang w:bidi="ar-JO"/>
        </w:rPr>
      </w:pPr>
      <w:r w:rsidRPr="00D84C0A">
        <w:rPr>
          <w:rFonts w:ascii="Traditional Arabic" w:hAnsi="Traditional Arabic" w:cs="Traditional Arabic"/>
          <w:sz w:val="32"/>
          <w:szCs w:val="32"/>
          <w:rtl/>
          <w:lang w:bidi="ar-JO"/>
        </w:rPr>
        <w:t>أولوان، ناشه. 2016. تعليم الأطفال في الإسلام. ترجمة أيت آرباني. (ديبوك) فثان بريما ميديا.</w:t>
      </w:r>
    </w:p>
    <w:p w14:paraId="2DCA86F2" w14:textId="77777777" w:rsidR="00994AA9" w:rsidRPr="00462A83" w:rsidRDefault="00994AA9" w:rsidP="00462A83"/>
    <w:sectPr w:rsidR="00994AA9" w:rsidRPr="00462A83" w:rsidSect="00420656">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4ABE" w14:textId="77777777" w:rsidR="005716F9" w:rsidRDefault="005716F9" w:rsidP="008F33CA">
      <w:r>
        <w:separator/>
      </w:r>
    </w:p>
  </w:endnote>
  <w:endnote w:type="continuationSeparator" w:id="0">
    <w:p w14:paraId="1C653994" w14:textId="77777777" w:rsidR="005716F9" w:rsidRDefault="005716F9" w:rsidP="008F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966181"/>
      <w:docPartObj>
        <w:docPartGallery w:val="Page Numbers (Bottom of Page)"/>
        <w:docPartUnique/>
      </w:docPartObj>
    </w:sdtPr>
    <w:sdtEndPr>
      <w:rPr>
        <w:noProof/>
      </w:rPr>
    </w:sdtEndPr>
    <w:sdtContent>
      <w:p w14:paraId="4F9C1C32" w14:textId="77777777" w:rsidR="009B45B4" w:rsidRPr="003B6B49" w:rsidRDefault="003B6B49" w:rsidP="00420656">
        <w:pPr>
          <w:pStyle w:val="Footer"/>
          <w:tabs>
            <w:tab w:val="clear" w:pos="4513"/>
            <w:tab w:val="clear" w:pos="9026"/>
            <w:tab w:val="left" w:pos="2552"/>
          </w:tabs>
          <w:rPr>
            <w:szCs w:val="20"/>
          </w:rPr>
        </w:pPr>
        <w:r>
          <w:fldChar w:fldCharType="begin"/>
        </w:r>
        <w:r>
          <w:instrText xml:space="preserve"> PAGE   \* MERGEFORMAT </w:instrText>
        </w:r>
        <w:r>
          <w:fldChar w:fldCharType="separate"/>
        </w:r>
        <w:r w:rsidR="00702225">
          <w:rPr>
            <w:noProof/>
          </w:rPr>
          <w:t>142</w:t>
        </w:r>
        <w:r>
          <w:rPr>
            <w:noProof/>
          </w:rPr>
          <w:fldChar w:fldCharType="end"/>
        </w:r>
        <w:r w:rsidRPr="003B6B49">
          <w:rPr>
            <w:szCs w:val="20"/>
          </w:rPr>
          <w:t xml:space="preserve"> </w:t>
        </w:r>
        <w:r w:rsidRPr="005F1BD6">
          <w:rPr>
            <w:szCs w:val="20"/>
          </w:rPr>
          <w:tab/>
        </w:r>
        <w:hyperlink r:id="rId1" w:history="1">
          <w:r w:rsidR="00E01DB0" w:rsidRPr="00562F86">
            <w:rPr>
              <w:rStyle w:val="Hyperlink"/>
              <w:color w:val="auto"/>
              <w:szCs w:val="20"/>
              <w:u w:val="none"/>
            </w:rPr>
            <w:t xml:space="preserve">Atthulab: </w:t>
          </w:r>
          <w:r w:rsidR="00E01DB0" w:rsidRPr="00562F86">
            <w:rPr>
              <w:rStyle w:val="Hyperlink"/>
              <w:i/>
              <w:iCs/>
              <w:color w:val="auto"/>
              <w:szCs w:val="20"/>
              <w:u w:val="none"/>
            </w:rPr>
            <w:t>Islamic Religion Teaching &amp; Learning Journal</w:t>
          </w:r>
          <w:r w:rsidR="00E01DB0" w:rsidRPr="00562F86">
            <w:rPr>
              <w:rStyle w:val="Hyperlink"/>
              <w:color w:val="auto"/>
              <w:szCs w:val="20"/>
              <w:u w:val="none"/>
            </w:rPr>
            <w:t xml:space="preserve"> </w:t>
          </w:r>
          <w:r w:rsidR="00420656">
            <w:rPr>
              <w:rStyle w:val="Hyperlink"/>
              <w:color w:val="auto"/>
              <w:szCs w:val="20"/>
              <w:u w:val="none"/>
            </w:rPr>
            <w:t>...</w:t>
          </w:r>
          <w:r w:rsidRPr="00562F86">
            <w:rPr>
              <w:rStyle w:val="Hyperlink"/>
              <w:color w:val="auto"/>
              <w:szCs w:val="20"/>
              <w:u w:val="none"/>
            </w:rPr>
            <w:t xml:space="preserve"> </w:t>
          </w:r>
          <w:r w:rsidR="00E01DB0" w:rsidRPr="00562F86">
            <w:rPr>
              <w:rStyle w:val="Hyperlink"/>
              <w:color w:val="auto"/>
              <w:szCs w:val="20"/>
              <w:u w:val="none"/>
            </w:rPr>
            <w:t>(</w:t>
          </w:r>
          <w:r w:rsidR="00420656">
            <w:rPr>
              <w:rStyle w:val="Hyperlink"/>
              <w:color w:val="auto"/>
              <w:szCs w:val="20"/>
              <w:u w:val="none"/>
            </w:rPr>
            <w:t>...</w:t>
          </w:r>
          <w:r w:rsidR="00E01DB0" w:rsidRPr="00562F86">
            <w:rPr>
              <w:rStyle w:val="Hyperlink"/>
              <w:color w:val="auto"/>
              <w:szCs w:val="20"/>
              <w:u w:val="none"/>
            </w:rPr>
            <w:t>)</w:t>
          </w:r>
          <w:r w:rsidRPr="00562F86">
            <w:rPr>
              <w:rStyle w:val="Hyperlink"/>
              <w:color w:val="auto"/>
              <w:szCs w:val="20"/>
              <w:u w:val="none"/>
            </w:rPr>
            <w:t xml:space="preserve"> </w:t>
          </w:r>
          <w:r w:rsidR="00420656">
            <w:rPr>
              <w:rStyle w:val="Hyperlink"/>
              <w:color w:val="auto"/>
              <w:szCs w:val="20"/>
              <w:u w:val="none"/>
            </w:rPr>
            <w:t>...</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02DB" w14:textId="77777777" w:rsidR="009B45B4" w:rsidRPr="00E01DB0" w:rsidRDefault="005716F9" w:rsidP="00DF17D1">
    <w:pPr>
      <w:pStyle w:val="Footer"/>
      <w:tabs>
        <w:tab w:val="clear" w:pos="4513"/>
        <w:tab w:val="clear" w:pos="9026"/>
        <w:tab w:val="left" w:pos="7938"/>
      </w:tabs>
      <w:rPr>
        <w:szCs w:val="20"/>
      </w:rPr>
    </w:pPr>
    <w:sdt>
      <w:sdtPr>
        <w:id w:val="-1712956515"/>
        <w:docPartObj>
          <w:docPartGallery w:val="Page Numbers (Bottom of Page)"/>
          <w:docPartUnique/>
        </w:docPartObj>
      </w:sdtPr>
      <w:sdtEndPr>
        <w:rPr>
          <w:noProof/>
        </w:rPr>
      </w:sdtEndPr>
      <w:sdtContent>
        <w:hyperlink r:id="rId1" w:history="1">
          <w:r w:rsidR="0071670B" w:rsidRPr="00562F86">
            <w:rPr>
              <w:rStyle w:val="Hyperlink"/>
              <w:color w:val="auto"/>
              <w:szCs w:val="20"/>
              <w:u w:val="none"/>
            </w:rPr>
            <w:t xml:space="preserve">Atthulab: </w:t>
          </w:r>
          <w:r w:rsidR="0071670B" w:rsidRPr="00562F86">
            <w:rPr>
              <w:rStyle w:val="Hyperlink"/>
              <w:i/>
              <w:iCs/>
              <w:color w:val="auto"/>
              <w:szCs w:val="20"/>
              <w:u w:val="none"/>
            </w:rPr>
            <w:t>Islamic Religion Teaching &amp; Learning Journal</w:t>
          </w:r>
          <w:r w:rsidR="0071670B" w:rsidRPr="00562F86">
            <w:rPr>
              <w:rStyle w:val="Hyperlink"/>
              <w:color w:val="auto"/>
              <w:szCs w:val="20"/>
              <w:u w:val="none"/>
            </w:rPr>
            <w:t xml:space="preserve"> </w:t>
          </w:r>
          <w:r w:rsidR="00420656">
            <w:rPr>
              <w:rStyle w:val="Hyperlink"/>
              <w:color w:val="auto"/>
              <w:szCs w:val="20"/>
              <w:u w:val="none"/>
            </w:rPr>
            <w:t>...</w:t>
          </w:r>
          <w:r w:rsidR="0071670B" w:rsidRPr="00562F86">
            <w:rPr>
              <w:rStyle w:val="Hyperlink"/>
              <w:color w:val="auto"/>
              <w:szCs w:val="20"/>
              <w:u w:val="none"/>
            </w:rPr>
            <w:t xml:space="preserve"> (</w:t>
          </w:r>
          <w:r w:rsidR="00420656">
            <w:rPr>
              <w:rStyle w:val="Hyperlink"/>
              <w:color w:val="auto"/>
              <w:szCs w:val="20"/>
              <w:u w:val="none"/>
            </w:rPr>
            <w:t>...</w:t>
          </w:r>
          <w:r w:rsidR="0071670B" w:rsidRPr="00562F86">
            <w:rPr>
              <w:rStyle w:val="Hyperlink"/>
              <w:color w:val="auto"/>
              <w:szCs w:val="20"/>
              <w:u w:val="none"/>
            </w:rPr>
            <w:t xml:space="preserve">) </w:t>
          </w:r>
          <w:r w:rsidR="00420656">
            <w:rPr>
              <w:rStyle w:val="Hyperlink"/>
              <w:color w:val="auto"/>
              <w:szCs w:val="20"/>
              <w:u w:val="none"/>
            </w:rPr>
            <w:t>...</w:t>
          </w:r>
        </w:hyperlink>
        <w:r w:rsidR="00E01DB0">
          <w:rPr>
            <w:noProof/>
            <w:szCs w:val="20"/>
          </w:rPr>
          <w:tab/>
        </w:r>
        <w:r w:rsidR="00E01DB0">
          <w:fldChar w:fldCharType="begin"/>
        </w:r>
        <w:r w:rsidR="00E01DB0">
          <w:instrText xml:space="preserve"> PAGE   \* MERGEFORMAT </w:instrText>
        </w:r>
        <w:r w:rsidR="00E01DB0">
          <w:fldChar w:fldCharType="separate"/>
        </w:r>
        <w:r w:rsidR="00702225">
          <w:rPr>
            <w:noProof/>
          </w:rPr>
          <w:t>141</w:t>
        </w:r>
        <w:r w:rsidR="00E01DB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765161"/>
      <w:docPartObj>
        <w:docPartGallery w:val="Page Numbers (Bottom of Page)"/>
        <w:docPartUnique/>
      </w:docPartObj>
    </w:sdtPr>
    <w:sdtEndPr>
      <w:rPr>
        <w:noProof/>
      </w:rPr>
    </w:sdtEndPr>
    <w:sdtContent>
      <w:p w14:paraId="2D1059D3" w14:textId="77777777" w:rsidR="009B45B4" w:rsidRDefault="003B6B49" w:rsidP="003B6B49">
        <w:pPr>
          <w:pStyle w:val="Footer"/>
          <w:jc w:val="center"/>
        </w:pPr>
        <w:r>
          <w:fldChar w:fldCharType="begin"/>
        </w:r>
        <w:r>
          <w:instrText xml:space="preserve"> PAGE   \* MERGEFORMAT </w:instrText>
        </w:r>
        <w:r>
          <w:fldChar w:fldCharType="separate"/>
        </w:r>
        <w:r w:rsidR="00702225">
          <w:rPr>
            <w:noProof/>
          </w:rPr>
          <w:t>133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BE4B" w14:textId="77777777" w:rsidR="005716F9" w:rsidRDefault="005716F9" w:rsidP="008F33CA">
      <w:r>
        <w:separator/>
      </w:r>
    </w:p>
  </w:footnote>
  <w:footnote w:type="continuationSeparator" w:id="0">
    <w:p w14:paraId="3E1EC6BD" w14:textId="77777777" w:rsidR="005716F9" w:rsidRDefault="005716F9" w:rsidP="008F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7A2C" w14:textId="7EE2346A" w:rsidR="009C404E" w:rsidRPr="009C404E" w:rsidRDefault="009C404E" w:rsidP="009C404E">
    <w:pPr>
      <w:pStyle w:val="Header"/>
      <w:rPr>
        <w:i/>
        <w:iCs/>
      </w:rPr>
    </w:pPr>
    <w:r w:rsidRPr="009C404E">
      <w:rPr>
        <w:i/>
        <w:iCs/>
      </w:rPr>
      <w:t>Konsep Pendidikan Q.S Luqman : 12-19 Perspektif Taisir Karim Ar-rahman Fi Tafsir Kalam Al-mannan Karya Abdurahman bin Nashir As-Si’di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3823" w14:textId="77777777" w:rsidR="005F1BD6" w:rsidRPr="00823FD1" w:rsidRDefault="00420656" w:rsidP="005F1BD6">
    <w:pPr>
      <w:pStyle w:val="Header"/>
      <w:tabs>
        <w:tab w:val="clear" w:pos="4513"/>
        <w:tab w:val="clear" w:pos="9026"/>
      </w:tabs>
      <w:jc w:val="right"/>
      <w:rPr>
        <w:i/>
        <w:iCs/>
      </w:rPr>
    </w:pPr>
    <w:r>
      <w:rPr>
        <w:i/>
        <w:iCs/>
      </w:rPr>
      <w:t>Penulis Kesatu</w:t>
    </w:r>
    <w:r w:rsidR="00E01DB0">
      <w:rPr>
        <w:i/>
        <w:iCs/>
      </w:rPr>
      <w:t xml:space="preserve">, </w:t>
    </w:r>
    <w:r>
      <w:rPr>
        <w:i/>
        <w:iCs/>
      </w:rPr>
      <w:t>Penulis Kedua</w:t>
    </w:r>
    <w:r w:rsidR="00E01DB0">
      <w:rPr>
        <w:i/>
        <w:iCs/>
      </w:rPr>
      <w:t xml:space="preserve"> dan</w:t>
    </w:r>
    <w:r w:rsidR="003B6B49">
      <w:rPr>
        <w:i/>
        <w:iCs/>
      </w:rPr>
      <w:t xml:space="preserve"> </w:t>
    </w:r>
    <w:r>
      <w:rPr>
        <w:i/>
        <w:iCs/>
      </w:rPr>
      <w:t>Penulis Ketiga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D605" w14:textId="77777777" w:rsidR="008F33CA" w:rsidRPr="008F33CA" w:rsidRDefault="00A653C3" w:rsidP="00823FD1">
    <w:pPr>
      <w:pStyle w:val="Header"/>
      <w:tabs>
        <w:tab w:val="clear" w:pos="4513"/>
        <w:tab w:val="clear" w:pos="9026"/>
      </w:tabs>
      <w:jc w:val="center"/>
      <w:rPr>
        <w:szCs w:val="20"/>
      </w:rPr>
    </w:pPr>
    <w:bookmarkStart w:id="0" w:name="_Hlk22805589"/>
    <w:r>
      <w:rPr>
        <w:noProof/>
        <w:lang w:val="en-US"/>
      </w:rPr>
      <w:drawing>
        <wp:anchor distT="0" distB="0" distL="114300" distR="114300" simplePos="0" relativeHeight="251659264" behindDoc="1" locked="0" layoutInCell="1" allowOverlap="1" wp14:anchorId="5A83E876" wp14:editId="1179DAE6">
          <wp:simplePos x="0" y="0"/>
          <wp:positionH relativeFrom="margin">
            <wp:align>left</wp:align>
          </wp:positionH>
          <wp:positionV relativeFrom="paragraph">
            <wp:posOffset>14605</wp:posOffset>
          </wp:positionV>
          <wp:extent cx="1152525" cy="304800"/>
          <wp:effectExtent l="0" t="0" r="0" b="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t="-6667"/>
                  <a:stretch>
                    <a:fillRect/>
                  </a:stretch>
                </pic:blipFill>
                <pic:spPr bwMode="auto">
                  <a:xfrm>
                    <a:off x="0" y="0"/>
                    <a:ext cx="11525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1" locked="0" layoutInCell="1" allowOverlap="1" wp14:anchorId="0ACF6FD7" wp14:editId="53024D1E">
          <wp:simplePos x="0" y="0"/>
          <wp:positionH relativeFrom="margin">
            <wp:align>right</wp:align>
          </wp:positionH>
          <wp:positionV relativeFrom="paragraph">
            <wp:posOffset>1270</wp:posOffset>
          </wp:positionV>
          <wp:extent cx="972185" cy="45339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18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3CA" w:rsidRPr="008F33CA">
      <w:rPr>
        <w:szCs w:val="20"/>
      </w:rPr>
      <w:t xml:space="preserve">ATTHULAB: </w:t>
    </w:r>
  </w:p>
  <w:p w14:paraId="3AAA35CA" w14:textId="77777777" w:rsidR="008F33CA" w:rsidRPr="00E01DB0" w:rsidRDefault="008F33CA" w:rsidP="00823FD1">
    <w:pPr>
      <w:pStyle w:val="Header"/>
      <w:tabs>
        <w:tab w:val="clear" w:pos="4513"/>
        <w:tab w:val="clear" w:pos="9026"/>
      </w:tabs>
      <w:jc w:val="center"/>
      <w:rPr>
        <w:i/>
        <w:iCs/>
        <w:szCs w:val="20"/>
      </w:rPr>
    </w:pPr>
    <w:r w:rsidRPr="00E01DB0">
      <w:rPr>
        <w:i/>
        <w:iCs/>
        <w:szCs w:val="20"/>
      </w:rPr>
      <w:t>Islamic Religion Teaching &amp; Learning Journal</w:t>
    </w:r>
  </w:p>
  <w:p w14:paraId="2EDE5429" w14:textId="77777777" w:rsidR="008F33CA" w:rsidRDefault="008F33CA" w:rsidP="00823FD1">
    <w:pPr>
      <w:jc w:val="center"/>
      <w:rPr>
        <w:szCs w:val="20"/>
        <w:lang w:eastAsia="id-ID"/>
      </w:rPr>
    </w:pPr>
    <w:r w:rsidRPr="008F33CA">
      <w:rPr>
        <w:szCs w:val="20"/>
        <w:lang w:eastAsia="id-ID"/>
      </w:rPr>
      <w:t xml:space="preserve">Volume </w:t>
    </w:r>
    <w:r w:rsidR="00576E20">
      <w:rPr>
        <w:szCs w:val="20"/>
        <w:lang w:eastAsia="id-ID"/>
      </w:rPr>
      <w:t>...</w:t>
    </w:r>
    <w:r w:rsidRPr="008F33CA">
      <w:rPr>
        <w:szCs w:val="20"/>
        <w:lang w:eastAsia="id-ID"/>
      </w:rPr>
      <w:t xml:space="preserve"> Nomor </w:t>
    </w:r>
    <w:r w:rsidR="00576E20">
      <w:rPr>
        <w:szCs w:val="20"/>
        <w:lang w:eastAsia="id-ID"/>
      </w:rPr>
      <w:t>...</w:t>
    </w:r>
    <w:r w:rsidRPr="008F33CA">
      <w:rPr>
        <w:szCs w:val="20"/>
        <w:lang w:eastAsia="id-ID"/>
      </w:rPr>
      <w:t xml:space="preserve"> Tahun </w:t>
    </w:r>
    <w:r w:rsidR="00576E20">
      <w:rPr>
        <w:szCs w:val="20"/>
        <w:lang w:eastAsia="id-ID"/>
      </w:rPr>
      <w:t>...</w:t>
    </w:r>
  </w:p>
  <w:p w14:paraId="224F7134" w14:textId="77777777" w:rsidR="008F33CA" w:rsidRDefault="005716F9" w:rsidP="00823FD1">
    <w:pPr>
      <w:pStyle w:val="Header"/>
      <w:tabs>
        <w:tab w:val="clear" w:pos="4513"/>
        <w:tab w:val="clear" w:pos="9026"/>
      </w:tabs>
      <w:jc w:val="center"/>
      <w:rPr>
        <w:color w:val="auto"/>
      </w:rPr>
    </w:pPr>
    <w:hyperlink r:id="rId3" w:history="1">
      <w:r w:rsidR="001475FB" w:rsidRPr="00AA6C1F">
        <w:rPr>
          <w:rStyle w:val="Hyperlink"/>
          <w:color w:val="auto"/>
          <w:u w:val="none"/>
        </w:rPr>
        <w:t>http://journal.uinsgd.ac.id./index.php/atthulab/</w:t>
      </w:r>
    </w:hyperlink>
    <w:bookmarkEnd w:id="0"/>
    <w:r w:rsidR="001475FB" w:rsidRPr="00AA6C1F">
      <w:rPr>
        <w:color w:val="auto"/>
      </w:rPr>
      <w:t xml:space="preserve"> </w:t>
    </w:r>
  </w:p>
  <w:p w14:paraId="5CB6963B" w14:textId="77777777" w:rsidR="00DF17D1" w:rsidRPr="00AA6C1F" w:rsidRDefault="00DF17D1" w:rsidP="00823FD1">
    <w:pPr>
      <w:pStyle w:val="Header"/>
      <w:tabs>
        <w:tab w:val="clear" w:pos="4513"/>
        <w:tab w:val="clear" w:pos="9026"/>
      </w:tabs>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2.55pt;height:10.75pt;visibility:visible;mso-wrap-style:square" o:bullet="t">
        <v:imagedata r:id="rId1" o:title=""/>
      </v:shape>
    </w:pict>
  </w:numPicBullet>
  <w:abstractNum w:abstractNumId="0" w15:restartNumberingAfterBreak="0">
    <w:nsid w:val="14BE6B6E"/>
    <w:multiLevelType w:val="multilevel"/>
    <w:tmpl w:val="66FEA4C4"/>
    <w:lvl w:ilvl="0">
      <w:start w:val="1"/>
      <w:numFmt w:val="upperRoman"/>
      <w:suff w:val="nothing"/>
      <w:lvlText w:val="BAB %1"/>
      <w:lvlJc w:val="center"/>
      <w:pPr>
        <w:ind w:firstLine="340"/>
      </w:pPr>
      <w:rPr>
        <w:rFonts w:ascii="Times New Roman" w:hAnsi="Times New Roman" w:cs="Times New Roman" w:hint="default"/>
        <w:b/>
        <w:i w:val="0"/>
        <w:caps/>
        <w:sz w:val="28"/>
      </w:rPr>
    </w:lvl>
    <w:lvl w:ilvl="1">
      <w:start w:val="1"/>
      <w:numFmt w:val="upperLetter"/>
      <w:pStyle w:val="Heading2"/>
      <w:lvlText w:val="%2. "/>
      <w:lvlJc w:val="left"/>
      <w:pPr>
        <w:ind w:left="567" w:hanging="567"/>
      </w:pPr>
      <w:rPr>
        <w:rFonts w:ascii="Times New Roman" w:hAnsi="Times New Roman" w:cs="Times New Roman" w:hint="default"/>
        <w:b/>
        <w:i w:val="0"/>
        <w:sz w:val="24"/>
      </w:rPr>
    </w:lvl>
    <w:lvl w:ilvl="2">
      <w:start w:val="1"/>
      <w:numFmt w:val="decimal"/>
      <w:pStyle w:val="Heading3"/>
      <w:lvlText w:val="%3. "/>
      <w:lvlJc w:val="left"/>
      <w:pPr>
        <w:ind w:left="851" w:hanging="284"/>
      </w:pPr>
      <w:rPr>
        <w:rFonts w:ascii="Times New Roman" w:hAnsi="Times New Roman" w:cs="Times New Roman" w:hint="default"/>
        <w:b/>
        <w:i w:val="0"/>
        <w:sz w:val="24"/>
      </w:rPr>
    </w:lvl>
    <w:lvl w:ilvl="3">
      <w:start w:val="1"/>
      <w:numFmt w:val="lowerLetter"/>
      <w:pStyle w:val="Heading4"/>
      <w:lvlText w:val="%4. "/>
      <w:lvlJc w:val="left"/>
      <w:pPr>
        <w:ind w:left="1134" w:hanging="283"/>
      </w:pPr>
      <w:rPr>
        <w:rFonts w:ascii="Times New Roman" w:hAnsi="Times New Roman" w:cs="Times New Roman" w:hint="default"/>
        <w:b/>
        <w:i w:val="0"/>
        <w:iCs/>
        <w:sz w:val="24"/>
      </w:rPr>
    </w:lvl>
    <w:lvl w:ilvl="4">
      <w:start w:val="1"/>
      <w:numFmt w:val="decimal"/>
      <w:pStyle w:val="Heading5"/>
      <w:lvlText w:val="%5) "/>
      <w:lvlJc w:val="left"/>
      <w:pPr>
        <w:ind w:left="1418" w:hanging="284"/>
      </w:pPr>
      <w:rPr>
        <w:rFonts w:ascii="Times New Roman" w:hAnsi="Times New Roman" w:cs="Times New Roman" w:hint="default"/>
        <w:sz w:val="24"/>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5C83BE2"/>
    <w:multiLevelType w:val="hybridMultilevel"/>
    <w:tmpl w:val="9C3E90E6"/>
    <w:lvl w:ilvl="0" w:tplc="B158F786">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9837F66"/>
    <w:multiLevelType w:val="hybridMultilevel"/>
    <w:tmpl w:val="82CC5BE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8A01317"/>
    <w:multiLevelType w:val="hybridMultilevel"/>
    <w:tmpl w:val="1E62FD58"/>
    <w:lvl w:ilvl="0" w:tplc="D31C68E6">
      <w:start w:val="1"/>
      <w:numFmt w:val="bullet"/>
      <w:lvlText w:val=""/>
      <w:lvlPicBulletId w:val="0"/>
      <w:lvlJc w:val="left"/>
      <w:pPr>
        <w:tabs>
          <w:tab w:val="num" w:pos="720"/>
        </w:tabs>
        <w:ind w:left="720" w:hanging="360"/>
      </w:pPr>
      <w:rPr>
        <w:rFonts w:ascii="Symbol" w:hAnsi="Symbol" w:hint="default"/>
      </w:rPr>
    </w:lvl>
    <w:lvl w:ilvl="1" w:tplc="A978D64A" w:tentative="1">
      <w:start w:val="1"/>
      <w:numFmt w:val="bullet"/>
      <w:lvlText w:val=""/>
      <w:lvlJc w:val="left"/>
      <w:pPr>
        <w:tabs>
          <w:tab w:val="num" w:pos="1440"/>
        </w:tabs>
        <w:ind w:left="1440" w:hanging="360"/>
      </w:pPr>
      <w:rPr>
        <w:rFonts w:ascii="Symbol" w:hAnsi="Symbol" w:hint="default"/>
      </w:rPr>
    </w:lvl>
    <w:lvl w:ilvl="2" w:tplc="582E6166" w:tentative="1">
      <w:start w:val="1"/>
      <w:numFmt w:val="bullet"/>
      <w:lvlText w:val=""/>
      <w:lvlJc w:val="left"/>
      <w:pPr>
        <w:tabs>
          <w:tab w:val="num" w:pos="2160"/>
        </w:tabs>
        <w:ind w:left="2160" w:hanging="360"/>
      </w:pPr>
      <w:rPr>
        <w:rFonts w:ascii="Symbol" w:hAnsi="Symbol" w:hint="default"/>
      </w:rPr>
    </w:lvl>
    <w:lvl w:ilvl="3" w:tplc="EECEE5F6" w:tentative="1">
      <w:start w:val="1"/>
      <w:numFmt w:val="bullet"/>
      <w:lvlText w:val=""/>
      <w:lvlJc w:val="left"/>
      <w:pPr>
        <w:tabs>
          <w:tab w:val="num" w:pos="2880"/>
        </w:tabs>
        <w:ind w:left="2880" w:hanging="360"/>
      </w:pPr>
      <w:rPr>
        <w:rFonts w:ascii="Symbol" w:hAnsi="Symbol" w:hint="default"/>
      </w:rPr>
    </w:lvl>
    <w:lvl w:ilvl="4" w:tplc="95FA3DC8" w:tentative="1">
      <w:start w:val="1"/>
      <w:numFmt w:val="bullet"/>
      <w:lvlText w:val=""/>
      <w:lvlJc w:val="left"/>
      <w:pPr>
        <w:tabs>
          <w:tab w:val="num" w:pos="3600"/>
        </w:tabs>
        <w:ind w:left="3600" w:hanging="360"/>
      </w:pPr>
      <w:rPr>
        <w:rFonts w:ascii="Symbol" w:hAnsi="Symbol" w:hint="default"/>
      </w:rPr>
    </w:lvl>
    <w:lvl w:ilvl="5" w:tplc="81006A1A" w:tentative="1">
      <w:start w:val="1"/>
      <w:numFmt w:val="bullet"/>
      <w:lvlText w:val=""/>
      <w:lvlJc w:val="left"/>
      <w:pPr>
        <w:tabs>
          <w:tab w:val="num" w:pos="4320"/>
        </w:tabs>
        <w:ind w:left="4320" w:hanging="360"/>
      </w:pPr>
      <w:rPr>
        <w:rFonts w:ascii="Symbol" w:hAnsi="Symbol" w:hint="default"/>
      </w:rPr>
    </w:lvl>
    <w:lvl w:ilvl="6" w:tplc="EA5EAA5E" w:tentative="1">
      <w:start w:val="1"/>
      <w:numFmt w:val="bullet"/>
      <w:lvlText w:val=""/>
      <w:lvlJc w:val="left"/>
      <w:pPr>
        <w:tabs>
          <w:tab w:val="num" w:pos="5040"/>
        </w:tabs>
        <w:ind w:left="5040" w:hanging="360"/>
      </w:pPr>
      <w:rPr>
        <w:rFonts w:ascii="Symbol" w:hAnsi="Symbol" w:hint="default"/>
      </w:rPr>
    </w:lvl>
    <w:lvl w:ilvl="7" w:tplc="7DC42FB0" w:tentative="1">
      <w:start w:val="1"/>
      <w:numFmt w:val="bullet"/>
      <w:lvlText w:val=""/>
      <w:lvlJc w:val="left"/>
      <w:pPr>
        <w:tabs>
          <w:tab w:val="num" w:pos="5760"/>
        </w:tabs>
        <w:ind w:left="5760" w:hanging="360"/>
      </w:pPr>
      <w:rPr>
        <w:rFonts w:ascii="Symbol" w:hAnsi="Symbol" w:hint="default"/>
      </w:rPr>
    </w:lvl>
    <w:lvl w:ilvl="8" w:tplc="EDACA9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0F11935"/>
    <w:multiLevelType w:val="hybridMultilevel"/>
    <w:tmpl w:val="62D85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E36BD1"/>
    <w:multiLevelType w:val="hybridMultilevel"/>
    <w:tmpl w:val="AF7E24FA"/>
    <w:lvl w:ilvl="0" w:tplc="DB640492">
      <w:start w:val="1"/>
      <w:numFmt w:val="decimal"/>
      <w:lvlText w:val="%1."/>
      <w:lvlJc w:val="left"/>
      <w:pPr>
        <w:ind w:left="630" w:hanging="45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6" w15:restartNumberingAfterBreak="0">
    <w:nsid w:val="4C117A33"/>
    <w:multiLevelType w:val="hybridMultilevel"/>
    <w:tmpl w:val="96327C8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D94FA3"/>
    <w:multiLevelType w:val="hybridMultilevel"/>
    <w:tmpl w:val="36F00B24"/>
    <w:lvl w:ilvl="0" w:tplc="D8164988">
      <w:start w:val="1"/>
      <w:numFmt w:val="decimal"/>
      <w:lvlText w:val="%1."/>
      <w:lvlJc w:val="left"/>
      <w:pPr>
        <w:ind w:left="360" w:hanging="360"/>
      </w:pPr>
      <w:rPr>
        <w:rFonts w:ascii="Times New Roman" w:eastAsia="Calibri" w:hAnsi="Times New Roman" w:cs="Times New Roman"/>
      </w:rPr>
    </w:lvl>
    <w:lvl w:ilvl="1" w:tplc="04210003">
      <w:numFmt w:val="decimal"/>
      <w:lvlText w:val="o"/>
      <w:lvlJc w:val="left"/>
      <w:pPr>
        <w:ind w:left="1080" w:hanging="360"/>
      </w:pPr>
      <w:rPr>
        <w:rFonts w:ascii="Courier New" w:hAnsi="Courier New" w:cs="Courier New" w:hint="default"/>
      </w:rPr>
    </w:lvl>
    <w:lvl w:ilvl="2" w:tplc="04210005">
      <w:numFmt w:val="decimal"/>
      <w:lvlText w:val=""/>
      <w:lvlJc w:val="left"/>
      <w:pPr>
        <w:ind w:left="1800" w:hanging="360"/>
      </w:pPr>
      <w:rPr>
        <w:rFonts w:ascii="Wingdings" w:hAnsi="Wingdings" w:hint="default"/>
      </w:rPr>
    </w:lvl>
    <w:lvl w:ilvl="3" w:tplc="04210001">
      <w:numFmt w:val="decimal"/>
      <w:lvlText w:val=""/>
      <w:lvlJc w:val="left"/>
      <w:pPr>
        <w:ind w:left="2520" w:hanging="360"/>
      </w:pPr>
      <w:rPr>
        <w:rFonts w:ascii="Symbol" w:hAnsi="Symbol" w:hint="default"/>
      </w:rPr>
    </w:lvl>
    <w:lvl w:ilvl="4" w:tplc="04210003">
      <w:numFmt w:val="decimal"/>
      <w:lvlText w:val="o"/>
      <w:lvlJc w:val="left"/>
      <w:pPr>
        <w:ind w:left="3240" w:hanging="360"/>
      </w:pPr>
      <w:rPr>
        <w:rFonts w:ascii="Courier New" w:hAnsi="Courier New" w:cs="Courier New" w:hint="default"/>
      </w:rPr>
    </w:lvl>
    <w:lvl w:ilvl="5" w:tplc="04210005">
      <w:numFmt w:val="decimal"/>
      <w:lvlText w:val=""/>
      <w:lvlJc w:val="left"/>
      <w:pPr>
        <w:ind w:left="3960" w:hanging="360"/>
      </w:pPr>
      <w:rPr>
        <w:rFonts w:ascii="Wingdings" w:hAnsi="Wingdings" w:hint="default"/>
      </w:rPr>
    </w:lvl>
    <w:lvl w:ilvl="6" w:tplc="04210001">
      <w:numFmt w:val="decimal"/>
      <w:lvlText w:val=""/>
      <w:lvlJc w:val="left"/>
      <w:pPr>
        <w:ind w:left="4680" w:hanging="360"/>
      </w:pPr>
      <w:rPr>
        <w:rFonts w:ascii="Symbol" w:hAnsi="Symbol" w:hint="default"/>
      </w:rPr>
    </w:lvl>
    <w:lvl w:ilvl="7" w:tplc="04210003">
      <w:numFmt w:val="decimal"/>
      <w:lvlText w:val="o"/>
      <w:lvlJc w:val="left"/>
      <w:pPr>
        <w:ind w:left="5400" w:hanging="360"/>
      </w:pPr>
      <w:rPr>
        <w:rFonts w:ascii="Courier New" w:hAnsi="Courier New" w:cs="Courier New" w:hint="default"/>
      </w:rPr>
    </w:lvl>
    <w:lvl w:ilvl="8" w:tplc="04210005">
      <w:numFmt w:val="decimal"/>
      <w:lvlText w:val=""/>
      <w:lvlJc w:val="left"/>
      <w:pPr>
        <w:ind w:left="6120" w:hanging="360"/>
      </w:pPr>
      <w:rPr>
        <w:rFonts w:ascii="Wingdings" w:hAnsi="Wingdings" w:hint="default"/>
      </w:rPr>
    </w:lvl>
  </w:abstractNum>
  <w:abstractNum w:abstractNumId="8" w15:restartNumberingAfterBreak="0">
    <w:nsid w:val="60590D02"/>
    <w:multiLevelType w:val="hybridMultilevel"/>
    <w:tmpl w:val="6E2CFE6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9" w15:restartNumberingAfterBreak="0">
    <w:nsid w:val="608C217A"/>
    <w:multiLevelType w:val="hybridMultilevel"/>
    <w:tmpl w:val="BE681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8157B9"/>
    <w:multiLevelType w:val="hybridMultilevel"/>
    <w:tmpl w:val="E7CE64A8"/>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72224F0C"/>
    <w:multiLevelType w:val="hybridMultilevel"/>
    <w:tmpl w:val="6AC6B5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8"/>
  </w:num>
  <w:num w:numId="8">
    <w:abstractNumId w:val="3"/>
  </w:num>
  <w:num w:numId="9">
    <w:abstractNumId w:val="4"/>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4F"/>
    <w:rsid w:val="00000172"/>
    <w:rsid w:val="00005C53"/>
    <w:rsid w:val="00010033"/>
    <w:rsid w:val="00015E13"/>
    <w:rsid w:val="00016826"/>
    <w:rsid w:val="00020827"/>
    <w:rsid w:val="000209CE"/>
    <w:rsid w:val="00022383"/>
    <w:rsid w:val="00022709"/>
    <w:rsid w:val="00024296"/>
    <w:rsid w:val="00025346"/>
    <w:rsid w:val="00025D4F"/>
    <w:rsid w:val="0003322F"/>
    <w:rsid w:val="000361EE"/>
    <w:rsid w:val="0003763D"/>
    <w:rsid w:val="00040302"/>
    <w:rsid w:val="000414B1"/>
    <w:rsid w:val="00041A21"/>
    <w:rsid w:val="0004352B"/>
    <w:rsid w:val="000435C5"/>
    <w:rsid w:val="00044D1F"/>
    <w:rsid w:val="00044E58"/>
    <w:rsid w:val="000459CA"/>
    <w:rsid w:val="000464E7"/>
    <w:rsid w:val="00056271"/>
    <w:rsid w:val="000610E1"/>
    <w:rsid w:val="0006366E"/>
    <w:rsid w:val="00063A93"/>
    <w:rsid w:val="0006747E"/>
    <w:rsid w:val="0007298E"/>
    <w:rsid w:val="000735CC"/>
    <w:rsid w:val="00074B93"/>
    <w:rsid w:val="000801C4"/>
    <w:rsid w:val="0008265E"/>
    <w:rsid w:val="00083737"/>
    <w:rsid w:val="000862D8"/>
    <w:rsid w:val="0009014D"/>
    <w:rsid w:val="000924F7"/>
    <w:rsid w:val="00092920"/>
    <w:rsid w:val="000A0D2D"/>
    <w:rsid w:val="000A14C0"/>
    <w:rsid w:val="000A1DD2"/>
    <w:rsid w:val="000A4C9B"/>
    <w:rsid w:val="000A67EA"/>
    <w:rsid w:val="000A6D5B"/>
    <w:rsid w:val="000A729C"/>
    <w:rsid w:val="000B362D"/>
    <w:rsid w:val="000B6CB1"/>
    <w:rsid w:val="000B77C7"/>
    <w:rsid w:val="000C534F"/>
    <w:rsid w:val="000D45C4"/>
    <w:rsid w:val="000D5DE7"/>
    <w:rsid w:val="000D61A6"/>
    <w:rsid w:val="000D6334"/>
    <w:rsid w:val="000D7B5A"/>
    <w:rsid w:val="000E278A"/>
    <w:rsid w:val="000E3244"/>
    <w:rsid w:val="000E338A"/>
    <w:rsid w:val="000E42CA"/>
    <w:rsid w:val="000E4E04"/>
    <w:rsid w:val="000F171E"/>
    <w:rsid w:val="000F366F"/>
    <w:rsid w:val="000F3CC0"/>
    <w:rsid w:val="00100739"/>
    <w:rsid w:val="001013FA"/>
    <w:rsid w:val="00102E25"/>
    <w:rsid w:val="001066C4"/>
    <w:rsid w:val="0010701D"/>
    <w:rsid w:val="001127DB"/>
    <w:rsid w:val="00112ADE"/>
    <w:rsid w:val="00117121"/>
    <w:rsid w:val="0013111B"/>
    <w:rsid w:val="00133009"/>
    <w:rsid w:val="001334E3"/>
    <w:rsid w:val="00133C1D"/>
    <w:rsid w:val="001354D9"/>
    <w:rsid w:val="00136A04"/>
    <w:rsid w:val="00137422"/>
    <w:rsid w:val="0014338D"/>
    <w:rsid w:val="00145063"/>
    <w:rsid w:val="001475FB"/>
    <w:rsid w:val="00152DDE"/>
    <w:rsid w:val="0015313E"/>
    <w:rsid w:val="00156C33"/>
    <w:rsid w:val="001602E7"/>
    <w:rsid w:val="001605F0"/>
    <w:rsid w:val="001610AF"/>
    <w:rsid w:val="0016133A"/>
    <w:rsid w:val="001649E4"/>
    <w:rsid w:val="001661ED"/>
    <w:rsid w:val="00167192"/>
    <w:rsid w:val="0016774A"/>
    <w:rsid w:val="00170790"/>
    <w:rsid w:val="001717FB"/>
    <w:rsid w:val="00172878"/>
    <w:rsid w:val="00172B41"/>
    <w:rsid w:val="001749E5"/>
    <w:rsid w:val="001754CE"/>
    <w:rsid w:val="00175D84"/>
    <w:rsid w:val="001766CC"/>
    <w:rsid w:val="00176B1B"/>
    <w:rsid w:val="00176DBE"/>
    <w:rsid w:val="00177E55"/>
    <w:rsid w:val="00180232"/>
    <w:rsid w:val="00180AEC"/>
    <w:rsid w:val="00180F48"/>
    <w:rsid w:val="00181B53"/>
    <w:rsid w:val="0018582B"/>
    <w:rsid w:val="0018618D"/>
    <w:rsid w:val="00186CBD"/>
    <w:rsid w:val="00187003"/>
    <w:rsid w:val="00187D47"/>
    <w:rsid w:val="00190665"/>
    <w:rsid w:val="0019492A"/>
    <w:rsid w:val="0019553A"/>
    <w:rsid w:val="00196125"/>
    <w:rsid w:val="00197068"/>
    <w:rsid w:val="001975DE"/>
    <w:rsid w:val="001A388C"/>
    <w:rsid w:val="001B4A46"/>
    <w:rsid w:val="001B582E"/>
    <w:rsid w:val="001B74E0"/>
    <w:rsid w:val="001C19BD"/>
    <w:rsid w:val="001C5F77"/>
    <w:rsid w:val="001D0EF6"/>
    <w:rsid w:val="001D3A75"/>
    <w:rsid w:val="001D5C75"/>
    <w:rsid w:val="001D5EDA"/>
    <w:rsid w:val="001D5FC6"/>
    <w:rsid w:val="001D7C5B"/>
    <w:rsid w:val="001E1DB7"/>
    <w:rsid w:val="001E2A04"/>
    <w:rsid w:val="001E37A5"/>
    <w:rsid w:val="001E603D"/>
    <w:rsid w:val="001F3033"/>
    <w:rsid w:val="001F3B07"/>
    <w:rsid w:val="002002D7"/>
    <w:rsid w:val="00201A8B"/>
    <w:rsid w:val="00202B98"/>
    <w:rsid w:val="00211167"/>
    <w:rsid w:val="002118A0"/>
    <w:rsid w:val="00212B4B"/>
    <w:rsid w:val="002149F3"/>
    <w:rsid w:val="0021789B"/>
    <w:rsid w:val="00221159"/>
    <w:rsid w:val="00222912"/>
    <w:rsid w:val="00232BCF"/>
    <w:rsid w:val="00237B4C"/>
    <w:rsid w:val="00244D8F"/>
    <w:rsid w:val="0024625C"/>
    <w:rsid w:val="00251329"/>
    <w:rsid w:val="0025290B"/>
    <w:rsid w:val="00255BD2"/>
    <w:rsid w:val="00260A9B"/>
    <w:rsid w:val="0026230F"/>
    <w:rsid w:val="00263D3D"/>
    <w:rsid w:val="00265FAE"/>
    <w:rsid w:val="002673EC"/>
    <w:rsid w:val="00270DE0"/>
    <w:rsid w:val="00271CD6"/>
    <w:rsid w:val="00281A85"/>
    <w:rsid w:val="002820D9"/>
    <w:rsid w:val="00283566"/>
    <w:rsid w:val="00283BC7"/>
    <w:rsid w:val="00285C8A"/>
    <w:rsid w:val="00290481"/>
    <w:rsid w:val="002919D1"/>
    <w:rsid w:val="0029295C"/>
    <w:rsid w:val="00294EE4"/>
    <w:rsid w:val="002952D8"/>
    <w:rsid w:val="00295D6B"/>
    <w:rsid w:val="002A001C"/>
    <w:rsid w:val="002A1F22"/>
    <w:rsid w:val="002A4324"/>
    <w:rsid w:val="002A4607"/>
    <w:rsid w:val="002A567C"/>
    <w:rsid w:val="002A58B6"/>
    <w:rsid w:val="002A7E0C"/>
    <w:rsid w:val="002B0C76"/>
    <w:rsid w:val="002B3476"/>
    <w:rsid w:val="002C2A20"/>
    <w:rsid w:val="002C5D32"/>
    <w:rsid w:val="002C6A6B"/>
    <w:rsid w:val="002C6AA2"/>
    <w:rsid w:val="002C7DF5"/>
    <w:rsid w:val="002D1754"/>
    <w:rsid w:val="002D490D"/>
    <w:rsid w:val="002E2D8F"/>
    <w:rsid w:val="002E384F"/>
    <w:rsid w:val="002E3EAA"/>
    <w:rsid w:val="002E6A61"/>
    <w:rsid w:val="002E74BC"/>
    <w:rsid w:val="002E7DD7"/>
    <w:rsid w:val="002F3437"/>
    <w:rsid w:val="002F4292"/>
    <w:rsid w:val="002F5F67"/>
    <w:rsid w:val="002F6C84"/>
    <w:rsid w:val="002F7D51"/>
    <w:rsid w:val="00300EA6"/>
    <w:rsid w:val="00301FB2"/>
    <w:rsid w:val="00302776"/>
    <w:rsid w:val="00302F9F"/>
    <w:rsid w:val="00303EED"/>
    <w:rsid w:val="00305892"/>
    <w:rsid w:val="00305B68"/>
    <w:rsid w:val="0031140B"/>
    <w:rsid w:val="00311930"/>
    <w:rsid w:val="00315D74"/>
    <w:rsid w:val="0032139E"/>
    <w:rsid w:val="00322D81"/>
    <w:rsid w:val="00327E9A"/>
    <w:rsid w:val="00335848"/>
    <w:rsid w:val="00335A6E"/>
    <w:rsid w:val="00341377"/>
    <w:rsid w:val="00341C03"/>
    <w:rsid w:val="00341F60"/>
    <w:rsid w:val="003431A3"/>
    <w:rsid w:val="003434C5"/>
    <w:rsid w:val="0034427C"/>
    <w:rsid w:val="003476E9"/>
    <w:rsid w:val="00347D8C"/>
    <w:rsid w:val="00350B15"/>
    <w:rsid w:val="00350F8F"/>
    <w:rsid w:val="003517FC"/>
    <w:rsid w:val="00354F99"/>
    <w:rsid w:val="00355968"/>
    <w:rsid w:val="00361AC9"/>
    <w:rsid w:val="00361E5C"/>
    <w:rsid w:val="003623EB"/>
    <w:rsid w:val="0036321A"/>
    <w:rsid w:val="003700EB"/>
    <w:rsid w:val="003724DE"/>
    <w:rsid w:val="003749A7"/>
    <w:rsid w:val="0037755A"/>
    <w:rsid w:val="003800F1"/>
    <w:rsid w:val="00382538"/>
    <w:rsid w:val="00382639"/>
    <w:rsid w:val="0038283E"/>
    <w:rsid w:val="00383095"/>
    <w:rsid w:val="00390DD0"/>
    <w:rsid w:val="00390E78"/>
    <w:rsid w:val="00393021"/>
    <w:rsid w:val="00394645"/>
    <w:rsid w:val="0039497D"/>
    <w:rsid w:val="003959AA"/>
    <w:rsid w:val="003A1F9C"/>
    <w:rsid w:val="003A4E39"/>
    <w:rsid w:val="003B63B7"/>
    <w:rsid w:val="003B6B49"/>
    <w:rsid w:val="003B7C75"/>
    <w:rsid w:val="003C10ED"/>
    <w:rsid w:val="003C2FCB"/>
    <w:rsid w:val="003C452A"/>
    <w:rsid w:val="003C5C7B"/>
    <w:rsid w:val="003D0F1D"/>
    <w:rsid w:val="003E0309"/>
    <w:rsid w:val="003E0E33"/>
    <w:rsid w:val="003E33DD"/>
    <w:rsid w:val="003E7326"/>
    <w:rsid w:val="003E7BFB"/>
    <w:rsid w:val="003F1984"/>
    <w:rsid w:val="003F2599"/>
    <w:rsid w:val="003F5F53"/>
    <w:rsid w:val="003F7A1C"/>
    <w:rsid w:val="00400535"/>
    <w:rsid w:val="00405F69"/>
    <w:rsid w:val="00406873"/>
    <w:rsid w:val="00406D43"/>
    <w:rsid w:val="00410DF8"/>
    <w:rsid w:val="00417568"/>
    <w:rsid w:val="00420583"/>
    <w:rsid w:val="00420656"/>
    <w:rsid w:val="0042076B"/>
    <w:rsid w:val="00420C39"/>
    <w:rsid w:val="00425FB1"/>
    <w:rsid w:val="004270A9"/>
    <w:rsid w:val="0043076F"/>
    <w:rsid w:val="00435189"/>
    <w:rsid w:val="004401BC"/>
    <w:rsid w:val="00442255"/>
    <w:rsid w:val="00443D79"/>
    <w:rsid w:val="004449CF"/>
    <w:rsid w:val="004476B9"/>
    <w:rsid w:val="00452BD4"/>
    <w:rsid w:val="00454649"/>
    <w:rsid w:val="00460643"/>
    <w:rsid w:val="0046069E"/>
    <w:rsid w:val="0046141B"/>
    <w:rsid w:val="00462269"/>
    <w:rsid w:val="00462652"/>
    <w:rsid w:val="00462A83"/>
    <w:rsid w:val="0046438E"/>
    <w:rsid w:val="004657B7"/>
    <w:rsid w:val="00466142"/>
    <w:rsid w:val="00471CAF"/>
    <w:rsid w:val="00473938"/>
    <w:rsid w:val="004750E8"/>
    <w:rsid w:val="0047673D"/>
    <w:rsid w:val="00480AE8"/>
    <w:rsid w:val="00483B88"/>
    <w:rsid w:val="0048432A"/>
    <w:rsid w:val="00486941"/>
    <w:rsid w:val="004878E9"/>
    <w:rsid w:val="004902FF"/>
    <w:rsid w:val="00490841"/>
    <w:rsid w:val="004916C0"/>
    <w:rsid w:val="00494A11"/>
    <w:rsid w:val="004965A6"/>
    <w:rsid w:val="00496A9E"/>
    <w:rsid w:val="00497749"/>
    <w:rsid w:val="004A0DF4"/>
    <w:rsid w:val="004A1725"/>
    <w:rsid w:val="004B0B87"/>
    <w:rsid w:val="004B22F2"/>
    <w:rsid w:val="004B4D3E"/>
    <w:rsid w:val="004B5EE1"/>
    <w:rsid w:val="004B6017"/>
    <w:rsid w:val="004B65C9"/>
    <w:rsid w:val="004B6DE3"/>
    <w:rsid w:val="004B7FCF"/>
    <w:rsid w:val="004C02D0"/>
    <w:rsid w:val="004C0AAC"/>
    <w:rsid w:val="004C0EA3"/>
    <w:rsid w:val="004C594E"/>
    <w:rsid w:val="004D0036"/>
    <w:rsid w:val="004D1069"/>
    <w:rsid w:val="004D7CDE"/>
    <w:rsid w:val="004E0698"/>
    <w:rsid w:val="004E3921"/>
    <w:rsid w:val="004E4245"/>
    <w:rsid w:val="004F17C4"/>
    <w:rsid w:val="004F29B1"/>
    <w:rsid w:val="004F2E36"/>
    <w:rsid w:val="004F57D0"/>
    <w:rsid w:val="004F7E59"/>
    <w:rsid w:val="005002F0"/>
    <w:rsid w:val="0050660A"/>
    <w:rsid w:val="00506DC7"/>
    <w:rsid w:val="005079F4"/>
    <w:rsid w:val="0051186B"/>
    <w:rsid w:val="00511DB2"/>
    <w:rsid w:val="00513EF1"/>
    <w:rsid w:val="00514804"/>
    <w:rsid w:val="00514F87"/>
    <w:rsid w:val="00515771"/>
    <w:rsid w:val="00516081"/>
    <w:rsid w:val="00516B0D"/>
    <w:rsid w:val="00522F1C"/>
    <w:rsid w:val="00523F33"/>
    <w:rsid w:val="005254B8"/>
    <w:rsid w:val="00525B2A"/>
    <w:rsid w:val="00525E4A"/>
    <w:rsid w:val="0052606C"/>
    <w:rsid w:val="0052725B"/>
    <w:rsid w:val="00530CCA"/>
    <w:rsid w:val="005323C1"/>
    <w:rsid w:val="00532699"/>
    <w:rsid w:val="005349A1"/>
    <w:rsid w:val="005432BF"/>
    <w:rsid w:val="00544834"/>
    <w:rsid w:val="00546579"/>
    <w:rsid w:val="00552153"/>
    <w:rsid w:val="00562F86"/>
    <w:rsid w:val="00565F13"/>
    <w:rsid w:val="0056609F"/>
    <w:rsid w:val="00566AD2"/>
    <w:rsid w:val="00567A32"/>
    <w:rsid w:val="005716F9"/>
    <w:rsid w:val="00571FC7"/>
    <w:rsid w:val="00573CB4"/>
    <w:rsid w:val="00573EDB"/>
    <w:rsid w:val="0057674C"/>
    <w:rsid w:val="00576E20"/>
    <w:rsid w:val="00577B32"/>
    <w:rsid w:val="00580246"/>
    <w:rsid w:val="005803B5"/>
    <w:rsid w:val="00581D1E"/>
    <w:rsid w:val="00582132"/>
    <w:rsid w:val="00590482"/>
    <w:rsid w:val="00594760"/>
    <w:rsid w:val="00594CBB"/>
    <w:rsid w:val="00595E3E"/>
    <w:rsid w:val="0059792A"/>
    <w:rsid w:val="005A381E"/>
    <w:rsid w:val="005B2757"/>
    <w:rsid w:val="005B7985"/>
    <w:rsid w:val="005C06F9"/>
    <w:rsid w:val="005C24FA"/>
    <w:rsid w:val="005C396F"/>
    <w:rsid w:val="005C42A2"/>
    <w:rsid w:val="005C4327"/>
    <w:rsid w:val="005C56CE"/>
    <w:rsid w:val="005C6BED"/>
    <w:rsid w:val="005C7D14"/>
    <w:rsid w:val="005D35E2"/>
    <w:rsid w:val="005D5170"/>
    <w:rsid w:val="005D700C"/>
    <w:rsid w:val="005F03F1"/>
    <w:rsid w:val="005F0D3D"/>
    <w:rsid w:val="005F1BD6"/>
    <w:rsid w:val="005F73B5"/>
    <w:rsid w:val="00600974"/>
    <w:rsid w:val="0060136B"/>
    <w:rsid w:val="00610EB2"/>
    <w:rsid w:val="00612F9A"/>
    <w:rsid w:val="0061323E"/>
    <w:rsid w:val="00616F51"/>
    <w:rsid w:val="0061704D"/>
    <w:rsid w:val="0062078D"/>
    <w:rsid w:val="00620EFB"/>
    <w:rsid w:val="00626BEF"/>
    <w:rsid w:val="00626F9E"/>
    <w:rsid w:val="00627482"/>
    <w:rsid w:val="00634C58"/>
    <w:rsid w:val="00636233"/>
    <w:rsid w:val="00640D5E"/>
    <w:rsid w:val="00644A1A"/>
    <w:rsid w:val="006456F6"/>
    <w:rsid w:val="00646770"/>
    <w:rsid w:val="00646DED"/>
    <w:rsid w:val="00647B98"/>
    <w:rsid w:val="00647C2C"/>
    <w:rsid w:val="006514CE"/>
    <w:rsid w:val="00651534"/>
    <w:rsid w:val="00652CB9"/>
    <w:rsid w:val="006578BA"/>
    <w:rsid w:val="00670966"/>
    <w:rsid w:val="00670DE5"/>
    <w:rsid w:val="00672CB7"/>
    <w:rsid w:val="00677751"/>
    <w:rsid w:val="00686055"/>
    <w:rsid w:val="0069357C"/>
    <w:rsid w:val="00694C8F"/>
    <w:rsid w:val="00696C4B"/>
    <w:rsid w:val="00696C94"/>
    <w:rsid w:val="006A038C"/>
    <w:rsid w:val="006A6889"/>
    <w:rsid w:val="006A6D8D"/>
    <w:rsid w:val="006A7225"/>
    <w:rsid w:val="006B06D5"/>
    <w:rsid w:val="006B0F24"/>
    <w:rsid w:val="006B72BF"/>
    <w:rsid w:val="006C0B84"/>
    <w:rsid w:val="006C1505"/>
    <w:rsid w:val="006C334A"/>
    <w:rsid w:val="006C7305"/>
    <w:rsid w:val="006D0A53"/>
    <w:rsid w:val="006D1A52"/>
    <w:rsid w:val="006D551B"/>
    <w:rsid w:val="006E56C6"/>
    <w:rsid w:val="006F157E"/>
    <w:rsid w:val="006F173B"/>
    <w:rsid w:val="006F2026"/>
    <w:rsid w:val="006F461E"/>
    <w:rsid w:val="006F5BDB"/>
    <w:rsid w:val="006F66F8"/>
    <w:rsid w:val="007005DD"/>
    <w:rsid w:val="00700C32"/>
    <w:rsid w:val="00702225"/>
    <w:rsid w:val="00702266"/>
    <w:rsid w:val="0070749C"/>
    <w:rsid w:val="007101F4"/>
    <w:rsid w:val="00714719"/>
    <w:rsid w:val="007156A7"/>
    <w:rsid w:val="0071670B"/>
    <w:rsid w:val="0072549B"/>
    <w:rsid w:val="00727F60"/>
    <w:rsid w:val="00732003"/>
    <w:rsid w:val="00732C8D"/>
    <w:rsid w:val="00735B3A"/>
    <w:rsid w:val="0073683C"/>
    <w:rsid w:val="00737BEB"/>
    <w:rsid w:val="00741C40"/>
    <w:rsid w:val="00742FC5"/>
    <w:rsid w:val="00743C07"/>
    <w:rsid w:val="0074406B"/>
    <w:rsid w:val="007455B0"/>
    <w:rsid w:val="007467CE"/>
    <w:rsid w:val="00746F6E"/>
    <w:rsid w:val="007509C7"/>
    <w:rsid w:val="007528A3"/>
    <w:rsid w:val="00754D32"/>
    <w:rsid w:val="00757CFC"/>
    <w:rsid w:val="0076081F"/>
    <w:rsid w:val="00761523"/>
    <w:rsid w:val="007621E0"/>
    <w:rsid w:val="0076423D"/>
    <w:rsid w:val="00770AF0"/>
    <w:rsid w:val="00771FE0"/>
    <w:rsid w:val="00780164"/>
    <w:rsid w:val="0078413D"/>
    <w:rsid w:val="00784CB3"/>
    <w:rsid w:val="00787417"/>
    <w:rsid w:val="007874B6"/>
    <w:rsid w:val="00790B84"/>
    <w:rsid w:val="007936AA"/>
    <w:rsid w:val="00796556"/>
    <w:rsid w:val="007969E7"/>
    <w:rsid w:val="007A15C2"/>
    <w:rsid w:val="007A392D"/>
    <w:rsid w:val="007A62B8"/>
    <w:rsid w:val="007A7AF2"/>
    <w:rsid w:val="007B1C9A"/>
    <w:rsid w:val="007B2755"/>
    <w:rsid w:val="007B331E"/>
    <w:rsid w:val="007B3621"/>
    <w:rsid w:val="007B5F56"/>
    <w:rsid w:val="007C02F7"/>
    <w:rsid w:val="007C0943"/>
    <w:rsid w:val="007C11D8"/>
    <w:rsid w:val="007C2402"/>
    <w:rsid w:val="007C42BF"/>
    <w:rsid w:val="007C7961"/>
    <w:rsid w:val="007D3AB3"/>
    <w:rsid w:val="007D6D02"/>
    <w:rsid w:val="007D6E19"/>
    <w:rsid w:val="007E0FB1"/>
    <w:rsid w:val="007E102D"/>
    <w:rsid w:val="007E1145"/>
    <w:rsid w:val="007E29C2"/>
    <w:rsid w:val="007E4C8B"/>
    <w:rsid w:val="007E4D84"/>
    <w:rsid w:val="007F00E9"/>
    <w:rsid w:val="007F0566"/>
    <w:rsid w:val="007F0583"/>
    <w:rsid w:val="007F07F4"/>
    <w:rsid w:val="007F2461"/>
    <w:rsid w:val="007F27A6"/>
    <w:rsid w:val="007F6A5C"/>
    <w:rsid w:val="00800208"/>
    <w:rsid w:val="00802094"/>
    <w:rsid w:val="0080273E"/>
    <w:rsid w:val="00802D02"/>
    <w:rsid w:val="00803B61"/>
    <w:rsid w:val="008079DC"/>
    <w:rsid w:val="00807E01"/>
    <w:rsid w:val="00813829"/>
    <w:rsid w:val="00817B7B"/>
    <w:rsid w:val="00821498"/>
    <w:rsid w:val="00821A2A"/>
    <w:rsid w:val="00823A18"/>
    <w:rsid w:val="00823FD1"/>
    <w:rsid w:val="00830E0E"/>
    <w:rsid w:val="00831DF4"/>
    <w:rsid w:val="00832CF2"/>
    <w:rsid w:val="00832E8F"/>
    <w:rsid w:val="0083733A"/>
    <w:rsid w:val="0084066D"/>
    <w:rsid w:val="00841310"/>
    <w:rsid w:val="00842B06"/>
    <w:rsid w:val="00843180"/>
    <w:rsid w:val="0085208E"/>
    <w:rsid w:val="008521BF"/>
    <w:rsid w:val="00853119"/>
    <w:rsid w:val="008603D3"/>
    <w:rsid w:val="00860DC4"/>
    <w:rsid w:val="00864908"/>
    <w:rsid w:val="00864ED8"/>
    <w:rsid w:val="00873A48"/>
    <w:rsid w:val="00875DAD"/>
    <w:rsid w:val="0087679D"/>
    <w:rsid w:val="00876E7E"/>
    <w:rsid w:val="00882B28"/>
    <w:rsid w:val="00884234"/>
    <w:rsid w:val="00885DBA"/>
    <w:rsid w:val="00885F11"/>
    <w:rsid w:val="008905BE"/>
    <w:rsid w:val="00895141"/>
    <w:rsid w:val="00897CFF"/>
    <w:rsid w:val="008A2BBA"/>
    <w:rsid w:val="008A4947"/>
    <w:rsid w:val="008A7460"/>
    <w:rsid w:val="008A752D"/>
    <w:rsid w:val="008A7906"/>
    <w:rsid w:val="008B003B"/>
    <w:rsid w:val="008B5F3F"/>
    <w:rsid w:val="008C1436"/>
    <w:rsid w:val="008C3D62"/>
    <w:rsid w:val="008C6AEE"/>
    <w:rsid w:val="008C7C78"/>
    <w:rsid w:val="008D121D"/>
    <w:rsid w:val="008D5979"/>
    <w:rsid w:val="008E0BFD"/>
    <w:rsid w:val="008E312C"/>
    <w:rsid w:val="008E68B2"/>
    <w:rsid w:val="008F0F28"/>
    <w:rsid w:val="008F2394"/>
    <w:rsid w:val="008F3261"/>
    <w:rsid w:val="008F33CA"/>
    <w:rsid w:val="008F3D0C"/>
    <w:rsid w:val="008F4D0E"/>
    <w:rsid w:val="008F4D21"/>
    <w:rsid w:val="008F534D"/>
    <w:rsid w:val="008F5B88"/>
    <w:rsid w:val="008F70A8"/>
    <w:rsid w:val="00901A14"/>
    <w:rsid w:val="00904D31"/>
    <w:rsid w:val="009053EE"/>
    <w:rsid w:val="00910F43"/>
    <w:rsid w:val="009125E6"/>
    <w:rsid w:val="00912A2F"/>
    <w:rsid w:val="00913736"/>
    <w:rsid w:val="009144C6"/>
    <w:rsid w:val="00914CDB"/>
    <w:rsid w:val="00917032"/>
    <w:rsid w:val="00917A16"/>
    <w:rsid w:val="00920790"/>
    <w:rsid w:val="00924961"/>
    <w:rsid w:val="00925927"/>
    <w:rsid w:val="009274EF"/>
    <w:rsid w:val="009328DF"/>
    <w:rsid w:val="00935D40"/>
    <w:rsid w:val="00936C8C"/>
    <w:rsid w:val="00940DAC"/>
    <w:rsid w:val="00941D7F"/>
    <w:rsid w:val="00943478"/>
    <w:rsid w:val="00945EA5"/>
    <w:rsid w:val="0094792B"/>
    <w:rsid w:val="00952F0D"/>
    <w:rsid w:val="00955566"/>
    <w:rsid w:val="00955AC4"/>
    <w:rsid w:val="00961445"/>
    <w:rsid w:val="00967EC8"/>
    <w:rsid w:val="00973BD4"/>
    <w:rsid w:val="009743B9"/>
    <w:rsid w:val="009758BC"/>
    <w:rsid w:val="00976709"/>
    <w:rsid w:val="009776E3"/>
    <w:rsid w:val="009818B5"/>
    <w:rsid w:val="00984ABE"/>
    <w:rsid w:val="00986A41"/>
    <w:rsid w:val="00986BFF"/>
    <w:rsid w:val="00990C29"/>
    <w:rsid w:val="00992F03"/>
    <w:rsid w:val="009930AF"/>
    <w:rsid w:val="0099339A"/>
    <w:rsid w:val="009938EE"/>
    <w:rsid w:val="00994AA9"/>
    <w:rsid w:val="00995F2C"/>
    <w:rsid w:val="00996509"/>
    <w:rsid w:val="00996D80"/>
    <w:rsid w:val="009A3B13"/>
    <w:rsid w:val="009A7FE6"/>
    <w:rsid w:val="009B020B"/>
    <w:rsid w:val="009B05FF"/>
    <w:rsid w:val="009B084D"/>
    <w:rsid w:val="009B1CCA"/>
    <w:rsid w:val="009B24EB"/>
    <w:rsid w:val="009B25B0"/>
    <w:rsid w:val="009B2E56"/>
    <w:rsid w:val="009B45B4"/>
    <w:rsid w:val="009B5BC6"/>
    <w:rsid w:val="009B69F5"/>
    <w:rsid w:val="009B7E88"/>
    <w:rsid w:val="009C3135"/>
    <w:rsid w:val="009C404E"/>
    <w:rsid w:val="009C5E7E"/>
    <w:rsid w:val="009C61A4"/>
    <w:rsid w:val="009D089A"/>
    <w:rsid w:val="009D3B4D"/>
    <w:rsid w:val="009D64ED"/>
    <w:rsid w:val="009D7059"/>
    <w:rsid w:val="009E049E"/>
    <w:rsid w:val="009E0562"/>
    <w:rsid w:val="009E3CA5"/>
    <w:rsid w:val="009E4842"/>
    <w:rsid w:val="009F1858"/>
    <w:rsid w:val="009F4D8C"/>
    <w:rsid w:val="009F55EC"/>
    <w:rsid w:val="00A0219B"/>
    <w:rsid w:val="00A02EF2"/>
    <w:rsid w:val="00A040A4"/>
    <w:rsid w:val="00A06DB6"/>
    <w:rsid w:val="00A06E98"/>
    <w:rsid w:val="00A07674"/>
    <w:rsid w:val="00A07F3C"/>
    <w:rsid w:val="00A10D9A"/>
    <w:rsid w:val="00A133A0"/>
    <w:rsid w:val="00A14A02"/>
    <w:rsid w:val="00A21069"/>
    <w:rsid w:val="00A21987"/>
    <w:rsid w:val="00A253E6"/>
    <w:rsid w:val="00A26063"/>
    <w:rsid w:val="00A273C8"/>
    <w:rsid w:val="00A30EAB"/>
    <w:rsid w:val="00A310EC"/>
    <w:rsid w:val="00A313DC"/>
    <w:rsid w:val="00A32982"/>
    <w:rsid w:val="00A32A3F"/>
    <w:rsid w:val="00A34749"/>
    <w:rsid w:val="00A35BF1"/>
    <w:rsid w:val="00A36B53"/>
    <w:rsid w:val="00A4651C"/>
    <w:rsid w:val="00A47551"/>
    <w:rsid w:val="00A5270D"/>
    <w:rsid w:val="00A53927"/>
    <w:rsid w:val="00A5456A"/>
    <w:rsid w:val="00A54BE4"/>
    <w:rsid w:val="00A64669"/>
    <w:rsid w:val="00A64FCC"/>
    <w:rsid w:val="00A653C3"/>
    <w:rsid w:val="00A65461"/>
    <w:rsid w:val="00A7169B"/>
    <w:rsid w:val="00A72F0E"/>
    <w:rsid w:val="00A73FB8"/>
    <w:rsid w:val="00A76D67"/>
    <w:rsid w:val="00A8071C"/>
    <w:rsid w:val="00A81E04"/>
    <w:rsid w:val="00A83D72"/>
    <w:rsid w:val="00A8429B"/>
    <w:rsid w:val="00A84DF5"/>
    <w:rsid w:val="00A858FB"/>
    <w:rsid w:val="00A85DF0"/>
    <w:rsid w:val="00A87794"/>
    <w:rsid w:val="00A91453"/>
    <w:rsid w:val="00A91923"/>
    <w:rsid w:val="00A94A8E"/>
    <w:rsid w:val="00A9614D"/>
    <w:rsid w:val="00A97247"/>
    <w:rsid w:val="00AA1186"/>
    <w:rsid w:val="00AA398C"/>
    <w:rsid w:val="00AA42E2"/>
    <w:rsid w:val="00AA43E0"/>
    <w:rsid w:val="00AA455D"/>
    <w:rsid w:val="00AA5DD2"/>
    <w:rsid w:val="00AA6A14"/>
    <w:rsid w:val="00AA6C1F"/>
    <w:rsid w:val="00AB1537"/>
    <w:rsid w:val="00AB4964"/>
    <w:rsid w:val="00AB5264"/>
    <w:rsid w:val="00AB6285"/>
    <w:rsid w:val="00AB6987"/>
    <w:rsid w:val="00AB6FD6"/>
    <w:rsid w:val="00AC0B40"/>
    <w:rsid w:val="00AC4801"/>
    <w:rsid w:val="00AC5CBF"/>
    <w:rsid w:val="00AC7ADE"/>
    <w:rsid w:val="00AC7BB7"/>
    <w:rsid w:val="00AD0AD1"/>
    <w:rsid w:val="00AD33E0"/>
    <w:rsid w:val="00AD6767"/>
    <w:rsid w:val="00AE4028"/>
    <w:rsid w:val="00AE4B0D"/>
    <w:rsid w:val="00AE581F"/>
    <w:rsid w:val="00AE71B6"/>
    <w:rsid w:val="00AF3A8E"/>
    <w:rsid w:val="00B02652"/>
    <w:rsid w:val="00B030D7"/>
    <w:rsid w:val="00B05FC1"/>
    <w:rsid w:val="00B0678D"/>
    <w:rsid w:val="00B0699A"/>
    <w:rsid w:val="00B0780D"/>
    <w:rsid w:val="00B1099F"/>
    <w:rsid w:val="00B11705"/>
    <w:rsid w:val="00B1286E"/>
    <w:rsid w:val="00B15858"/>
    <w:rsid w:val="00B16B2C"/>
    <w:rsid w:val="00B17348"/>
    <w:rsid w:val="00B21ABE"/>
    <w:rsid w:val="00B24E3F"/>
    <w:rsid w:val="00B25C56"/>
    <w:rsid w:val="00B26A60"/>
    <w:rsid w:val="00B27C44"/>
    <w:rsid w:val="00B352AA"/>
    <w:rsid w:val="00B3737F"/>
    <w:rsid w:val="00B40CA4"/>
    <w:rsid w:val="00B41611"/>
    <w:rsid w:val="00B43E3C"/>
    <w:rsid w:val="00B4482B"/>
    <w:rsid w:val="00B44E82"/>
    <w:rsid w:val="00B50E2D"/>
    <w:rsid w:val="00B52A56"/>
    <w:rsid w:val="00B53B68"/>
    <w:rsid w:val="00B57181"/>
    <w:rsid w:val="00B60652"/>
    <w:rsid w:val="00B61217"/>
    <w:rsid w:val="00B632C5"/>
    <w:rsid w:val="00B6613A"/>
    <w:rsid w:val="00B7179F"/>
    <w:rsid w:val="00B727AF"/>
    <w:rsid w:val="00B73950"/>
    <w:rsid w:val="00B73E9A"/>
    <w:rsid w:val="00B74C9B"/>
    <w:rsid w:val="00B75AA6"/>
    <w:rsid w:val="00B823BD"/>
    <w:rsid w:val="00B918B4"/>
    <w:rsid w:val="00B9236E"/>
    <w:rsid w:val="00B955FB"/>
    <w:rsid w:val="00BA0002"/>
    <w:rsid w:val="00BA16E1"/>
    <w:rsid w:val="00BA309D"/>
    <w:rsid w:val="00BA5FA9"/>
    <w:rsid w:val="00BB2C45"/>
    <w:rsid w:val="00BB37C1"/>
    <w:rsid w:val="00BB4298"/>
    <w:rsid w:val="00BB5062"/>
    <w:rsid w:val="00BC2093"/>
    <w:rsid w:val="00BC24CC"/>
    <w:rsid w:val="00BC6235"/>
    <w:rsid w:val="00BC6C7F"/>
    <w:rsid w:val="00BC758F"/>
    <w:rsid w:val="00BD320B"/>
    <w:rsid w:val="00BE030B"/>
    <w:rsid w:val="00BE73A2"/>
    <w:rsid w:val="00BE79E9"/>
    <w:rsid w:val="00BF037D"/>
    <w:rsid w:val="00BF2784"/>
    <w:rsid w:val="00BF35A9"/>
    <w:rsid w:val="00C002B8"/>
    <w:rsid w:val="00C01C54"/>
    <w:rsid w:val="00C021B2"/>
    <w:rsid w:val="00C022C9"/>
    <w:rsid w:val="00C04376"/>
    <w:rsid w:val="00C048C6"/>
    <w:rsid w:val="00C119AD"/>
    <w:rsid w:val="00C21344"/>
    <w:rsid w:val="00C213CA"/>
    <w:rsid w:val="00C22F53"/>
    <w:rsid w:val="00C26C47"/>
    <w:rsid w:val="00C2737F"/>
    <w:rsid w:val="00C27923"/>
    <w:rsid w:val="00C3213D"/>
    <w:rsid w:val="00C345F4"/>
    <w:rsid w:val="00C375E4"/>
    <w:rsid w:val="00C40570"/>
    <w:rsid w:val="00C4265B"/>
    <w:rsid w:val="00C435AB"/>
    <w:rsid w:val="00C450AB"/>
    <w:rsid w:val="00C4779D"/>
    <w:rsid w:val="00C50EB4"/>
    <w:rsid w:val="00C52D01"/>
    <w:rsid w:val="00C53339"/>
    <w:rsid w:val="00C535CC"/>
    <w:rsid w:val="00C53606"/>
    <w:rsid w:val="00C55722"/>
    <w:rsid w:val="00C6171F"/>
    <w:rsid w:val="00C64298"/>
    <w:rsid w:val="00C65161"/>
    <w:rsid w:val="00C663C6"/>
    <w:rsid w:val="00C66961"/>
    <w:rsid w:val="00C7232F"/>
    <w:rsid w:val="00C760B8"/>
    <w:rsid w:val="00C760BB"/>
    <w:rsid w:val="00C76CC3"/>
    <w:rsid w:val="00C7705B"/>
    <w:rsid w:val="00C77E9F"/>
    <w:rsid w:val="00C81BC3"/>
    <w:rsid w:val="00C84474"/>
    <w:rsid w:val="00C8530B"/>
    <w:rsid w:val="00C85F52"/>
    <w:rsid w:val="00C87802"/>
    <w:rsid w:val="00C9107F"/>
    <w:rsid w:val="00C92525"/>
    <w:rsid w:val="00C947C2"/>
    <w:rsid w:val="00C9540D"/>
    <w:rsid w:val="00CA31BD"/>
    <w:rsid w:val="00CA4A93"/>
    <w:rsid w:val="00CA4E4F"/>
    <w:rsid w:val="00CB0C69"/>
    <w:rsid w:val="00CB2B67"/>
    <w:rsid w:val="00CB3361"/>
    <w:rsid w:val="00CB4CBD"/>
    <w:rsid w:val="00CC2998"/>
    <w:rsid w:val="00CC687D"/>
    <w:rsid w:val="00CC71AE"/>
    <w:rsid w:val="00CC7798"/>
    <w:rsid w:val="00CD4146"/>
    <w:rsid w:val="00CD5AB9"/>
    <w:rsid w:val="00CE17D2"/>
    <w:rsid w:val="00CE5F02"/>
    <w:rsid w:val="00CE695F"/>
    <w:rsid w:val="00CE6B83"/>
    <w:rsid w:val="00CF7816"/>
    <w:rsid w:val="00CF7982"/>
    <w:rsid w:val="00D010D1"/>
    <w:rsid w:val="00D01528"/>
    <w:rsid w:val="00D0197D"/>
    <w:rsid w:val="00D0237E"/>
    <w:rsid w:val="00D04B69"/>
    <w:rsid w:val="00D06F21"/>
    <w:rsid w:val="00D07485"/>
    <w:rsid w:val="00D1249B"/>
    <w:rsid w:val="00D127BB"/>
    <w:rsid w:val="00D138E4"/>
    <w:rsid w:val="00D14142"/>
    <w:rsid w:val="00D17319"/>
    <w:rsid w:val="00D17C39"/>
    <w:rsid w:val="00D2112C"/>
    <w:rsid w:val="00D21816"/>
    <w:rsid w:val="00D21FCD"/>
    <w:rsid w:val="00D25962"/>
    <w:rsid w:val="00D26201"/>
    <w:rsid w:val="00D26BF1"/>
    <w:rsid w:val="00D276CF"/>
    <w:rsid w:val="00D309FB"/>
    <w:rsid w:val="00D30D55"/>
    <w:rsid w:val="00D315B3"/>
    <w:rsid w:val="00D31683"/>
    <w:rsid w:val="00D339FD"/>
    <w:rsid w:val="00D33B93"/>
    <w:rsid w:val="00D353A7"/>
    <w:rsid w:val="00D4084E"/>
    <w:rsid w:val="00D41C93"/>
    <w:rsid w:val="00D41D2D"/>
    <w:rsid w:val="00D45EB4"/>
    <w:rsid w:val="00D46071"/>
    <w:rsid w:val="00D46574"/>
    <w:rsid w:val="00D46BDC"/>
    <w:rsid w:val="00D476AB"/>
    <w:rsid w:val="00D5064F"/>
    <w:rsid w:val="00D5120A"/>
    <w:rsid w:val="00D51A88"/>
    <w:rsid w:val="00D52566"/>
    <w:rsid w:val="00D52AF4"/>
    <w:rsid w:val="00D52F73"/>
    <w:rsid w:val="00D628B7"/>
    <w:rsid w:val="00D63924"/>
    <w:rsid w:val="00D64E98"/>
    <w:rsid w:val="00D67ABB"/>
    <w:rsid w:val="00D74EFC"/>
    <w:rsid w:val="00D758B6"/>
    <w:rsid w:val="00D76E65"/>
    <w:rsid w:val="00D81A71"/>
    <w:rsid w:val="00D823A5"/>
    <w:rsid w:val="00D83BE7"/>
    <w:rsid w:val="00D9162A"/>
    <w:rsid w:val="00D91F67"/>
    <w:rsid w:val="00D939B7"/>
    <w:rsid w:val="00D94745"/>
    <w:rsid w:val="00D96271"/>
    <w:rsid w:val="00DA2E5B"/>
    <w:rsid w:val="00DA3561"/>
    <w:rsid w:val="00DA4F1E"/>
    <w:rsid w:val="00DA538E"/>
    <w:rsid w:val="00DA6033"/>
    <w:rsid w:val="00DA7648"/>
    <w:rsid w:val="00DB1F76"/>
    <w:rsid w:val="00DB20AE"/>
    <w:rsid w:val="00DB4437"/>
    <w:rsid w:val="00DB4EE4"/>
    <w:rsid w:val="00DB5EA4"/>
    <w:rsid w:val="00DB5FDE"/>
    <w:rsid w:val="00DB6D1C"/>
    <w:rsid w:val="00DC08C0"/>
    <w:rsid w:val="00DC220D"/>
    <w:rsid w:val="00DD13ED"/>
    <w:rsid w:val="00DD33C6"/>
    <w:rsid w:val="00DD51E8"/>
    <w:rsid w:val="00DD537F"/>
    <w:rsid w:val="00DD66F6"/>
    <w:rsid w:val="00DE34D6"/>
    <w:rsid w:val="00DE3C74"/>
    <w:rsid w:val="00DE3F2B"/>
    <w:rsid w:val="00DE4EDA"/>
    <w:rsid w:val="00DE65D4"/>
    <w:rsid w:val="00DF17D1"/>
    <w:rsid w:val="00DF311C"/>
    <w:rsid w:val="00DF3D43"/>
    <w:rsid w:val="00DF5E4D"/>
    <w:rsid w:val="00DF62E7"/>
    <w:rsid w:val="00E01DB0"/>
    <w:rsid w:val="00E0424B"/>
    <w:rsid w:val="00E13C35"/>
    <w:rsid w:val="00E14E11"/>
    <w:rsid w:val="00E155C3"/>
    <w:rsid w:val="00E17D84"/>
    <w:rsid w:val="00E20C08"/>
    <w:rsid w:val="00E23E2A"/>
    <w:rsid w:val="00E31ED9"/>
    <w:rsid w:val="00E33949"/>
    <w:rsid w:val="00E35789"/>
    <w:rsid w:val="00E35FAF"/>
    <w:rsid w:val="00E37BC3"/>
    <w:rsid w:val="00E37FA0"/>
    <w:rsid w:val="00E414B2"/>
    <w:rsid w:val="00E44F63"/>
    <w:rsid w:val="00E474A9"/>
    <w:rsid w:val="00E47A4A"/>
    <w:rsid w:val="00E509E3"/>
    <w:rsid w:val="00E50C7E"/>
    <w:rsid w:val="00E50CF7"/>
    <w:rsid w:val="00E51531"/>
    <w:rsid w:val="00E53E5B"/>
    <w:rsid w:val="00E53E60"/>
    <w:rsid w:val="00E54459"/>
    <w:rsid w:val="00E55987"/>
    <w:rsid w:val="00E5624E"/>
    <w:rsid w:val="00E56D27"/>
    <w:rsid w:val="00E60A00"/>
    <w:rsid w:val="00E61E97"/>
    <w:rsid w:val="00E62801"/>
    <w:rsid w:val="00E6670C"/>
    <w:rsid w:val="00E66E64"/>
    <w:rsid w:val="00E67257"/>
    <w:rsid w:val="00E70745"/>
    <w:rsid w:val="00E802D9"/>
    <w:rsid w:val="00E812BC"/>
    <w:rsid w:val="00E827D8"/>
    <w:rsid w:val="00E83FF6"/>
    <w:rsid w:val="00E92F5C"/>
    <w:rsid w:val="00E93363"/>
    <w:rsid w:val="00E93E68"/>
    <w:rsid w:val="00E9515F"/>
    <w:rsid w:val="00E96697"/>
    <w:rsid w:val="00E970F7"/>
    <w:rsid w:val="00EA041D"/>
    <w:rsid w:val="00EA0F0F"/>
    <w:rsid w:val="00EA1CC8"/>
    <w:rsid w:val="00EA2AA5"/>
    <w:rsid w:val="00EA35E6"/>
    <w:rsid w:val="00EA5493"/>
    <w:rsid w:val="00EB08C7"/>
    <w:rsid w:val="00EB795C"/>
    <w:rsid w:val="00EC05E0"/>
    <w:rsid w:val="00EC3732"/>
    <w:rsid w:val="00EC4014"/>
    <w:rsid w:val="00EC4D41"/>
    <w:rsid w:val="00ED037F"/>
    <w:rsid w:val="00ED2D9F"/>
    <w:rsid w:val="00ED3273"/>
    <w:rsid w:val="00ED444B"/>
    <w:rsid w:val="00ED5508"/>
    <w:rsid w:val="00ED7208"/>
    <w:rsid w:val="00ED7520"/>
    <w:rsid w:val="00ED75A0"/>
    <w:rsid w:val="00EE2DFE"/>
    <w:rsid w:val="00EE4DD1"/>
    <w:rsid w:val="00EE63A6"/>
    <w:rsid w:val="00EE773A"/>
    <w:rsid w:val="00EF076D"/>
    <w:rsid w:val="00EF1283"/>
    <w:rsid w:val="00EF1A3E"/>
    <w:rsid w:val="00EF4408"/>
    <w:rsid w:val="00EF4E9E"/>
    <w:rsid w:val="00EF7ECB"/>
    <w:rsid w:val="00F017C8"/>
    <w:rsid w:val="00F01945"/>
    <w:rsid w:val="00F01FB4"/>
    <w:rsid w:val="00F04F43"/>
    <w:rsid w:val="00F0608E"/>
    <w:rsid w:val="00F06D59"/>
    <w:rsid w:val="00F12111"/>
    <w:rsid w:val="00F13557"/>
    <w:rsid w:val="00F26495"/>
    <w:rsid w:val="00F314F3"/>
    <w:rsid w:val="00F36A9A"/>
    <w:rsid w:val="00F4019C"/>
    <w:rsid w:val="00F40813"/>
    <w:rsid w:val="00F41F45"/>
    <w:rsid w:val="00F43048"/>
    <w:rsid w:val="00F4707D"/>
    <w:rsid w:val="00F473F2"/>
    <w:rsid w:val="00F47BB3"/>
    <w:rsid w:val="00F62AA0"/>
    <w:rsid w:val="00F64EBD"/>
    <w:rsid w:val="00F650A7"/>
    <w:rsid w:val="00F66C51"/>
    <w:rsid w:val="00F67E8E"/>
    <w:rsid w:val="00F703B3"/>
    <w:rsid w:val="00F7078F"/>
    <w:rsid w:val="00F71490"/>
    <w:rsid w:val="00F75294"/>
    <w:rsid w:val="00F77564"/>
    <w:rsid w:val="00F8001C"/>
    <w:rsid w:val="00F807AD"/>
    <w:rsid w:val="00F8226A"/>
    <w:rsid w:val="00F823B7"/>
    <w:rsid w:val="00F82436"/>
    <w:rsid w:val="00F82938"/>
    <w:rsid w:val="00F8385D"/>
    <w:rsid w:val="00F83C55"/>
    <w:rsid w:val="00F86268"/>
    <w:rsid w:val="00F87146"/>
    <w:rsid w:val="00F94E5B"/>
    <w:rsid w:val="00F95764"/>
    <w:rsid w:val="00F97A66"/>
    <w:rsid w:val="00FB251B"/>
    <w:rsid w:val="00FB2632"/>
    <w:rsid w:val="00FB591E"/>
    <w:rsid w:val="00FB68DD"/>
    <w:rsid w:val="00FB6CCE"/>
    <w:rsid w:val="00FB7676"/>
    <w:rsid w:val="00FC1BD5"/>
    <w:rsid w:val="00FC3F6F"/>
    <w:rsid w:val="00FC44F3"/>
    <w:rsid w:val="00FD33D5"/>
    <w:rsid w:val="00FD7AA8"/>
    <w:rsid w:val="00FE063E"/>
    <w:rsid w:val="00FE369E"/>
    <w:rsid w:val="00FE6EE2"/>
    <w:rsid w:val="00FF09C8"/>
    <w:rsid w:val="00FF1E5E"/>
    <w:rsid w:val="00FF4541"/>
    <w:rsid w:val="00FF594C"/>
    <w:rsid w:val="00FF6F92"/>
    <w:rsid w:val="00FF772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2EFA6"/>
  <w14:defaultImageDpi w14:val="0"/>
  <w15:docId w15:val="{A8F2D4E3-EEC3-4FE6-8B5E-679B9EFF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BD"/>
    <w:pPr>
      <w:spacing w:after="0" w:line="240" w:lineRule="auto"/>
      <w:jc w:val="both"/>
    </w:pPr>
    <w:rPr>
      <w:rFonts w:ascii="Book Antiqua" w:hAnsi="Book Antiqua" w:cs="Arial"/>
      <w:color w:val="000000"/>
    </w:rPr>
  </w:style>
  <w:style w:type="paragraph" w:styleId="Heading1">
    <w:name w:val="heading 1"/>
    <w:basedOn w:val="Normal"/>
    <w:next w:val="NoSpacing"/>
    <w:link w:val="Heading1Char"/>
    <w:autoRedefine/>
    <w:uiPriority w:val="9"/>
    <w:qFormat/>
    <w:rsid w:val="001C19BD"/>
    <w:pPr>
      <w:keepNext/>
      <w:keepLines/>
      <w:jc w:val="center"/>
      <w:outlineLvl w:val="0"/>
    </w:pPr>
    <w:rPr>
      <w:rFonts w:eastAsiaTheme="majorEastAsia" w:cs="Times New Roman"/>
      <w:b/>
      <w:sz w:val="28"/>
      <w:szCs w:val="32"/>
    </w:rPr>
  </w:style>
  <w:style w:type="paragraph" w:styleId="Heading2">
    <w:name w:val="heading 2"/>
    <w:basedOn w:val="Normal"/>
    <w:next w:val="NormalH2"/>
    <w:link w:val="Heading2Char"/>
    <w:autoRedefine/>
    <w:uiPriority w:val="9"/>
    <w:semiHidden/>
    <w:qFormat/>
    <w:rsid w:val="00873A48"/>
    <w:pPr>
      <w:keepNext/>
      <w:keepLines/>
      <w:numPr>
        <w:ilvl w:val="1"/>
        <w:numId w:val="6"/>
      </w:numPr>
      <w:outlineLvl w:val="1"/>
    </w:pPr>
    <w:rPr>
      <w:rFonts w:eastAsiaTheme="majorEastAsia" w:cs="Times New Roman"/>
      <w:b/>
      <w:szCs w:val="26"/>
    </w:rPr>
  </w:style>
  <w:style w:type="paragraph" w:styleId="Heading3">
    <w:name w:val="heading 3"/>
    <w:basedOn w:val="Normal"/>
    <w:next w:val="NormalH3"/>
    <w:link w:val="Heading3Char"/>
    <w:autoRedefine/>
    <w:uiPriority w:val="9"/>
    <w:semiHidden/>
    <w:qFormat/>
    <w:rsid w:val="00873A48"/>
    <w:pPr>
      <w:keepNext/>
      <w:keepLines/>
      <w:numPr>
        <w:ilvl w:val="2"/>
        <w:numId w:val="6"/>
      </w:numPr>
      <w:outlineLvl w:val="2"/>
    </w:pPr>
    <w:rPr>
      <w:rFonts w:eastAsiaTheme="majorEastAsia" w:cs="Times New Roman"/>
      <w:b/>
      <w:szCs w:val="24"/>
    </w:rPr>
  </w:style>
  <w:style w:type="paragraph" w:styleId="Heading4">
    <w:name w:val="heading 4"/>
    <w:basedOn w:val="Normal"/>
    <w:next w:val="NormalH4"/>
    <w:link w:val="Heading4Char"/>
    <w:autoRedefine/>
    <w:uiPriority w:val="9"/>
    <w:semiHidden/>
    <w:qFormat/>
    <w:rsid w:val="00873A48"/>
    <w:pPr>
      <w:keepNext/>
      <w:keepLines/>
      <w:numPr>
        <w:ilvl w:val="3"/>
        <w:numId w:val="3"/>
      </w:numPr>
      <w:outlineLvl w:val="3"/>
    </w:pPr>
    <w:rPr>
      <w:rFonts w:eastAsiaTheme="majorEastAsia" w:cs="Times New Roman"/>
      <w:b/>
    </w:rPr>
  </w:style>
  <w:style w:type="paragraph" w:styleId="Heading5">
    <w:name w:val="heading 5"/>
    <w:basedOn w:val="Normal"/>
    <w:next w:val="Normal"/>
    <w:link w:val="Heading5Char"/>
    <w:autoRedefine/>
    <w:uiPriority w:val="9"/>
    <w:semiHidden/>
    <w:qFormat/>
    <w:rsid w:val="00873A48"/>
    <w:pPr>
      <w:keepNext/>
      <w:keepLines/>
      <w:numPr>
        <w:ilvl w:val="4"/>
        <w:numId w:val="1"/>
      </w:numPr>
      <w:outlineLvl w:val="4"/>
    </w:pPr>
    <w:rPr>
      <w:rFonts w:cs="Times New Roman"/>
    </w:rPr>
  </w:style>
  <w:style w:type="paragraph" w:styleId="Heading6">
    <w:name w:val="heading 6"/>
    <w:basedOn w:val="Normal"/>
    <w:next w:val="Normal"/>
    <w:link w:val="Heading6Char"/>
    <w:uiPriority w:val="9"/>
    <w:semiHidden/>
    <w:qFormat/>
    <w:rsid w:val="00873A48"/>
    <w:pPr>
      <w:keepNext/>
      <w:keepLines/>
      <w:ind w:left="567" w:firstLine="567"/>
      <w:outlineLvl w:val="5"/>
    </w:pPr>
    <w:rPr>
      <w:rFonts w:cs="Times New Roman"/>
      <w:color w:val="auto"/>
      <w:szCs w:val="24"/>
    </w:rPr>
  </w:style>
  <w:style w:type="paragraph" w:styleId="Heading8">
    <w:name w:val="heading 8"/>
    <w:basedOn w:val="Normal"/>
    <w:next w:val="Normal"/>
    <w:link w:val="Heading8Char"/>
    <w:uiPriority w:val="9"/>
    <w:semiHidden/>
    <w:qFormat/>
    <w:rsid w:val="00873A48"/>
    <w:pPr>
      <w:keepNext/>
      <w:keepLines/>
      <w:spacing w:before="40"/>
      <w:outlineLvl w:val="7"/>
    </w:pPr>
    <w:rPr>
      <w:rFonts w:asciiTheme="majorHAnsi" w:eastAsiaTheme="majorEastAsia" w:hAnsiTheme="majorHAnsi" w:cs="Times New Roman"/>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19BD"/>
    <w:rPr>
      <w:rFonts w:ascii="Book Antiqua" w:eastAsiaTheme="majorEastAsia" w:hAnsi="Book Antiqua" w:cs="Times New Roman"/>
      <w:b/>
      <w:color w:val="000000"/>
      <w:sz w:val="28"/>
      <w:szCs w:val="32"/>
    </w:rPr>
  </w:style>
  <w:style w:type="character" w:customStyle="1" w:styleId="Heading2Char">
    <w:name w:val="Heading 2 Char"/>
    <w:basedOn w:val="DefaultParagraphFont"/>
    <w:link w:val="Heading2"/>
    <w:uiPriority w:val="9"/>
    <w:semiHidden/>
    <w:locked/>
    <w:rsid w:val="00530CCA"/>
    <w:rPr>
      <w:rFonts w:ascii="Times New Roman" w:eastAsiaTheme="majorEastAsia" w:hAnsi="Times New Roman"/>
      <w:b/>
      <w:color w:val="000000"/>
      <w:sz w:val="26"/>
    </w:rPr>
  </w:style>
  <w:style w:type="character" w:customStyle="1" w:styleId="Heading3Char">
    <w:name w:val="Heading 3 Char"/>
    <w:basedOn w:val="DefaultParagraphFont"/>
    <w:link w:val="Heading3"/>
    <w:uiPriority w:val="9"/>
    <w:semiHidden/>
    <w:locked/>
    <w:rsid w:val="00530CCA"/>
    <w:rPr>
      <w:rFonts w:ascii="Times New Roman" w:eastAsiaTheme="majorEastAsia" w:hAnsi="Times New Roman"/>
      <w:b/>
      <w:color w:val="000000"/>
      <w:sz w:val="24"/>
    </w:rPr>
  </w:style>
  <w:style w:type="character" w:customStyle="1" w:styleId="Heading4Char">
    <w:name w:val="Heading 4 Char"/>
    <w:basedOn w:val="DefaultParagraphFont"/>
    <w:link w:val="Heading4"/>
    <w:uiPriority w:val="9"/>
    <w:semiHidden/>
    <w:locked/>
    <w:rsid w:val="00530CCA"/>
    <w:rPr>
      <w:rFonts w:ascii="Times New Roman" w:eastAsiaTheme="majorEastAsia" w:hAnsi="Times New Roman"/>
      <w:b/>
      <w:color w:val="000000"/>
      <w:sz w:val="24"/>
    </w:rPr>
  </w:style>
  <w:style w:type="character" w:customStyle="1" w:styleId="Heading5Char">
    <w:name w:val="Heading 5 Char"/>
    <w:basedOn w:val="DefaultParagraphFont"/>
    <w:link w:val="Heading5"/>
    <w:uiPriority w:val="9"/>
    <w:semiHidden/>
    <w:locked/>
    <w:rsid w:val="00530CCA"/>
    <w:rPr>
      <w:rFonts w:ascii="Times New Roman" w:hAnsi="Times New Roman"/>
      <w:color w:val="000000"/>
      <w:sz w:val="24"/>
    </w:rPr>
  </w:style>
  <w:style w:type="character" w:customStyle="1" w:styleId="Heading6Char">
    <w:name w:val="Heading 6 Char"/>
    <w:basedOn w:val="DefaultParagraphFont"/>
    <w:link w:val="Heading6"/>
    <w:uiPriority w:val="9"/>
    <w:semiHidden/>
    <w:locked/>
    <w:rsid w:val="00530CCA"/>
    <w:rPr>
      <w:rFonts w:ascii="Times New Roman" w:hAnsi="Times New Roman"/>
      <w:sz w:val="24"/>
    </w:rPr>
  </w:style>
  <w:style w:type="character" w:customStyle="1" w:styleId="Heading8Char">
    <w:name w:val="Heading 8 Char"/>
    <w:basedOn w:val="DefaultParagraphFont"/>
    <w:link w:val="Heading8"/>
    <w:uiPriority w:val="9"/>
    <w:semiHidden/>
    <w:locked/>
    <w:rsid w:val="00530CCA"/>
    <w:rPr>
      <w:rFonts w:asciiTheme="majorHAnsi" w:eastAsiaTheme="majorEastAsia" w:hAnsiTheme="majorHAnsi" w:cs="Times New Roman"/>
      <w:color w:val="272727" w:themeColor="text1" w:themeTint="D8"/>
      <w:sz w:val="21"/>
      <w:szCs w:val="21"/>
    </w:rPr>
  </w:style>
  <w:style w:type="paragraph" w:customStyle="1" w:styleId="NormalH2">
    <w:name w:val="Normal H2"/>
    <w:basedOn w:val="Normal"/>
    <w:semiHidden/>
    <w:qFormat/>
    <w:rsid w:val="00873A48"/>
    <w:pPr>
      <w:ind w:left="567" w:firstLine="567"/>
    </w:pPr>
  </w:style>
  <w:style w:type="paragraph" w:customStyle="1" w:styleId="NormalH3">
    <w:name w:val="Normal H3"/>
    <w:basedOn w:val="Normal"/>
    <w:autoRedefine/>
    <w:semiHidden/>
    <w:qFormat/>
    <w:rsid w:val="00873A48"/>
    <w:pPr>
      <w:ind w:left="851" w:firstLine="567"/>
    </w:pPr>
  </w:style>
  <w:style w:type="paragraph" w:customStyle="1" w:styleId="NormalH4">
    <w:name w:val="Normal H4"/>
    <w:basedOn w:val="Normal"/>
    <w:autoRedefine/>
    <w:semiHidden/>
    <w:qFormat/>
    <w:rsid w:val="00873A48"/>
    <w:pPr>
      <w:ind w:left="1134" w:firstLine="284"/>
    </w:pPr>
  </w:style>
  <w:style w:type="paragraph" w:styleId="NoSpacing">
    <w:name w:val="No Spacing"/>
    <w:basedOn w:val="Heading1"/>
    <w:next w:val="Normal"/>
    <w:autoRedefine/>
    <w:uiPriority w:val="1"/>
    <w:semiHidden/>
    <w:qFormat/>
    <w:rsid w:val="00873A48"/>
    <w:rPr>
      <w:rFonts w:eastAsia="Times New Roman" w:cs="Arial"/>
    </w:rPr>
  </w:style>
  <w:style w:type="paragraph" w:styleId="FootnoteText">
    <w:name w:val="footnote text"/>
    <w:aliases w:val="Char Char Char Char,Char Char Char,Char"/>
    <w:basedOn w:val="Normal"/>
    <w:link w:val="FootnoteTextChar"/>
    <w:autoRedefine/>
    <w:uiPriority w:val="99"/>
    <w:qFormat/>
    <w:rsid w:val="00873A48"/>
    <w:pPr>
      <w:spacing w:after="120"/>
      <w:ind w:firstLine="567"/>
    </w:pPr>
    <w:rPr>
      <w:sz w:val="20"/>
      <w:szCs w:val="20"/>
    </w:rPr>
  </w:style>
  <w:style w:type="character" w:customStyle="1" w:styleId="FootnoteTextChar">
    <w:name w:val="Footnote Text Char"/>
    <w:aliases w:val="Char Char Char Char Char,Char Char Char Char1,Char Char"/>
    <w:basedOn w:val="DefaultParagraphFont"/>
    <w:link w:val="FootnoteText"/>
    <w:uiPriority w:val="99"/>
    <w:locked/>
    <w:rsid w:val="00873A48"/>
    <w:rPr>
      <w:rFonts w:ascii="Times New Roman" w:hAnsi="Times New Roman"/>
      <w:color w:val="000000"/>
      <w:sz w:val="20"/>
    </w:rPr>
  </w:style>
  <w:style w:type="paragraph" w:styleId="Caption">
    <w:name w:val="caption"/>
    <w:basedOn w:val="Normal"/>
    <w:next w:val="Normal"/>
    <w:autoRedefine/>
    <w:uiPriority w:val="35"/>
    <w:qFormat/>
    <w:rsid w:val="00B16B2C"/>
    <w:pPr>
      <w:jc w:val="center"/>
    </w:pPr>
    <w:rPr>
      <w:b/>
      <w:iCs/>
      <w:sz w:val="20"/>
      <w:szCs w:val="18"/>
    </w:rPr>
  </w:style>
  <w:style w:type="character" w:styleId="FootnoteReference">
    <w:name w:val="footnote reference"/>
    <w:basedOn w:val="DefaultParagraphFont"/>
    <w:uiPriority w:val="99"/>
    <w:semiHidden/>
    <w:unhideWhenUsed/>
    <w:qFormat/>
    <w:rsid w:val="00873A48"/>
    <w:rPr>
      <w:rFonts w:cs="Times New Roman"/>
      <w:vertAlign w:val="superscript"/>
    </w:rPr>
  </w:style>
  <w:style w:type="character" w:styleId="Strong">
    <w:name w:val="Strong"/>
    <w:basedOn w:val="DefaultParagraphFont"/>
    <w:uiPriority w:val="22"/>
    <w:semiHidden/>
    <w:qFormat/>
    <w:rsid w:val="00873A48"/>
    <w:rPr>
      <w:b/>
    </w:rPr>
  </w:style>
  <w:style w:type="character" w:styleId="Emphasis">
    <w:name w:val="Emphasis"/>
    <w:basedOn w:val="DefaultParagraphFont"/>
    <w:uiPriority w:val="20"/>
    <w:qFormat/>
    <w:rsid w:val="00873A48"/>
    <w:rPr>
      <w:rFonts w:cs="Times New Roman"/>
      <w:i/>
      <w:iCs/>
    </w:rPr>
  </w:style>
  <w:style w:type="paragraph" w:styleId="ListParagraph">
    <w:name w:val="List Paragraph"/>
    <w:basedOn w:val="Normal"/>
    <w:link w:val="ListParagraphChar"/>
    <w:uiPriority w:val="34"/>
    <w:qFormat/>
    <w:rsid w:val="00873A48"/>
    <w:pPr>
      <w:ind w:left="1440" w:hanging="306"/>
      <w:contextualSpacing/>
    </w:pPr>
    <w:rPr>
      <w:color w:val="auto"/>
    </w:rPr>
  </w:style>
  <w:style w:type="character" w:customStyle="1" w:styleId="ListParagraphChar">
    <w:name w:val="List Paragraph Char"/>
    <w:link w:val="ListParagraph"/>
    <w:uiPriority w:val="34"/>
    <w:locked/>
    <w:rsid w:val="00530CCA"/>
    <w:rPr>
      <w:rFonts w:ascii="Times New Roman" w:hAnsi="Times New Roman"/>
      <w:sz w:val="24"/>
    </w:rPr>
  </w:style>
  <w:style w:type="paragraph" w:styleId="Bibliography">
    <w:name w:val="Bibliography"/>
    <w:basedOn w:val="Normal"/>
    <w:next w:val="Normal"/>
    <w:autoRedefine/>
    <w:uiPriority w:val="37"/>
    <w:qFormat/>
    <w:rsid w:val="00530CCA"/>
    <w:pPr>
      <w:ind w:left="567" w:hanging="567"/>
    </w:pPr>
  </w:style>
  <w:style w:type="paragraph" w:styleId="TOCHeading">
    <w:name w:val="TOC Heading"/>
    <w:aliases w:val="Lampiran"/>
    <w:basedOn w:val="Normal"/>
    <w:next w:val="Normal"/>
    <w:autoRedefine/>
    <w:uiPriority w:val="39"/>
    <w:qFormat/>
    <w:rsid w:val="00873A48"/>
    <w:pPr>
      <w:jc w:val="left"/>
    </w:pPr>
    <w:rPr>
      <w:b/>
      <w:color w:val="auto"/>
    </w:rPr>
  </w:style>
  <w:style w:type="paragraph" w:styleId="Header">
    <w:name w:val="header"/>
    <w:basedOn w:val="Normal"/>
    <w:link w:val="HeaderChar"/>
    <w:uiPriority w:val="99"/>
    <w:unhideWhenUsed/>
    <w:rsid w:val="008F33CA"/>
    <w:pPr>
      <w:tabs>
        <w:tab w:val="center" w:pos="4513"/>
        <w:tab w:val="right" w:pos="9026"/>
      </w:tabs>
    </w:pPr>
  </w:style>
  <w:style w:type="character" w:customStyle="1" w:styleId="HeaderChar">
    <w:name w:val="Header Char"/>
    <w:basedOn w:val="DefaultParagraphFont"/>
    <w:link w:val="Header"/>
    <w:uiPriority w:val="99"/>
    <w:locked/>
    <w:rsid w:val="008F33CA"/>
    <w:rPr>
      <w:rFonts w:ascii="Times New Roman" w:hAnsi="Times New Roman" w:cs="Times New Roman"/>
      <w:color w:val="000000"/>
      <w:sz w:val="24"/>
    </w:rPr>
  </w:style>
  <w:style w:type="paragraph" w:styleId="Footer">
    <w:name w:val="footer"/>
    <w:basedOn w:val="Normal"/>
    <w:link w:val="FooterChar"/>
    <w:uiPriority w:val="99"/>
    <w:unhideWhenUsed/>
    <w:rsid w:val="008F33CA"/>
    <w:pPr>
      <w:tabs>
        <w:tab w:val="center" w:pos="4513"/>
        <w:tab w:val="right" w:pos="9026"/>
      </w:tabs>
    </w:pPr>
  </w:style>
  <w:style w:type="character" w:customStyle="1" w:styleId="FooterChar">
    <w:name w:val="Footer Char"/>
    <w:basedOn w:val="DefaultParagraphFont"/>
    <w:link w:val="Footer"/>
    <w:uiPriority w:val="99"/>
    <w:locked/>
    <w:rsid w:val="008F33CA"/>
    <w:rPr>
      <w:rFonts w:ascii="Times New Roman" w:hAnsi="Times New Roman" w:cs="Times New Roman"/>
      <w:color w:val="000000"/>
      <w:sz w:val="24"/>
    </w:rPr>
  </w:style>
  <w:style w:type="character" w:customStyle="1" w:styleId="st">
    <w:name w:val="st"/>
    <w:basedOn w:val="DefaultParagraphFont"/>
    <w:semiHidden/>
    <w:rsid w:val="00910F43"/>
    <w:rPr>
      <w:rFonts w:cs="Times New Roman"/>
    </w:rPr>
  </w:style>
  <w:style w:type="paragraph" w:customStyle="1" w:styleId="EndNoteBibliography">
    <w:name w:val="EndNote Bibliography"/>
    <w:basedOn w:val="Normal"/>
    <w:link w:val="EndNoteBibliographyChar"/>
    <w:rsid w:val="00910F43"/>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910F43"/>
    <w:rPr>
      <w:rFonts w:ascii="Calibri" w:hAnsi="Calibri" w:cs="Calibri"/>
      <w:noProof/>
      <w:lang w:val="en-US"/>
    </w:rPr>
  </w:style>
  <w:style w:type="table" w:styleId="TableGrid">
    <w:name w:val="Table Grid"/>
    <w:basedOn w:val="TableNormal"/>
    <w:uiPriority w:val="59"/>
    <w:rsid w:val="003476E9"/>
    <w:pPr>
      <w:spacing w:after="0" w:line="240" w:lineRule="auto"/>
    </w:pPr>
    <w:rPr>
      <w:rFonts w:ascii="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C5B"/>
    <w:rPr>
      <w:color w:val="0563C1" w:themeColor="hyperlink"/>
      <w:u w:val="single"/>
    </w:rPr>
  </w:style>
  <w:style w:type="character" w:customStyle="1" w:styleId="UnresolvedMention1">
    <w:name w:val="Unresolved Mention1"/>
    <w:basedOn w:val="DefaultParagraphFont"/>
    <w:uiPriority w:val="99"/>
    <w:semiHidden/>
    <w:unhideWhenUsed/>
    <w:rsid w:val="001D7C5B"/>
    <w:rPr>
      <w:color w:val="605E5C"/>
      <w:shd w:val="clear" w:color="auto" w:fill="E1DFDD"/>
    </w:rPr>
  </w:style>
  <w:style w:type="character" w:styleId="CommentReference">
    <w:name w:val="annotation reference"/>
    <w:basedOn w:val="DefaultParagraphFont"/>
    <w:uiPriority w:val="99"/>
    <w:semiHidden/>
    <w:unhideWhenUsed/>
    <w:rsid w:val="00B030D7"/>
    <w:rPr>
      <w:sz w:val="16"/>
      <w:szCs w:val="16"/>
    </w:rPr>
  </w:style>
  <w:style w:type="paragraph" w:styleId="CommentText">
    <w:name w:val="annotation text"/>
    <w:basedOn w:val="Normal"/>
    <w:link w:val="CommentTextChar"/>
    <w:uiPriority w:val="99"/>
    <w:semiHidden/>
    <w:unhideWhenUsed/>
    <w:rsid w:val="00B030D7"/>
    <w:rPr>
      <w:sz w:val="20"/>
      <w:szCs w:val="20"/>
    </w:rPr>
  </w:style>
  <w:style w:type="character" w:customStyle="1" w:styleId="CommentTextChar">
    <w:name w:val="Comment Text Char"/>
    <w:basedOn w:val="DefaultParagraphFont"/>
    <w:link w:val="CommentText"/>
    <w:uiPriority w:val="99"/>
    <w:semiHidden/>
    <w:rsid w:val="00B030D7"/>
    <w:rPr>
      <w:rFonts w:ascii="Book Antiqua" w:hAnsi="Book Antiqua" w:cs="Arial"/>
      <w:color w:val="000000"/>
      <w:sz w:val="20"/>
      <w:szCs w:val="20"/>
    </w:rPr>
  </w:style>
  <w:style w:type="paragraph" w:styleId="CommentSubject">
    <w:name w:val="annotation subject"/>
    <w:basedOn w:val="CommentText"/>
    <w:next w:val="CommentText"/>
    <w:link w:val="CommentSubjectChar"/>
    <w:uiPriority w:val="99"/>
    <w:semiHidden/>
    <w:unhideWhenUsed/>
    <w:rsid w:val="00B030D7"/>
    <w:rPr>
      <w:b/>
      <w:bCs/>
    </w:rPr>
  </w:style>
  <w:style w:type="character" w:customStyle="1" w:styleId="CommentSubjectChar">
    <w:name w:val="Comment Subject Char"/>
    <w:basedOn w:val="CommentTextChar"/>
    <w:link w:val="CommentSubject"/>
    <w:uiPriority w:val="99"/>
    <w:semiHidden/>
    <w:rsid w:val="00B030D7"/>
    <w:rPr>
      <w:rFonts w:ascii="Book Antiqua" w:hAnsi="Book Antiqua" w:cs="Arial"/>
      <w:b/>
      <w:bCs/>
      <w:color w:val="000000"/>
      <w:sz w:val="20"/>
      <w:szCs w:val="20"/>
    </w:rPr>
  </w:style>
  <w:style w:type="paragraph" w:styleId="BalloonText">
    <w:name w:val="Balloon Text"/>
    <w:basedOn w:val="Normal"/>
    <w:link w:val="BalloonTextChar"/>
    <w:uiPriority w:val="99"/>
    <w:semiHidden/>
    <w:unhideWhenUsed/>
    <w:rsid w:val="00B03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D7"/>
    <w:rPr>
      <w:rFonts w:ascii="Segoe UI" w:hAnsi="Segoe UI" w:cs="Segoe UI"/>
      <w:color w:val="000000"/>
      <w:sz w:val="18"/>
      <w:szCs w:val="18"/>
    </w:rPr>
  </w:style>
  <w:style w:type="character" w:styleId="UnresolvedMention">
    <w:name w:val="Unresolved Mention"/>
    <w:basedOn w:val="DefaultParagraphFont"/>
    <w:uiPriority w:val="99"/>
    <w:semiHidden/>
    <w:unhideWhenUsed/>
    <w:rsid w:val="0057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7319">
      <w:bodyDiv w:val="1"/>
      <w:marLeft w:val="0"/>
      <w:marRight w:val="0"/>
      <w:marTop w:val="0"/>
      <w:marBottom w:val="0"/>
      <w:divBdr>
        <w:top w:val="none" w:sz="0" w:space="0" w:color="auto"/>
        <w:left w:val="none" w:sz="0" w:space="0" w:color="auto"/>
        <w:bottom w:val="none" w:sz="0" w:space="0" w:color="auto"/>
        <w:right w:val="none" w:sz="0" w:space="0" w:color="auto"/>
      </w:divBdr>
    </w:div>
    <w:div w:id="309332782">
      <w:bodyDiv w:val="1"/>
      <w:marLeft w:val="0"/>
      <w:marRight w:val="0"/>
      <w:marTop w:val="0"/>
      <w:marBottom w:val="0"/>
      <w:divBdr>
        <w:top w:val="none" w:sz="0" w:space="0" w:color="auto"/>
        <w:left w:val="none" w:sz="0" w:space="0" w:color="auto"/>
        <w:bottom w:val="none" w:sz="0" w:space="0" w:color="auto"/>
        <w:right w:val="none" w:sz="0" w:space="0" w:color="auto"/>
      </w:divBdr>
    </w:div>
    <w:div w:id="670958086">
      <w:bodyDiv w:val="1"/>
      <w:marLeft w:val="0"/>
      <w:marRight w:val="0"/>
      <w:marTop w:val="0"/>
      <w:marBottom w:val="0"/>
      <w:divBdr>
        <w:top w:val="none" w:sz="0" w:space="0" w:color="auto"/>
        <w:left w:val="none" w:sz="0" w:space="0" w:color="auto"/>
        <w:bottom w:val="none" w:sz="0" w:space="0" w:color="auto"/>
        <w:right w:val="none" w:sz="0" w:space="0" w:color="auto"/>
      </w:divBdr>
    </w:div>
    <w:div w:id="718479403">
      <w:bodyDiv w:val="1"/>
      <w:marLeft w:val="0"/>
      <w:marRight w:val="0"/>
      <w:marTop w:val="0"/>
      <w:marBottom w:val="0"/>
      <w:divBdr>
        <w:top w:val="none" w:sz="0" w:space="0" w:color="auto"/>
        <w:left w:val="none" w:sz="0" w:space="0" w:color="auto"/>
        <w:bottom w:val="none" w:sz="0" w:space="0" w:color="auto"/>
        <w:right w:val="none" w:sz="0" w:space="0" w:color="auto"/>
      </w:divBdr>
    </w:div>
    <w:div w:id="761804704">
      <w:bodyDiv w:val="1"/>
      <w:marLeft w:val="0"/>
      <w:marRight w:val="0"/>
      <w:marTop w:val="0"/>
      <w:marBottom w:val="0"/>
      <w:divBdr>
        <w:top w:val="none" w:sz="0" w:space="0" w:color="auto"/>
        <w:left w:val="none" w:sz="0" w:space="0" w:color="auto"/>
        <w:bottom w:val="none" w:sz="0" w:space="0" w:color="auto"/>
        <w:right w:val="none" w:sz="0" w:space="0" w:color="auto"/>
      </w:divBdr>
    </w:div>
    <w:div w:id="780225075">
      <w:bodyDiv w:val="1"/>
      <w:marLeft w:val="0"/>
      <w:marRight w:val="0"/>
      <w:marTop w:val="0"/>
      <w:marBottom w:val="0"/>
      <w:divBdr>
        <w:top w:val="none" w:sz="0" w:space="0" w:color="auto"/>
        <w:left w:val="none" w:sz="0" w:space="0" w:color="auto"/>
        <w:bottom w:val="none" w:sz="0" w:space="0" w:color="auto"/>
        <w:right w:val="none" w:sz="0" w:space="0" w:color="auto"/>
      </w:divBdr>
    </w:div>
    <w:div w:id="846988265">
      <w:bodyDiv w:val="1"/>
      <w:marLeft w:val="0"/>
      <w:marRight w:val="0"/>
      <w:marTop w:val="0"/>
      <w:marBottom w:val="0"/>
      <w:divBdr>
        <w:top w:val="none" w:sz="0" w:space="0" w:color="auto"/>
        <w:left w:val="none" w:sz="0" w:space="0" w:color="auto"/>
        <w:bottom w:val="none" w:sz="0" w:space="0" w:color="auto"/>
        <w:right w:val="none" w:sz="0" w:space="0" w:color="auto"/>
      </w:divBdr>
    </w:div>
    <w:div w:id="925842832">
      <w:bodyDiv w:val="1"/>
      <w:marLeft w:val="0"/>
      <w:marRight w:val="0"/>
      <w:marTop w:val="0"/>
      <w:marBottom w:val="0"/>
      <w:divBdr>
        <w:top w:val="none" w:sz="0" w:space="0" w:color="auto"/>
        <w:left w:val="none" w:sz="0" w:space="0" w:color="auto"/>
        <w:bottom w:val="none" w:sz="0" w:space="0" w:color="auto"/>
        <w:right w:val="none" w:sz="0" w:space="0" w:color="auto"/>
      </w:divBdr>
    </w:div>
    <w:div w:id="965817634">
      <w:bodyDiv w:val="1"/>
      <w:marLeft w:val="0"/>
      <w:marRight w:val="0"/>
      <w:marTop w:val="0"/>
      <w:marBottom w:val="0"/>
      <w:divBdr>
        <w:top w:val="none" w:sz="0" w:space="0" w:color="auto"/>
        <w:left w:val="none" w:sz="0" w:space="0" w:color="auto"/>
        <w:bottom w:val="none" w:sz="0" w:space="0" w:color="auto"/>
        <w:right w:val="none" w:sz="0" w:space="0" w:color="auto"/>
      </w:divBdr>
    </w:div>
    <w:div w:id="1029333006">
      <w:bodyDiv w:val="1"/>
      <w:marLeft w:val="0"/>
      <w:marRight w:val="0"/>
      <w:marTop w:val="0"/>
      <w:marBottom w:val="0"/>
      <w:divBdr>
        <w:top w:val="none" w:sz="0" w:space="0" w:color="auto"/>
        <w:left w:val="none" w:sz="0" w:space="0" w:color="auto"/>
        <w:bottom w:val="none" w:sz="0" w:space="0" w:color="auto"/>
        <w:right w:val="none" w:sz="0" w:space="0" w:color="auto"/>
      </w:divBdr>
    </w:div>
    <w:div w:id="1216696379">
      <w:bodyDiv w:val="1"/>
      <w:marLeft w:val="0"/>
      <w:marRight w:val="0"/>
      <w:marTop w:val="0"/>
      <w:marBottom w:val="0"/>
      <w:divBdr>
        <w:top w:val="none" w:sz="0" w:space="0" w:color="auto"/>
        <w:left w:val="none" w:sz="0" w:space="0" w:color="auto"/>
        <w:bottom w:val="none" w:sz="0" w:space="0" w:color="auto"/>
        <w:right w:val="none" w:sz="0" w:space="0" w:color="auto"/>
      </w:divBdr>
    </w:div>
    <w:div w:id="1365671411">
      <w:bodyDiv w:val="1"/>
      <w:marLeft w:val="0"/>
      <w:marRight w:val="0"/>
      <w:marTop w:val="0"/>
      <w:marBottom w:val="0"/>
      <w:divBdr>
        <w:top w:val="none" w:sz="0" w:space="0" w:color="auto"/>
        <w:left w:val="none" w:sz="0" w:space="0" w:color="auto"/>
        <w:bottom w:val="none" w:sz="0" w:space="0" w:color="auto"/>
        <w:right w:val="none" w:sz="0" w:space="0" w:color="auto"/>
      </w:divBdr>
    </w:div>
    <w:div w:id="1402410237">
      <w:bodyDiv w:val="1"/>
      <w:marLeft w:val="0"/>
      <w:marRight w:val="0"/>
      <w:marTop w:val="0"/>
      <w:marBottom w:val="0"/>
      <w:divBdr>
        <w:top w:val="none" w:sz="0" w:space="0" w:color="auto"/>
        <w:left w:val="none" w:sz="0" w:space="0" w:color="auto"/>
        <w:bottom w:val="none" w:sz="0" w:space="0" w:color="auto"/>
        <w:right w:val="none" w:sz="0" w:space="0" w:color="auto"/>
      </w:divBdr>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83230162">
      <w:bodyDiv w:val="1"/>
      <w:marLeft w:val="0"/>
      <w:marRight w:val="0"/>
      <w:marTop w:val="0"/>
      <w:marBottom w:val="0"/>
      <w:divBdr>
        <w:top w:val="none" w:sz="0" w:space="0" w:color="auto"/>
        <w:left w:val="none" w:sz="0" w:space="0" w:color="auto"/>
        <w:bottom w:val="none" w:sz="0" w:space="0" w:color="auto"/>
        <w:right w:val="none" w:sz="0" w:space="0" w:color="auto"/>
      </w:divBdr>
    </w:div>
    <w:div w:id="1659117029">
      <w:marLeft w:val="0"/>
      <w:marRight w:val="0"/>
      <w:marTop w:val="0"/>
      <w:marBottom w:val="0"/>
      <w:divBdr>
        <w:top w:val="none" w:sz="0" w:space="0" w:color="auto"/>
        <w:left w:val="none" w:sz="0" w:space="0" w:color="auto"/>
        <w:bottom w:val="none" w:sz="0" w:space="0" w:color="auto"/>
        <w:right w:val="none" w:sz="0" w:space="0" w:color="auto"/>
      </w:divBdr>
    </w:div>
    <w:div w:id="1659117030">
      <w:marLeft w:val="0"/>
      <w:marRight w:val="0"/>
      <w:marTop w:val="0"/>
      <w:marBottom w:val="0"/>
      <w:divBdr>
        <w:top w:val="none" w:sz="0" w:space="0" w:color="auto"/>
        <w:left w:val="none" w:sz="0" w:space="0" w:color="auto"/>
        <w:bottom w:val="none" w:sz="0" w:space="0" w:color="auto"/>
        <w:right w:val="none" w:sz="0" w:space="0" w:color="auto"/>
      </w:divBdr>
    </w:div>
    <w:div w:id="1659117031">
      <w:marLeft w:val="0"/>
      <w:marRight w:val="0"/>
      <w:marTop w:val="0"/>
      <w:marBottom w:val="0"/>
      <w:divBdr>
        <w:top w:val="none" w:sz="0" w:space="0" w:color="auto"/>
        <w:left w:val="none" w:sz="0" w:space="0" w:color="auto"/>
        <w:bottom w:val="none" w:sz="0" w:space="0" w:color="auto"/>
        <w:right w:val="none" w:sz="0" w:space="0" w:color="auto"/>
      </w:divBdr>
    </w:div>
    <w:div w:id="1659117032">
      <w:marLeft w:val="0"/>
      <w:marRight w:val="0"/>
      <w:marTop w:val="0"/>
      <w:marBottom w:val="0"/>
      <w:divBdr>
        <w:top w:val="none" w:sz="0" w:space="0" w:color="auto"/>
        <w:left w:val="none" w:sz="0" w:space="0" w:color="auto"/>
        <w:bottom w:val="none" w:sz="0" w:space="0" w:color="auto"/>
        <w:right w:val="none" w:sz="0" w:space="0" w:color="auto"/>
      </w:divBdr>
    </w:div>
    <w:div w:id="1689212892">
      <w:bodyDiv w:val="1"/>
      <w:marLeft w:val="0"/>
      <w:marRight w:val="0"/>
      <w:marTop w:val="0"/>
      <w:marBottom w:val="0"/>
      <w:divBdr>
        <w:top w:val="none" w:sz="0" w:space="0" w:color="auto"/>
        <w:left w:val="none" w:sz="0" w:space="0" w:color="auto"/>
        <w:bottom w:val="none" w:sz="0" w:space="0" w:color="auto"/>
        <w:right w:val="none" w:sz="0" w:space="0" w:color="auto"/>
      </w:divBdr>
    </w:div>
    <w:div w:id="20337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journal.uinsgd.ac.id./index.php/atthulab/" TargetMode="External"/><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urnal_Atthulab_PAI_UINS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Akh142</b:Tag>
    <b:SourceType>Book</b:SourceType>
    <b:Guid>{F9D8A360-9B06-4936-9987-201E251E5844}</b:Guid>
    <b:Author>
      <b:Author>
        <b:NameList>
          <b:Person>
            <b:Last>Alim</b:Last>
            <b:First>Akhmad</b:First>
          </b:Person>
        </b:NameList>
      </b:Author>
    </b:Author>
    <b:Title>Tafsir Pendidikan Islam</b:Title>
    <b:Year>2014</b:Year>
    <b:City>Jakarta</b:City>
    <b:Publisher>AMP Press</b:Publisher>
    <b:RefOrder>1</b:RefOrder>
  </b:Source>
  <b:Source>
    <b:Tag>Nen12</b:Tag>
    <b:SourceType>InternetSite</b:SourceType>
    <b:Guid>{19109F23-C2D7-4EB4-B09A-9FDA318CAC3F}</b:Guid>
    <b:Author>
      <b:Author>
        <b:NameList>
          <b:Person>
            <b:Last>Zubaidah</b:Last>
            <b:First>Neneng</b:First>
          </b:Person>
        </b:NameList>
      </b:Author>
    </b:Author>
    <b:Title>Sindonews</b:Title>
    <b:InternetSiteTitle>Hasil Uji Kompetensi Guru Memprihatinkan</b:InternetSiteTitle>
    <b:Year>2012</b:Year>
    <b:Month>Agustus</b:Month>
    <b:Day>3</b:Day>
    <b:URL>www.nasional.sindonews.com</b:URL>
    <b:RefOrder>2</b:RefOrder>
  </b:Source>
  <b:Source>
    <b:Tag>Sut12</b:Tag>
    <b:SourceType>Book</b:SourceType>
    <b:Guid>{88318C2D-59E3-40B5-90EC-16181E5CF74E}</b:Guid>
    <b:Author>
      <b:Author>
        <b:Corporate>Sutrisno, Muhyidin Albarobis</b:Corporate>
      </b:Author>
    </b:Author>
    <b:Title>Pendidikan Islam Berbasis Problem Sosial</b:Title>
    <b:Year>2012</b:Year>
    <b:City>Yogyakarta</b:City>
    <b:Publisher>Ar-Ruzz Media</b:Publisher>
    <b:RefOrder>3</b:RefOrder>
  </b:Source>
  <b:Source>
    <b:Tag>Her13</b:Tag>
    <b:SourceType>InternetSite</b:SourceType>
    <b:Guid>{BBBD6F99-EB42-4F5A-8E47-9884568B0595}</b:Guid>
    <b:Author>
      <b:Author>
        <b:NameList>
          <b:Person>
            <b:Last>Winarno</b:Last>
            <b:First>Hery</b:First>
            <b:Middle>H</b:Middle>
          </b:Person>
        </b:NameList>
      </b:Author>
    </b:Author>
    <b:Title>Cabuli Siswanya, Mantan Kepsek di Batam divonis 7 tahun penjara</b:Title>
    <b:InternetSiteTitle>merdeka.com</b:InternetSiteTitle>
    <b:Year>2013</b:Year>
    <b:Month>Desember</b:Month>
    <b:Day>18</b:Day>
    <b:URL>www.merdeka.com</b:URL>
    <b:RefOrder>4</b:RefOrder>
  </b:Source>
  <b:Source>
    <b:Tag>Den18</b:Tag>
    <b:SourceType>InternetSite</b:SourceType>
    <b:Guid>{319ABBED-F510-4BA2-8E54-7C1F9A52AB9B}</b:Guid>
    <b:Author>
      <b:Author>
        <b:NameList>
          <b:Person>
            <b:Last>Wahyono</b:Last>
            <b:First>Deni</b:First>
          </b:Person>
        </b:NameList>
      </b:Author>
    </b:Author>
    <b:Title>Cabuli Belasan Murid, Guru Ngaji di Babel ditangkap Polisi</b:Title>
    <b:InternetSiteTitle>detiknews</b:InternetSiteTitle>
    <b:Year>2018</b:Year>
    <b:Month>September</b:Month>
    <b:Day>20</b:Day>
    <b:URL>m.detik.com</b:URL>
    <b:RefOrder>5</b:RefOrder>
  </b:Source>
  <b:Source>
    <b:Tag>Joh10</b:Tag>
    <b:SourceType>Book</b:SourceType>
    <b:Guid>{26375FA0-4390-4B35-ADA6-2BB1DC4A5BD5}</b:Guid>
    <b:Author>
      <b:Author>
        <b:NameList>
          <b:Person>
            <b:Last>Creswell</b:Last>
            <b:First>John</b:First>
          </b:Person>
        </b:NameList>
      </b:Author>
    </b:Author>
    <b:Title>Research Design Penelitian Kualitatif</b:Title>
    <b:Year>2010</b:Year>
    <b:City>Yogyakarta</b:City>
    <b:Publisher>Pustaka Pelajar</b:Publisher>
    <b:RefOrder>6</b:RefOrder>
  </b:Source>
  <b:Source>
    <b:Tag>Hij181</b:Tag>
    <b:SourceType>Book</b:SourceType>
    <b:Guid>{4B0CF9C0-00E4-4FB2-9107-39A38BB34286}</b:Guid>
    <b:Author>
      <b:Author>
        <b:NameList>
          <b:Person>
            <b:Last>Prihantoro</b:Last>
            <b:First>Hijrian</b:First>
            <b:Middle>A.</b:Middle>
          </b:Person>
        </b:NameList>
      </b:Author>
    </b:Author>
    <b:Title>Adabul `Alim Wal Muta`allim</b:Title>
    <b:Year>2018</b:Year>
    <b:City>Yogyakarta</b:City>
    <b:Publisher>Diva Press</b:Publisher>
    <b:RefOrder>7</b:RefOrder>
  </b:Source>
  <b:Source>
    <b:Tag>Jal03</b:Tag>
    <b:SourceType>Book</b:SourceType>
    <b:Guid>{150D307E-1116-4FD2-AF11-14E563553CC7}</b:Guid>
    <b:Author>
      <b:Author>
        <b:NameList>
          <b:Person>
            <b:Last>Jalaluddin</b:Last>
          </b:Person>
        </b:NameList>
      </b:Author>
    </b:Author>
    <b:Title>Teologi Pendidikan</b:Title>
    <b:Year>2003</b:Year>
    <b:City>Jakarta</b:City>
    <b:Publisher>Raja Grafindo Persada</b:Publisher>
    <b:RefOrder>8</b:RefOrder>
  </b:Source>
  <b:Source>
    <b:Tag>Ram11</b:Tag>
    <b:SourceType>Book</b:SourceType>
    <b:Guid>{34B4354C-0442-4F97-BDC5-A68F1185CC0E}</b:Guid>
    <b:Author>
      <b:Author>
        <b:NameList>
          <b:Person>
            <b:Last>Ramayulis</b:Last>
          </b:Person>
        </b:NameList>
      </b:Author>
    </b:Author>
    <b:Title>Ilmu Pendidikan Islam</b:Title>
    <b:Year>2011</b:Year>
    <b:City>Jakarta</b:City>
    <b:Publisher>Kalam Mulia</b:Publisher>
    <b:RefOrder>9</b:RefOrder>
  </b:Source>
  <b:Source>
    <b:Tag>Und06</b:Tag>
    <b:SourceType>Book</b:SourceType>
    <b:Guid>{D86E7B3C-457C-47E4-83D1-D11155A5533B}</b:Guid>
    <b:Year>2006</b:Year>
    <b:City>Yogyakarta</b:City>
    <b:Publisher>Pustaka Pelajar</b:Publisher>
    <b:Author>
      <b:Author>
        <b:NameList>
          <b:Person>
            <b:First>Undang-undang Guru dan Dosen</b:First>
          </b:Person>
        </b:NameList>
      </b:Author>
    </b:Author>
    <b:RefOrder>10</b:RefOrder>
  </b:Source>
  <b:Source>
    <b:Tag>Muh97</b:Tag>
    <b:SourceType>Book</b:SourceType>
    <b:Guid>{BD1CABD2-ED88-4E6A-BF0C-D378C3EA2F31}</b:Guid>
    <b:Author>
      <b:Author>
        <b:NameList>
          <b:Person>
            <b:Last>Syah</b:Last>
            <b:First>Muhibbin</b:First>
          </b:Person>
        </b:NameList>
      </b:Author>
    </b:Author>
    <b:Title>Psikologi Pendidikan, dengan pendekatan baru</b:Title>
    <b:Year>1997</b:Year>
    <b:City>Bandung</b:City>
    <b:Publisher>Remaja Rosdakarya</b:Publisher>
    <b:RefOrder>11</b:RefOrder>
  </b:Source>
  <b:Source>
    <b:Tag>Sya17</b:Tag>
    <b:SourceType>InternetSite</b:SourceType>
    <b:Guid>{75F120AE-7D90-4E3C-BEBB-D3EB0AA7494C}</b:Guid>
    <b:Author>
      <b:Author>
        <b:NameList>
          <b:Person>
            <b:Last>Yunus</b:Last>
            <b:First>Syarifudin</b:First>
          </b:Person>
        </b:NameList>
      </b:Author>
    </b:Author>
    <b:Title>Mengkritisi Kompetensi Guru</b:Title>
    <b:InternetSiteTitle>detiknews</b:InternetSiteTitle>
    <b:Year>2017</b:Year>
    <b:Month>November</b:Month>
    <b:Day>24</b:Day>
    <b:URL>m.detik.com</b:URL>
    <b:RefOrder>12</b:RefOrder>
  </b:Source>
  <b:Source>
    <b:Tag>Mah01</b:Tag>
    <b:SourceType>Book</b:SourceType>
    <b:Guid>{B47C7F94-778E-4E53-9187-B99D3A218B7E}</b:Guid>
    <b:Author>
      <b:Author>
        <b:NameList>
          <b:Person>
            <b:Last>Mahmud</b:Last>
          </b:Person>
        </b:NameList>
      </b:Author>
    </b:Author>
    <b:Title>Pemikiran Pendidikan Islam</b:Title>
    <b:Year>2001</b:Year>
    <b:City>Bandung</b:City>
    <b:Publisher>Pustaka Setia</b:Publisher>
    <b:RefOrder>13</b:RefOrder>
  </b:Source>
  <b:Source>
    <b:Tag>Lex07</b:Tag>
    <b:SourceType>Book</b:SourceType>
    <b:Guid>{888FD4F1-B070-465C-8FF6-68FC752FBC9F}</b:Guid>
    <b:Author>
      <b:Author>
        <b:NameList>
          <b:Person>
            <b:Last>Moleong</b:Last>
            <b:First>Lexy</b:First>
          </b:Person>
        </b:NameList>
      </b:Author>
    </b:Author>
    <b:Title>Metodologi Penelitian Kualitatif</b:Title>
    <b:Year>2007</b:Year>
    <b:City>Bandung</b:City>
    <b:Publisher>Remaja Rosdakarya</b:Publisher>
    <b:RefOrder>14</b:RefOrder>
  </b:Source>
  <b:Source>
    <b:Tag>Bag06</b:Tag>
    <b:SourceType>Book</b:SourceType>
    <b:Guid>{41D13BEA-18E7-4D6A-8E38-27678F7F9650}</b:Guid>
    <b:Author>
      <b:Author>
        <b:Corporate>Bagong, Suyanto dan Sutinah</b:Corporate>
      </b:Author>
    </b:Author>
    <b:Title>Metode Penelitian Sosial Berbagai Alternatif; Pendekatan</b:Title>
    <b:Year>2006</b:Year>
    <b:City>Jakarta</b:City>
    <b:Publisher>Prenada Media Group</b:Publisher>
    <b:RefOrder>15</b:RefOrder>
  </b:Source>
  <b:Source>
    <b:Tag>Sug05</b:Tag>
    <b:SourceType>Book</b:SourceType>
    <b:Guid>{7A3043C0-C36C-48B4-8E80-094F3940DB34}</b:Guid>
    <b:Author>
      <b:Author>
        <b:NameList>
          <b:Person>
            <b:Last>Sugiyono</b:Last>
          </b:Person>
        </b:NameList>
      </b:Author>
    </b:Author>
    <b:Title>Metode Penelitian Pendidikan (Pendekatan Kuantitatif, Kualitatif dan R&amp;D)</b:Title>
    <b:Year>2005</b:Year>
    <b:City>Bandung</b:City>
    <b:Publisher>CV. Alfabeta</b:Publisher>
    <b:RefOrder>16</b:RefOrder>
  </b:Source>
  <b:Source>
    <b:Tag>FLW60</b:Tag>
    <b:SourceType>Book</b:SourceType>
    <b:Guid>{78FB97B0-F5EA-4452-87DC-026E03495295}</b:Guid>
    <b:Author>
      <b:Author>
        <b:NameList>
          <b:Person>
            <b:Last>Whitney</b:Last>
            <b:First>F.L.</b:First>
          </b:Person>
        </b:NameList>
      </b:Author>
    </b:Author>
    <b:Title>The elements of Research</b:Title>
    <b:Year>1960</b:Year>
    <b:City>Osaka</b:City>
    <b:Publisher>Overseas Book Co</b:Publisher>
    <b:RefOrder>17</b:RefOrder>
  </b:Source>
  <b:Source>
    <b:Tag>Rob90</b:Tag>
    <b:SourceType>Book</b:SourceType>
    <b:Guid>{DA9252B6-3AA7-44D7-A284-1597EC7FB348}</b:Guid>
    <b:Title>Basic Content Analysis</b:Title>
    <b:Year>1990</b:Year>
    <b:City>California</b:City>
    <b:Publisher>Sage Publication</b:Publisher>
    <b:Author>
      <b:Author>
        <b:NameList>
          <b:Person>
            <b:Last>Weber</b:Last>
            <b:First>Robert</b:First>
            <b:Middle>Philiph</b:Middle>
          </b:Person>
        </b:NameList>
      </b:Author>
    </b:Author>
    <b:RefOrder>18</b:RefOrder>
  </b:Source>
  <b:Source>
    <b:Tag>Kri80</b:Tag>
    <b:SourceType>Book</b:SourceType>
    <b:Guid>{CD462A6F-607E-4156-9F71-3C5710904B90}</b:Guid>
    <b:Author>
      <b:Author>
        <b:NameList>
          <b:Person>
            <b:Last>Krippenddorff</b:Last>
          </b:Person>
        </b:NameList>
      </b:Author>
    </b:Author>
    <b:Title>Content Analysis An Introduction to Its Methodology</b:Title>
    <b:Year>1980</b:Year>
    <b:City>California</b:City>
    <b:Publisher>Sage Publication Ltd</b:Publisher>
    <b:RefOrder>19</b:RefOrder>
  </b:Source>
  <b:Source>
    <b:Tag>Jam01</b:Tag>
    <b:SourceType>Book</b:SourceType>
    <b:Guid>{19886C70-41D9-4BB9-86A2-C95F5899112D}</b:Guid>
    <b:Author>
      <b:Author>
        <b:Corporate>James H. McMilllan dan Sally Schumacher</b:Corporate>
      </b:Author>
    </b:Author>
    <b:Title>Research in Education: A Conseptual Introduction</b:Title>
    <b:Year>2001</b:Year>
    <b:City>New York</b:City>
    <b:Publisher>Longman</b:Publisher>
    <b:RefOrder>20</b:RefOrder>
  </b:Source>
  <b:Source>
    <b:Tag>Mas06</b:Tag>
    <b:SourceType>Book</b:SourceType>
    <b:Guid>{BEDE0F6B-78D6-4303-8E45-67331A5B4FFC}</b:Guid>
    <b:Author>
      <b:Author>
        <b:Corporate>Masturi Ilham dan Asmu`i Taman</b:Corporate>
      </b:Author>
    </b:Author>
    <b:Title>Terj. Min A`lam Salaf karya Syaikh Ahmad Farid</b:Title>
    <b:Year>2006</b:Year>
    <b:City>Jakarta</b:City>
    <b:Publisher>Pustaka al-Kautsar</b:Publisher>
    <b:RefOrder>21</b:RefOrder>
  </b:Source>
  <b:Source>
    <b:Tag>Muh07</b:Tag>
    <b:SourceType>Book</b:SourceType>
    <b:Guid>{F69ED535-8F9F-4E17-ACA3-877252E47B77}</b:Guid>
    <b:Author>
      <b:Author>
        <b:Corporate>Muhyiddin Mas Rida, dkk</b:Corporate>
      </b:Author>
    </b:Author>
    <b:Title>Terj. Kitab Raudhatut-Thalibin</b:Title>
    <b:Year>2007</b:Year>
    <b:City>Jakarta</b:City>
    <b:Publisher>Pustaka Azzam</b:Publisher>
    <b:RefOrder>22</b:RefOrder>
  </b:Source>
  <b:Source>
    <b:Tag>AnN</b:Tag>
    <b:SourceType>JournalArticle</b:SourceType>
    <b:Guid>{2D966DEF-F19C-42EC-97B4-084DDCEA8763}</b:Guid>
    <b:Author>
      <b:Author>
        <b:NameList>
          <b:Person>
            <b:Last>An-Nu`aimi</b:Last>
          </b:Person>
        </b:NameList>
      </b:Author>
    </b:Author>
    <b:JournalName>Ad-Daris Vol. 1</b:JournalName>
    <b:RefOrder>23</b:RefOrder>
  </b:Source>
  <b:Source>
    <b:Tag>Has</b:Tag>
    <b:SourceType>Book</b:SourceType>
    <b:Guid>{285C9BCC-0ED7-4913-B8A1-22143F4CED57}</b:Guid>
    <b:Author>
      <b:Author>
        <b:NameList>
          <b:Person>
            <b:Last>Hasan</b:Last>
            <b:Middle>Ibrahim</b:Middle>
            <b:First>Hasan</b:First>
          </b:Person>
        </b:NameList>
      </b:Author>
    </b:Author>
    <b:Title>Tarikh al-Islam as-Siyasi wa ad-Din wa as-Saqafiy wa al-Ijtima`iy Terj. H. A. Bahauddin</b:Title>
    <b:Year>2001</b:Year>
    <b:City>Jakarta</b:City>
    <b:Publisher>Kalam Mulia</b:Publisher>
    <b:RefOrder>24</b:RefOrder>
  </b:Source>
  <b:Source>
    <b:Tag>Abd80</b:Tag>
    <b:SourceType>Book</b:SourceType>
    <b:Guid>{18B37989-0E2D-4D00-91D2-1F30582790DA}</b:Guid>
    <b:Author>
      <b:Author>
        <b:NameList>
          <b:Person>
            <b:Last>ad-Daqqar</b:Last>
            <b:First>Abdul</b:First>
            <b:Middle>Ghani</b:Middle>
          </b:Person>
        </b:NameList>
      </b:Author>
    </b:Author>
    <b:Title>Imam Nawawi Syaikh al-islam wa al-Muslimin wa `umdat al-Fuqaha wa al-Muhadditsin</b:Title>
    <b:Year>1980</b:Year>
    <b:City>Damaskus</b:City>
    <b:Publisher>Dar al-Qalam</b:Publisher>
    <b:RefOrder>25</b:RefOrder>
  </b:Source>
</b:Sources>
</file>

<file path=customXml/itemProps1.xml><?xml version="1.0" encoding="utf-8"?>
<ds:datastoreItem xmlns:ds="http://schemas.openxmlformats.org/officeDocument/2006/customXml" ds:itemID="{89A5975D-4498-482D-A9EF-EDCD3AD1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Template_Jurnal_Atthulab_PAI_UINSGD</Template>
  <TotalTime>23</TotalTime>
  <Pages>11</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cp:lastPrinted>2019-11-21T04:31:00Z</cp:lastPrinted>
  <dcterms:created xsi:type="dcterms:W3CDTF">2021-09-13T04:15:00Z</dcterms:created>
  <dcterms:modified xsi:type="dcterms:W3CDTF">2022-02-07T05:48:00Z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1008be76-d10a-33cd-ae3c-d6926e49665f</vt:lpwstr>
  </property>
  <property fmtid="{D5CDD505-2E9C-101B-9397-08002B2CF9AE}" pid="24" name="Mendeley Citation Style_1">
    <vt:lpwstr>http://www.zotero.org/styles/apa</vt:lpwstr>
  </property>
</Properties>
</file>