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CC3C4" w14:textId="77777777" w:rsidR="00C271F2" w:rsidRPr="003A457D" w:rsidRDefault="00C271F2" w:rsidP="003A457D">
      <w:pPr>
        <w:widowControl w:val="0"/>
        <w:pBdr>
          <w:top w:val="nil"/>
          <w:left w:val="nil"/>
          <w:bottom w:val="nil"/>
          <w:right w:val="nil"/>
          <w:between w:val="nil"/>
        </w:pBdr>
        <w:spacing w:after="0"/>
        <w:jc w:val="both"/>
        <w:rPr>
          <w:sz w:val="24"/>
          <w:szCs w:val="24"/>
        </w:rPr>
      </w:pPr>
    </w:p>
    <w:p w14:paraId="3D6F10A4" w14:textId="77777777" w:rsidR="00C271F2" w:rsidRPr="003A457D" w:rsidRDefault="00C271F2" w:rsidP="003A457D">
      <w:pPr>
        <w:spacing w:after="0"/>
        <w:jc w:val="both"/>
        <w:rPr>
          <w:rFonts w:ascii="Garamond" w:eastAsia="Garamond" w:hAnsi="Garamond" w:cs="Garamond"/>
          <w:b/>
          <w:sz w:val="24"/>
          <w:szCs w:val="24"/>
        </w:rPr>
      </w:pPr>
    </w:p>
    <w:p w14:paraId="4CC7BBD9" w14:textId="77777777" w:rsidR="00B84D5D" w:rsidRPr="003A457D" w:rsidRDefault="00B84D5D" w:rsidP="003A457D">
      <w:pPr>
        <w:pStyle w:val="ICESTTitle"/>
        <w:jc w:val="both"/>
        <w:rPr>
          <w:rFonts w:asciiTheme="minorHAnsi" w:hAnsiTheme="minorHAnsi" w:cstheme="minorHAnsi"/>
          <w:b/>
          <w:bCs/>
          <w:sz w:val="24"/>
          <w:szCs w:val="24"/>
        </w:rPr>
      </w:pPr>
    </w:p>
    <w:p w14:paraId="257E4EF2" w14:textId="77777777" w:rsidR="00B84D5D" w:rsidRPr="003A457D" w:rsidRDefault="00B84D5D" w:rsidP="003A457D">
      <w:pPr>
        <w:pStyle w:val="ICESTTitle"/>
        <w:rPr>
          <w:rFonts w:ascii="Gramod" w:hAnsi="Gramod"/>
          <w:b/>
          <w:color w:val="000000"/>
          <w:sz w:val="24"/>
          <w:szCs w:val="24"/>
        </w:rPr>
      </w:pPr>
      <w:r w:rsidRPr="003A457D">
        <w:rPr>
          <w:rFonts w:ascii="Gramod" w:hAnsi="Gramod" w:cstheme="minorHAnsi"/>
          <w:b/>
          <w:bCs/>
          <w:sz w:val="24"/>
          <w:szCs w:val="24"/>
        </w:rPr>
        <w:t>Developing</w:t>
      </w:r>
      <w:r w:rsidRPr="003A457D">
        <w:rPr>
          <w:rFonts w:ascii="Gramod" w:hAnsi="Gramod" w:cstheme="minorHAnsi"/>
          <w:b/>
          <w:bCs/>
          <w:color w:val="000000"/>
          <w:sz w:val="24"/>
          <w:szCs w:val="24"/>
        </w:rPr>
        <w:t xml:space="preserve"> Soft Skills new learning method and </w:t>
      </w:r>
      <w:r w:rsidRPr="003A457D">
        <w:rPr>
          <w:rFonts w:ascii="Gramod" w:hAnsi="Gramod" w:cs="Times New Roman"/>
          <w:b/>
          <w:bCs/>
          <w:sz w:val="24"/>
          <w:szCs w:val="24"/>
        </w:rPr>
        <w:t>Student Counseling Guidance</w:t>
      </w:r>
      <w:r w:rsidRPr="003A457D">
        <w:rPr>
          <w:rFonts w:ascii="Gramod" w:hAnsi="Gramod" w:cstheme="minorHAnsi"/>
          <w:b/>
          <w:bCs/>
          <w:color w:val="000000"/>
          <w:sz w:val="24"/>
          <w:szCs w:val="24"/>
        </w:rPr>
        <w:t xml:space="preserve"> Based-Islamic Education Teaching: </w:t>
      </w:r>
      <w:r w:rsidRPr="003A457D">
        <w:rPr>
          <w:rFonts w:ascii="Gramod" w:hAnsi="Gramod" w:cs="Times New Roman"/>
          <w:b/>
          <w:bCs/>
          <w:sz w:val="24"/>
          <w:szCs w:val="24"/>
        </w:rPr>
        <w:t>A Bibliometrics reviews</w:t>
      </w:r>
    </w:p>
    <w:p w14:paraId="68DE46A2" w14:textId="375E5B9C" w:rsidR="00C271F2" w:rsidRPr="003A457D" w:rsidRDefault="00C271F2" w:rsidP="003A457D">
      <w:pPr>
        <w:spacing w:after="0" w:line="240" w:lineRule="auto"/>
        <w:ind w:left="720"/>
        <w:jc w:val="both"/>
        <w:rPr>
          <w:rFonts w:ascii="Gramod" w:eastAsia="Garamond" w:hAnsi="Gramod" w:cs="Garamond"/>
          <w:b/>
          <w:sz w:val="24"/>
          <w:szCs w:val="24"/>
        </w:rPr>
      </w:pPr>
    </w:p>
    <w:p w14:paraId="324893A3" w14:textId="77777777" w:rsidR="00C271F2" w:rsidRPr="003A457D" w:rsidRDefault="00C271F2" w:rsidP="003A457D">
      <w:pPr>
        <w:spacing w:after="0" w:line="240" w:lineRule="auto"/>
        <w:jc w:val="both"/>
        <w:rPr>
          <w:rFonts w:ascii="Gramod" w:eastAsia="Garamond" w:hAnsi="Gramod" w:cs="Garamond"/>
          <w:b/>
          <w:sz w:val="24"/>
          <w:szCs w:val="24"/>
        </w:rPr>
      </w:pPr>
    </w:p>
    <w:p w14:paraId="2554A570" w14:textId="552BF906" w:rsidR="00C271F2" w:rsidRPr="003A457D" w:rsidRDefault="00B84D5D" w:rsidP="003A457D">
      <w:pPr>
        <w:spacing w:after="0" w:line="240" w:lineRule="auto"/>
        <w:jc w:val="both"/>
        <w:rPr>
          <w:rFonts w:ascii="Garamond" w:eastAsia="Garamond" w:hAnsi="Garamond" w:cs="Garamond"/>
          <w:b/>
          <w:sz w:val="24"/>
          <w:szCs w:val="24"/>
        </w:rPr>
      </w:pPr>
      <w:proofErr w:type="spellStart"/>
      <w:r w:rsidRPr="003A457D">
        <w:rPr>
          <w:rFonts w:ascii="Garamond" w:eastAsia="Garamond" w:hAnsi="Garamond" w:cs="Garamond"/>
          <w:b/>
          <w:sz w:val="24"/>
          <w:szCs w:val="24"/>
        </w:rPr>
        <w:t>Elihami</w:t>
      </w:r>
      <w:proofErr w:type="spellEnd"/>
    </w:p>
    <w:p w14:paraId="3B5B8FA2" w14:textId="1A5231E3" w:rsidR="00C271F2" w:rsidRPr="003A457D" w:rsidRDefault="00B84D5D" w:rsidP="003A457D">
      <w:pPr>
        <w:spacing w:after="0" w:line="240" w:lineRule="auto"/>
        <w:jc w:val="both"/>
        <w:rPr>
          <w:rFonts w:ascii="Garamond" w:eastAsia="Garamond" w:hAnsi="Garamond" w:cs="Garamond"/>
          <w:sz w:val="24"/>
          <w:szCs w:val="24"/>
        </w:rPr>
      </w:pPr>
      <w:r w:rsidRPr="003A457D">
        <w:rPr>
          <w:rFonts w:ascii="Garamond" w:eastAsia="Garamond" w:hAnsi="Garamond" w:cs="Garamond"/>
          <w:sz w:val="24"/>
          <w:szCs w:val="24"/>
        </w:rPr>
        <w:t>Universitas Muhammadiya</w:t>
      </w:r>
      <w:r w:rsidR="00000000" w:rsidRPr="003A457D">
        <w:rPr>
          <w:rFonts w:ascii="Garamond" w:eastAsia="Garamond" w:hAnsi="Garamond" w:cs="Garamond"/>
          <w:sz w:val="24"/>
          <w:szCs w:val="24"/>
        </w:rPr>
        <w:t>h</w:t>
      </w:r>
      <w:r w:rsidRPr="003A457D">
        <w:rPr>
          <w:rFonts w:ascii="Garamond" w:eastAsia="Garamond" w:hAnsi="Garamond" w:cs="Garamond"/>
          <w:sz w:val="24"/>
          <w:szCs w:val="24"/>
        </w:rPr>
        <w:t xml:space="preserve"> </w:t>
      </w:r>
      <w:proofErr w:type="spellStart"/>
      <w:r w:rsidRPr="003A457D">
        <w:rPr>
          <w:rFonts w:ascii="Garamond" w:eastAsia="Garamond" w:hAnsi="Garamond" w:cs="Garamond"/>
          <w:sz w:val="24"/>
          <w:szCs w:val="24"/>
        </w:rPr>
        <w:t>Enrekang</w:t>
      </w:r>
      <w:proofErr w:type="spellEnd"/>
      <w:r w:rsidR="00000000" w:rsidRPr="003A457D">
        <w:rPr>
          <w:rFonts w:ascii="Garamond" w:eastAsia="Garamond" w:hAnsi="Garamond" w:cs="Garamond"/>
          <w:sz w:val="24"/>
          <w:szCs w:val="24"/>
        </w:rPr>
        <w:t xml:space="preserve">, </w:t>
      </w:r>
      <w:r w:rsidRPr="003A457D">
        <w:rPr>
          <w:rFonts w:ascii="Garamond" w:eastAsia="Garamond" w:hAnsi="Garamond" w:cs="Garamond"/>
          <w:sz w:val="24"/>
          <w:szCs w:val="24"/>
        </w:rPr>
        <w:t>Indonesia</w:t>
      </w:r>
    </w:p>
    <w:p w14:paraId="42A1FA71" w14:textId="04BCAD53" w:rsidR="00C271F2" w:rsidRPr="003A457D" w:rsidRDefault="00B84D5D" w:rsidP="003A457D">
      <w:pPr>
        <w:spacing w:after="240" w:line="240" w:lineRule="auto"/>
        <w:jc w:val="both"/>
        <w:rPr>
          <w:rFonts w:ascii="Garamond" w:eastAsia="Garamond" w:hAnsi="Garamond" w:cs="Garamond"/>
          <w:sz w:val="24"/>
          <w:szCs w:val="24"/>
        </w:rPr>
      </w:pPr>
      <w:r w:rsidRPr="003A457D">
        <w:rPr>
          <w:rFonts w:ascii="Garamond" w:eastAsia="Garamond" w:hAnsi="Garamond" w:cs="Garamond"/>
          <w:sz w:val="24"/>
          <w:szCs w:val="24"/>
        </w:rPr>
        <w:t>Email: elihamid72@gmail.com</w:t>
      </w:r>
    </w:p>
    <w:p w14:paraId="5B118A8E" w14:textId="77777777" w:rsidR="00C271F2" w:rsidRPr="003A457D" w:rsidRDefault="00000000" w:rsidP="003A457D">
      <w:pPr>
        <w:tabs>
          <w:tab w:val="left" w:pos="7545"/>
        </w:tabs>
        <w:spacing w:after="0" w:line="240" w:lineRule="auto"/>
        <w:jc w:val="both"/>
        <w:rPr>
          <w:rFonts w:ascii="Garamond" w:eastAsia="Garamond" w:hAnsi="Garamond" w:cs="Garamond"/>
          <w:sz w:val="24"/>
          <w:szCs w:val="24"/>
        </w:rPr>
      </w:pPr>
      <w:r w:rsidRPr="003A457D">
        <w:rPr>
          <w:rFonts w:ascii="Garamond" w:eastAsia="Garamond" w:hAnsi="Garamond" w:cs="Garamond"/>
          <w:sz w:val="24"/>
          <w:szCs w:val="24"/>
        </w:rPr>
        <w:tab/>
      </w:r>
    </w:p>
    <w:p w14:paraId="4AFD4AB1" w14:textId="2E9BF961" w:rsidR="00C271F2" w:rsidRPr="003A457D" w:rsidRDefault="00B84D5D" w:rsidP="003A457D">
      <w:pPr>
        <w:spacing w:after="0" w:line="240" w:lineRule="auto"/>
        <w:jc w:val="both"/>
        <w:rPr>
          <w:rFonts w:ascii="Garamond" w:eastAsia="Garamond" w:hAnsi="Garamond" w:cs="Garamond"/>
          <w:b/>
          <w:sz w:val="24"/>
          <w:szCs w:val="24"/>
        </w:rPr>
      </w:pPr>
      <w:proofErr w:type="spellStart"/>
      <w:r w:rsidRPr="003A457D">
        <w:rPr>
          <w:rFonts w:ascii="Garamond" w:eastAsia="Garamond" w:hAnsi="Garamond" w:cs="Garamond"/>
          <w:b/>
          <w:sz w:val="24"/>
          <w:szCs w:val="24"/>
        </w:rPr>
        <w:t>Mohd</w:t>
      </w:r>
      <w:proofErr w:type="spellEnd"/>
      <w:r w:rsidRPr="003A457D">
        <w:rPr>
          <w:rFonts w:ascii="Garamond" w:eastAsia="Garamond" w:hAnsi="Garamond" w:cs="Garamond"/>
          <w:b/>
          <w:sz w:val="24"/>
          <w:szCs w:val="24"/>
        </w:rPr>
        <w:t>. Melbourne</w:t>
      </w:r>
    </w:p>
    <w:p w14:paraId="722751B9" w14:textId="447CD01A" w:rsidR="00C271F2" w:rsidRPr="003A457D" w:rsidRDefault="00B84D5D" w:rsidP="003A457D">
      <w:pPr>
        <w:spacing w:after="0" w:line="240" w:lineRule="auto"/>
        <w:jc w:val="both"/>
        <w:rPr>
          <w:rFonts w:ascii="Garamond" w:eastAsia="Garamond" w:hAnsi="Garamond" w:cs="Garamond"/>
          <w:sz w:val="24"/>
          <w:szCs w:val="24"/>
        </w:rPr>
      </w:pPr>
      <w:r w:rsidRPr="003A457D">
        <w:rPr>
          <w:rFonts w:ascii="Garamond" w:eastAsia="Garamond" w:hAnsi="Garamond" w:cs="Garamond"/>
          <w:sz w:val="24"/>
          <w:szCs w:val="24"/>
        </w:rPr>
        <w:t xml:space="preserve">Universitas </w:t>
      </w:r>
      <w:proofErr w:type="spellStart"/>
      <w:r w:rsidRPr="003A457D">
        <w:rPr>
          <w:rFonts w:ascii="Garamond" w:eastAsia="Garamond" w:hAnsi="Garamond" w:cs="Garamond"/>
          <w:sz w:val="24"/>
          <w:szCs w:val="24"/>
        </w:rPr>
        <w:t>philiphiness</w:t>
      </w:r>
      <w:proofErr w:type="spellEnd"/>
      <w:r w:rsidR="00000000" w:rsidRPr="003A457D">
        <w:rPr>
          <w:rFonts w:ascii="Garamond" w:eastAsia="Garamond" w:hAnsi="Garamond" w:cs="Garamond"/>
          <w:sz w:val="24"/>
          <w:szCs w:val="24"/>
        </w:rPr>
        <w:t xml:space="preserve">, </w:t>
      </w:r>
      <w:r w:rsidRPr="003A457D">
        <w:rPr>
          <w:rFonts w:ascii="Garamond" w:eastAsia="Garamond" w:hAnsi="Garamond" w:cs="Garamond"/>
          <w:sz w:val="24"/>
          <w:szCs w:val="24"/>
        </w:rPr>
        <w:t>Filipina</w:t>
      </w:r>
    </w:p>
    <w:p w14:paraId="0A5C1501" w14:textId="77777777" w:rsidR="00B84D5D" w:rsidRPr="003A457D" w:rsidRDefault="00B84D5D" w:rsidP="003A457D">
      <w:pPr>
        <w:spacing w:after="240" w:line="240" w:lineRule="auto"/>
        <w:jc w:val="both"/>
        <w:rPr>
          <w:rFonts w:ascii="Garamond" w:eastAsia="Garamond" w:hAnsi="Garamond" w:cs="Garamond"/>
          <w:sz w:val="24"/>
          <w:szCs w:val="24"/>
        </w:rPr>
      </w:pPr>
    </w:p>
    <w:p w14:paraId="188E188D" w14:textId="77777777" w:rsidR="00C271F2" w:rsidRPr="003A457D" w:rsidRDefault="00000000" w:rsidP="003A457D">
      <w:pPr>
        <w:pBdr>
          <w:top w:val="nil"/>
          <w:left w:val="nil"/>
          <w:bottom w:val="nil"/>
          <w:right w:val="nil"/>
          <w:between w:val="nil"/>
        </w:pBdr>
        <w:spacing w:after="240" w:line="288" w:lineRule="auto"/>
        <w:jc w:val="both"/>
        <w:rPr>
          <w:rFonts w:ascii="Garamond" w:eastAsia="Garamond" w:hAnsi="Garamond" w:cs="Garamond"/>
          <w:color w:val="000000"/>
          <w:sz w:val="24"/>
          <w:szCs w:val="24"/>
        </w:rPr>
      </w:pPr>
      <w:r w:rsidRPr="003A457D">
        <w:rPr>
          <w:rFonts w:ascii="Garamond" w:eastAsia="Garamond" w:hAnsi="Garamond" w:cs="Garamond"/>
          <w:color w:val="000000"/>
          <w:sz w:val="24"/>
          <w:szCs w:val="24"/>
        </w:rPr>
        <w:t xml:space="preserve">Received: xx (month), </w:t>
      </w:r>
      <w:proofErr w:type="spellStart"/>
      <w:r w:rsidRPr="003A457D">
        <w:rPr>
          <w:rFonts w:ascii="Garamond" w:eastAsia="Garamond" w:hAnsi="Garamond" w:cs="Garamond"/>
          <w:color w:val="000000"/>
          <w:sz w:val="24"/>
          <w:szCs w:val="24"/>
        </w:rPr>
        <w:t>xxxx</w:t>
      </w:r>
      <w:proofErr w:type="spellEnd"/>
      <w:r w:rsidRPr="003A457D">
        <w:rPr>
          <w:rFonts w:ascii="Garamond" w:eastAsia="Garamond" w:hAnsi="Garamond" w:cs="Garamond"/>
          <w:color w:val="000000"/>
          <w:sz w:val="24"/>
          <w:szCs w:val="24"/>
        </w:rPr>
        <w:t xml:space="preserve"> (year).  Accepted: xx (month), </w:t>
      </w:r>
      <w:proofErr w:type="spellStart"/>
      <w:r w:rsidRPr="003A457D">
        <w:rPr>
          <w:rFonts w:ascii="Garamond" w:eastAsia="Garamond" w:hAnsi="Garamond" w:cs="Garamond"/>
          <w:color w:val="000000"/>
          <w:sz w:val="24"/>
          <w:szCs w:val="24"/>
        </w:rPr>
        <w:t>xxxx</w:t>
      </w:r>
      <w:proofErr w:type="spellEnd"/>
      <w:r w:rsidRPr="003A457D">
        <w:rPr>
          <w:rFonts w:ascii="Garamond" w:eastAsia="Garamond" w:hAnsi="Garamond" w:cs="Garamond"/>
          <w:color w:val="000000"/>
          <w:sz w:val="24"/>
          <w:szCs w:val="24"/>
        </w:rPr>
        <w:t xml:space="preserve"> (year).  Published: xx (month), </w:t>
      </w:r>
      <w:proofErr w:type="spellStart"/>
      <w:r w:rsidRPr="003A457D">
        <w:rPr>
          <w:rFonts w:ascii="Garamond" w:eastAsia="Garamond" w:hAnsi="Garamond" w:cs="Garamond"/>
          <w:color w:val="000000"/>
          <w:sz w:val="24"/>
          <w:szCs w:val="24"/>
        </w:rPr>
        <w:t>xxxx</w:t>
      </w:r>
      <w:proofErr w:type="spellEnd"/>
      <w:r w:rsidRPr="003A457D">
        <w:rPr>
          <w:rFonts w:ascii="Garamond" w:eastAsia="Garamond" w:hAnsi="Garamond" w:cs="Garamond"/>
          <w:color w:val="000000"/>
          <w:sz w:val="24"/>
          <w:szCs w:val="24"/>
        </w:rPr>
        <w:t xml:space="preserve"> (year)</w:t>
      </w:r>
    </w:p>
    <w:p w14:paraId="1E509039" w14:textId="77777777" w:rsidR="00C271F2" w:rsidRPr="003A457D" w:rsidRDefault="00000000" w:rsidP="003A457D">
      <w:pPr>
        <w:spacing w:after="0" w:line="240" w:lineRule="auto"/>
        <w:jc w:val="both"/>
        <w:rPr>
          <w:rFonts w:ascii="Garamond" w:eastAsia="Garamond" w:hAnsi="Garamond" w:cs="Garamond"/>
          <w:b/>
          <w:sz w:val="24"/>
          <w:szCs w:val="24"/>
        </w:rPr>
      </w:pPr>
      <w:r w:rsidRPr="003A457D">
        <w:rPr>
          <w:rFonts w:ascii="Garamond" w:eastAsia="Garamond" w:hAnsi="Garamond" w:cs="Garamond"/>
          <w:b/>
          <w:sz w:val="24"/>
          <w:szCs w:val="24"/>
        </w:rPr>
        <w:t>ABSTRACT</w:t>
      </w:r>
    </w:p>
    <w:p w14:paraId="688AD8D7" w14:textId="53288655" w:rsidR="00197662" w:rsidRPr="003A457D" w:rsidRDefault="00197662" w:rsidP="003A457D">
      <w:pPr>
        <w:tabs>
          <w:tab w:val="left" w:pos="851"/>
          <w:tab w:val="left" w:pos="6237"/>
        </w:tabs>
        <w:autoSpaceDE w:val="0"/>
        <w:autoSpaceDN w:val="0"/>
        <w:adjustRightInd w:val="0"/>
        <w:jc w:val="both"/>
        <w:rPr>
          <w:rFonts w:ascii="Garamond" w:hAnsi="Garamond"/>
          <w:color w:val="2E2E2E"/>
          <w:sz w:val="24"/>
          <w:szCs w:val="24"/>
          <w:lang w:val="en-US"/>
        </w:rPr>
      </w:pPr>
      <w:r w:rsidRPr="003A457D">
        <w:rPr>
          <w:rFonts w:ascii="Garamond" w:hAnsi="Garamond"/>
          <w:sz w:val="24"/>
          <w:szCs w:val="24"/>
        </w:rPr>
        <w:t xml:space="preserve">This research explained the phases of the systematic process </w:t>
      </w:r>
      <w:r w:rsidRPr="003A457D">
        <w:rPr>
          <w:rFonts w:ascii="Garamond" w:hAnsi="Garamond"/>
          <w:sz w:val="24"/>
          <w:szCs w:val="24"/>
        </w:rPr>
        <w:t>of learning method</w:t>
      </w:r>
      <w:r w:rsidRPr="003A457D">
        <w:rPr>
          <w:rFonts w:ascii="Garamond" w:hAnsi="Garamond"/>
          <w:sz w:val="24"/>
          <w:szCs w:val="24"/>
        </w:rPr>
        <w:t xml:space="preserve">. </w:t>
      </w:r>
      <w:bookmarkStart w:id="0" w:name="_Hlk109754245"/>
      <w:r w:rsidRPr="003A457D">
        <w:rPr>
          <w:rFonts w:ascii="Garamond" w:hAnsi="Garamond"/>
          <w:color w:val="2E2E2E"/>
          <w:sz w:val="24"/>
          <w:szCs w:val="24"/>
        </w:rPr>
        <w:t xml:space="preserve">This study aims to examine the innovation of the role of religious teachers in the </w:t>
      </w:r>
      <w:r w:rsidRPr="003A457D">
        <w:rPr>
          <w:rFonts w:ascii="Garamond" w:hAnsi="Garamond"/>
          <w:color w:val="2E2E2E"/>
          <w:sz w:val="24"/>
          <w:szCs w:val="24"/>
        </w:rPr>
        <w:t>Counselling</w:t>
      </w:r>
      <w:r w:rsidRPr="003A457D">
        <w:rPr>
          <w:rFonts w:ascii="Garamond" w:hAnsi="Garamond"/>
          <w:color w:val="2E2E2E"/>
          <w:sz w:val="24"/>
          <w:szCs w:val="24"/>
        </w:rPr>
        <w:t xml:space="preserve"> Guidance of Elementary School Students through bibliometric studies from 2021-2022. VOS viewer application </w:t>
      </w:r>
      <w:r w:rsidRPr="003A457D">
        <w:rPr>
          <w:rFonts w:ascii="Garamond" w:hAnsi="Garamond"/>
          <w:color w:val="2E2E2E"/>
          <w:sz w:val="24"/>
          <w:szCs w:val="24"/>
        </w:rPr>
        <w:t>analyses</w:t>
      </w:r>
      <w:r w:rsidRPr="003A457D">
        <w:rPr>
          <w:rFonts w:ascii="Garamond" w:hAnsi="Garamond"/>
          <w:color w:val="2E2E2E"/>
          <w:sz w:val="24"/>
          <w:szCs w:val="24"/>
        </w:rPr>
        <w:t xml:space="preserve"> bibliographic reviews drawn from the most productive authors, journals, keywords, and citation references</w:t>
      </w:r>
      <w:r w:rsidRPr="003A457D">
        <w:rPr>
          <w:rFonts w:ascii="Garamond" w:hAnsi="Garamond"/>
          <w:color w:val="2E2E2E"/>
          <w:sz w:val="24"/>
          <w:szCs w:val="24"/>
          <w:lang w:val="en-US"/>
        </w:rPr>
        <w:t>. And then, t</w:t>
      </w:r>
      <w:r w:rsidRPr="003A457D">
        <w:rPr>
          <w:rFonts w:ascii="Garamond" w:hAnsi="Garamond"/>
          <w:color w:val="2E2E2E"/>
          <w:sz w:val="24"/>
          <w:szCs w:val="24"/>
        </w:rPr>
        <w:t xml:space="preserve">he relative growth rate and time needed to double have been calculated from 2021-2022. The study results indicate that the role of innovation as an Islamic religious education teacher is responsible for </w:t>
      </w:r>
      <w:r w:rsidRPr="003A457D">
        <w:rPr>
          <w:rFonts w:ascii="Garamond" w:hAnsi="Garamond"/>
          <w:color w:val="2E2E2E"/>
          <w:sz w:val="24"/>
          <w:szCs w:val="24"/>
        </w:rPr>
        <w:t>counselling</w:t>
      </w:r>
      <w:r w:rsidRPr="003A457D">
        <w:rPr>
          <w:rFonts w:ascii="Garamond" w:hAnsi="Garamond"/>
          <w:color w:val="2E2E2E"/>
          <w:sz w:val="24"/>
          <w:szCs w:val="24"/>
        </w:rPr>
        <w:t xml:space="preserve"> activities for elementary school students. The innovation component has an important role that can be achieved when implemented collaboratively in implementing the role of a religious teacher and </w:t>
      </w:r>
      <w:r w:rsidRPr="003A457D">
        <w:rPr>
          <w:rFonts w:ascii="Garamond" w:hAnsi="Garamond"/>
          <w:color w:val="2E2E2E"/>
          <w:sz w:val="24"/>
          <w:szCs w:val="24"/>
        </w:rPr>
        <w:t>counsellor</w:t>
      </w:r>
      <w:r w:rsidRPr="003A457D">
        <w:rPr>
          <w:rFonts w:ascii="Garamond" w:hAnsi="Garamond"/>
          <w:color w:val="2E2E2E"/>
          <w:sz w:val="24"/>
          <w:szCs w:val="24"/>
        </w:rPr>
        <w:t xml:space="preserve">, as for the novelty and contribution of the research, namely the study conducted in the innovation of the role of Islamic religious education teachers in conducting student </w:t>
      </w:r>
      <w:r w:rsidRPr="003A457D">
        <w:rPr>
          <w:rFonts w:ascii="Garamond" w:hAnsi="Garamond"/>
          <w:color w:val="2E2E2E"/>
          <w:sz w:val="24"/>
          <w:szCs w:val="24"/>
        </w:rPr>
        <w:t>counselling</w:t>
      </w:r>
      <w:r w:rsidRPr="003A457D">
        <w:rPr>
          <w:rFonts w:ascii="Garamond" w:hAnsi="Garamond"/>
          <w:color w:val="2E2E2E"/>
          <w:sz w:val="24"/>
          <w:szCs w:val="24"/>
        </w:rPr>
        <w:t xml:space="preserve"> guidance in elementary schools</w:t>
      </w:r>
      <w:r w:rsidRPr="003A457D">
        <w:rPr>
          <w:rFonts w:ascii="Garamond" w:hAnsi="Garamond"/>
          <w:noProof/>
          <w:sz w:val="24"/>
          <w:szCs w:val="24"/>
          <w:lang w:val="en-US"/>
        </w:rPr>
        <w:t>. This research contributes to showing the development and urgency of the learning method. Meanwhile, the limitation is that the articles reviewed were only sourced from Scopus.</w:t>
      </w:r>
      <w:bookmarkEnd w:id="0"/>
      <w:r w:rsidRPr="003A457D">
        <w:rPr>
          <w:rFonts w:ascii="Garamond" w:hAnsi="Garamond"/>
          <w:iCs/>
          <w:sz w:val="24"/>
          <w:szCs w:val="24"/>
          <w:lang w:val="en-US"/>
        </w:rPr>
        <w:t xml:space="preserve"> Therefore, this study suggests that future studies require a comparative analysis approach by implementing the Web of Science</w:t>
      </w:r>
      <w:r w:rsidRPr="003A457D">
        <w:rPr>
          <w:rFonts w:ascii="Garamond" w:hAnsi="Garamond"/>
          <w:iCs/>
          <w:sz w:val="24"/>
          <w:szCs w:val="24"/>
          <w:lang w:val="en-US"/>
        </w:rPr>
        <w:t>.</w:t>
      </w:r>
    </w:p>
    <w:p w14:paraId="24614A68" w14:textId="77777777" w:rsidR="00B84D5D" w:rsidRPr="003A457D" w:rsidRDefault="00000000" w:rsidP="003A457D">
      <w:pPr>
        <w:pStyle w:val="ICESTAbstract"/>
        <w:tabs>
          <w:tab w:val="left" w:pos="90"/>
        </w:tabs>
        <w:ind w:firstLine="0"/>
        <w:rPr>
          <w:rFonts w:ascii="Garamond" w:hAnsi="Garamond"/>
          <w:b w:val="0"/>
          <w:bCs/>
          <w:sz w:val="24"/>
          <w:lang w:eastAsia="en-GB"/>
        </w:rPr>
      </w:pPr>
      <w:r w:rsidRPr="003A457D">
        <w:rPr>
          <w:rFonts w:ascii="Garamond" w:eastAsia="Garamond" w:hAnsi="Garamond" w:cs="Garamond"/>
          <w:sz w:val="24"/>
        </w:rPr>
        <w:t xml:space="preserve">Keywords: </w:t>
      </w:r>
      <w:r w:rsidR="00B84D5D" w:rsidRPr="003A457D">
        <w:rPr>
          <w:rFonts w:ascii="Garamond" w:hAnsi="Garamond"/>
          <w:b w:val="0"/>
          <w:bCs/>
          <w:color w:val="2E2E2E"/>
          <w:kern w:val="36"/>
          <w:sz w:val="24"/>
        </w:rPr>
        <w:t>Education, teachers, teaching, learning</w:t>
      </w:r>
    </w:p>
    <w:p w14:paraId="526D9D47" w14:textId="43702C62" w:rsidR="00C271F2" w:rsidRPr="003A457D" w:rsidRDefault="00C271F2" w:rsidP="003A457D">
      <w:pPr>
        <w:spacing w:after="0" w:line="240" w:lineRule="auto"/>
        <w:jc w:val="both"/>
        <w:rPr>
          <w:rFonts w:ascii="Garamond" w:eastAsia="Garamond" w:hAnsi="Garamond" w:cs="Garamond"/>
          <w:sz w:val="24"/>
          <w:szCs w:val="24"/>
        </w:rPr>
      </w:pPr>
    </w:p>
    <w:p w14:paraId="52378CA0" w14:textId="77777777" w:rsidR="00C271F2" w:rsidRPr="003A457D" w:rsidRDefault="00C271F2" w:rsidP="003A457D">
      <w:pPr>
        <w:spacing w:after="0" w:line="240" w:lineRule="auto"/>
        <w:jc w:val="both"/>
        <w:rPr>
          <w:rFonts w:ascii="Garamond" w:eastAsia="Garamond" w:hAnsi="Garamond" w:cs="Garamond"/>
          <w:sz w:val="24"/>
          <w:szCs w:val="24"/>
        </w:rPr>
      </w:pPr>
    </w:p>
    <w:p w14:paraId="381ABC2E" w14:textId="77777777" w:rsidR="00C271F2" w:rsidRPr="003A457D" w:rsidRDefault="00000000" w:rsidP="003A457D">
      <w:pPr>
        <w:spacing w:after="0" w:line="240" w:lineRule="auto"/>
        <w:jc w:val="both"/>
        <w:rPr>
          <w:rFonts w:ascii="Garamond" w:eastAsia="Garamond" w:hAnsi="Garamond" w:cs="Garamond"/>
          <w:b/>
          <w:i/>
          <w:sz w:val="24"/>
          <w:szCs w:val="24"/>
        </w:rPr>
      </w:pPr>
      <w:r w:rsidRPr="003A457D">
        <w:rPr>
          <w:rFonts w:ascii="Garamond" w:eastAsia="Garamond" w:hAnsi="Garamond" w:cs="Garamond"/>
          <w:b/>
          <w:i/>
          <w:sz w:val="24"/>
          <w:szCs w:val="24"/>
        </w:rPr>
        <w:t>ABSTRAK</w:t>
      </w:r>
    </w:p>
    <w:p w14:paraId="74B1F352" w14:textId="56150302" w:rsidR="00C271F2" w:rsidRPr="003A457D" w:rsidRDefault="003A457D" w:rsidP="00DD7363">
      <w:pPr>
        <w:spacing w:after="120" w:line="240" w:lineRule="auto"/>
        <w:ind w:right="58"/>
        <w:jc w:val="both"/>
        <w:rPr>
          <w:rFonts w:ascii="Garamond" w:eastAsia="Garamond" w:hAnsi="Garamond" w:cs="Garamond"/>
          <w:i/>
          <w:sz w:val="24"/>
          <w:szCs w:val="24"/>
        </w:rPr>
      </w:pP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menjelaskan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tahapan-tahapan</w:t>
      </w:r>
      <w:proofErr w:type="spellEnd"/>
      <w:r w:rsidRPr="003A457D">
        <w:rPr>
          <w:rFonts w:ascii="Garamond" w:eastAsia="Garamond" w:hAnsi="Garamond" w:cs="Garamond"/>
          <w:i/>
          <w:sz w:val="24"/>
          <w:szCs w:val="24"/>
        </w:rPr>
        <w:t xml:space="preserve"> proses </w:t>
      </w:r>
      <w:proofErr w:type="spellStart"/>
      <w:r w:rsidRPr="003A457D">
        <w:rPr>
          <w:rFonts w:ascii="Garamond" w:eastAsia="Garamond" w:hAnsi="Garamond" w:cs="Garamond"/>
          <w:i/>
          <w:sz w:val="24"/>
          <w:szCs w:val="24"/>
        </w:rPr>
        <w:t>sistematis</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Metode</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Pembelajaran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bertujuan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untuk</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mengkaji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inovasi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peran</w:t>
      </w:r>
      <w:proofErr w:type="spellEnd"/>
      <w:r w:rsidRPr="003A457D">
        <w:rPr>
          <w:rFonts w:ascii="Garamond" w:eastAsia="Garamond" w:hAnsi="Garamond" w:cs="Garamond"/>
          <w:i/>
          <w:sz w:val="24"/>
          <w:szCs w:val="24"/>
        </w:rPr>
        <w:t xml:space="preserve"> guru agama </w:t>
      </w:r>
      <w:proofErr w:type="spellStart"/>
      <w:r w:rsidRPr="003A457D">
        <w:rPr>
          <w:rFonts w:ascii="Garamond" w:eastAsia="Garamond" w:hAnsi="Garamond" w:cs="Garamond"/>
          <w:i/>
          <w:sz w:val="24"/>
          <w:szCs w:val="24"/>
        </w:rPr>
        <w:t>dalam</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Bimbingan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Konseling</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Siswa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Sekolah</w:t>
      </w:r>
      <w:proofErr w:type="spellEnd"/>
      <w:r w:rsidRPr="003A457D">
        <w:rPr>
          <w:rFonts w:ascii="Garamond" w:eastAsia="Garamond" w:hAnsi="Garamond" w:cs="Garamond"/>
          <w:i/>
          <w:sz w:val="24"/>
          <w:szCs w:val="24"/>
        </w:rPr>
        <w:t xml:space="preserve"> Dasar </w:t>
      </w:r>
      <w:proofErr w:type="spellStart"/>
      <w:r w:rsidRPr="003A457D">
        <w:rPr>
          <w:rFonts w:ascii="Garamond" w:eastAsia="Garamond" w:hAnsi="Garamond" w:cs="Garamond"/>
          <w:i/>
          <w:sz w:val="24"/>
          <w:szCs w:val="24"/>
        </w:rPr>
        <w:t>melalui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studi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bibliometrik</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dari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tahun</w:t>
      </w:r>
      <w:proofErr w:type="spellEnd"/>
      <w:r w:rsidRPr="003A457D">
        <w:rPr>
          <w:rFonts w:ascii="Garamond" w:eastAsia="Garamond" w:hAnsi="Garamond" w:cs="Garamond"/>
          <w:i/>
          <w:sz w:val="24"/>
          <w:szCs w:val="24"/>
        </w:rPr>
        <w:t xml:space="preserve"> 2021-2022. </w:t>
      </w:r>
      <w:proofErr w:type="spellStart"/>
      <w:r w:rsidRPr="003A457D">
        <w:rPr>
          <w:rFonts w:ascii="Garamond" w:eastAsia="Garamond" w:hAnsi="Garamond" w:cs="Garamond"/>
          <w:i/>
          <w:sz w:val="24"/>
          <w:szCs w:val="24"/>
        </w:rPr>
        <w:t>Aplikasi</w:t>
      </w:r>
      <w:proofErr w:type="spellEnd"/>
      <w:r w:rsidRPr="003A457D">
        <w:rPr>
          <w:rFonts w:ascii="Garamond" w:eastAsia="Garamond" w:hAnsi="Garamond" w:cs="Garamond"/>
          <w:i/>
          <w:sz w:val="24"/>
          <w:szCs w:val="24"/>
        </w:rPr>
        <w:t xml:space="preserve"> </w:t>
      </w:r>
      <w:proofErr w:type="spellStart"/>
      <w:r w:rsidR="00DD7363">
        <w:rPr>
          <w:rFonts w:ascii="Garamond" w:eastAsia="Garamond" w:hAnsi="Garamond" w:cs="Garamond"/>
          <w:i/>
          <w:sz w:val="24"/>
          <w:szCs w:val="24"/>
        </w:rPr>
        <w:t>menggunakan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V</w:t>
      </w:r>
      <w:r w:rsidR="00DD7363">
        <w:rPr>
          <w:rFonts w:ascii="Garamond" w:eastAsia="Garamond" w:hAnsi="Garamond" w:cs="Garamond"/>
          <w:i/>
          <w:sz w:val="24"/>
          <w:szCs w:val="24"/>
        </w:rPr>
        <w:t>osviewer</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menganalisis</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ulasan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bibliografi</w:t>
      </w:r>
      <w:proofErr w:type="spellEnd"/>
      <w:r w:rsidRPr="003A457D">
        <w:rPr>
          <w:rFonts w:ascii="Garamond" w:eastAsia="Garamond" w:hAnsi="Garamond" w:cs="Garamond"/>
          <w:i/>
          <w:sz w:val="24"/>
          <w:szCs w:val="24"/>
        </w:rPr>
        <w:t xml:space="preserve"> yang </w:t>
      </w:r>
      <w:proofErr w:type="spellStart"/>
      <w:r w:rsidRPr="003A457D">
        <w:rPr>
          <w:rFonts w:ascii="Garamond" w:eastAsia="Garamond" w:hAnsi="Garamond" w:cs="Garamond"/>
          <w:i/>
          <w:sz w:val="24"/>
          <w:szCs w:val="24"/>
        </w:rPr>
        <w:t>diambil</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dari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penulis</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jurnal</w:t>
      </w:r>
      <w:proofErr w:type="spellEnd"/>
      <w:r w:rsidRPr="003A457D">
        <w:rPr>
          <w:rFonts w:ascii="Garamond" w:eastAsia="Garamond" w:hAnsi="Garamond" w:cs="Garamond"/>
          <w:i/>
          <w:sz w:val="24"/>
          <w:szCs w:val="24"/>
        </w:rPr>
        <w:t xml:space="preserve">, kata </w:t>
      </w:r>
      <w:proofErr w:type="spellStart"/>
      <w:r w:rsidRPr="003A457D">
        <w:rPr>
          <w:rFonts w:ascii="Garamond" w:eastAsia="Garamond" w:hAnsi="Garamond" w:cs="Garamond"/>
          <w:i/>
          <w:sz w:val="24"/>
          <w:szCs w:val="24"/>
        </w:rPr>
        <w:t>kunci</w:t>
      </w:r>
      <w:proofErr w:type="spellEnd"/>
      <w:r w:rsidRPr="003A457D">
        <w:rPr>
          <w:rFonts w:ascii="Garamond" w:eastAsia="Garamond" w:hAnsi="Garamond" w:cs="Garamond"/>
          <w:i/>
          <w:sz w:val="24"/>
          <w:szCs w:val="24"/>
        </w:rPr>
        <w:t xml:space="preserve">, dan </w:t>
      </w:r>
      <w:proofErr w:type="spellStart"/>
      <w:r w:rsidRPr="003A457D">
        <w:rPr>
          <w:rFonts w:ascii="Garamond" w:eastAsia="Garamond" w:hAnsi="Garamond" w:cs="Garamond"/>
          <w:i/>
          <w:sz w:val="24"/>
          <w:szCs w:val="24"/>
        </w:rPr>
        <w:t>referensi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kutipan</w:t>
      </w:r>
      <w:proofErr w:type="spellEnd"/>
      <w:r w:rsidRPr="003A457D">
        <w:rPr>
          <w:rFonts w:ascii="Garamond" w:eastAsia="Garamond" w:hAnsi="Garamond" w:cs="Garamond"/>
          <w:i/>
          <w:sz w:val="24"/>
          <w:szCs w:val="24"/>
        </w:rPr>
        <w:t xml:space="preserve"> yang paling </w:t>
      </w:r>
      <w:proofErr w:type="spellStart"/>
      <w:r w:rsidRPr="003A457D">
        <w:rPr>
          <w:rFonts w:ascii="Garamond" w:eastAsia="Garamond" w:hAnsi="Garamond" w:cs="Garamond"/>
          <w:i/>
          <w:sz w:val="24"/>
          <w:szCs w:val="24"/>
        </w:rPr>
        <w:t>produktif</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Kemudian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tingkat</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lastRenderedPageBreak/>
        <w:t>pertumbuhan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relatif</w:t>
      </w:r>
      <w:proofErr w:type="spellEnd"/>
      <w:r w:rsidRPr="003A457D">
        <w:rPr>
          <w:rFonts w:ascii="Garamond" w:eastAsia="Garamond" w:hAnsi="Garamond" w:cs="Garamond"/>
          <w:i/>
          <w:sz w:val="24"/>
          <w:szCs w:val="24"/>
        </w:rPr>
        <w:t xml:space="preserve"> dan </w:t>
      </w:r>
      <w:proofErr w:type="spellStart"/>
      <w:r w:rsidRPr="003A457D">
        <w:rPr>
          <w:rFonts w:ascii="Garamond" w:eastAsia="Garamond" w:hAnsi="Garamond" w:cs="Garamond"/>
          <w:i/>
          <w:sz w:val="24"/>
          <w:szCs w:val="24"/>
        </w:rPr>
        <w:t>waktu</w:t>
      </w:r>
      <w:proofErr w:type="spellEnd"/>
      <w:r w:rsidRPr="003A457D">
        <w:rPr>
          <w:rFonts w:ascii="Garamond" w:eastAsia="Garamond" w:hAnsi="Garamond" w:cs="Garamond"/>
          <w:i/>
          <w:sz w:val="24"/>
          <w:szCs w:val="24"/>
        </w:rPr>
        <w:t xml:space="preserve"> yang </w:t>
      </w:r>
      <w:proofErr w:type="spellStart"/>
      <w:r w:rsidRPr="003A457D">
        <w:rPr>
          <w:rFonts w:ascii="Garamond" w:eastAsia="Garamond" w:hAnsi="Garamond" w:cs="Garamond"/>
          <w:i/>
          <w:sz w:val="24"/>
          <w:szCs w:val="24"/>
        </w:rPr>
        <w:t>dibutuhkan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untuk</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menggandakan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telah</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dihitung</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dari</w:t>
      </w:r>
      <w:proofErr w:type="spellEnd"/>
      <w:r w:rsidRPr="003A457D">
        <w:rPr>
          <w:rFonts w:ascii="Garamond" w:eastAsia="Garamond" w:hAnsi="Garamond" w:cs="Garamond"/>
          <w:i/>
          <w:sz w:val="24"/>
          <w:szCs w:val="24"/>
        </w:rPr>
        <w:t xml:space="preserve"> 2021-2022. Hasil </w:t>
      </w: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menunjukkan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bahwa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inovasi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sebagai</w:t>
      </w:r>
      <w:proofErr w:type="spellEnd"/>
      <w:r w:rsidRPr="003A457D">
        <w:rPr>
          <w:rFonts w:ascii="Garamond" w:eastAsia="Garamond" w:hAnsi="Garamond" w:cs="Garamond"/>
          <w:i/>
          <w:sz w:val="24"/>
          <w:szCs w:val="24"/>
        </w:rPr>
        <w:t xml:space="preserve"> guru </w:t>
      </w:r>
      <w:proofErr w:type="spellStart"/>
      <w:r w:rsidRPr="003A457D">
        <w:rPr>
          <w:rFonts w:ascii="Garamond" w:eastAsia="Garamond" w:hAnsi="Garamond" w:cs="Garamond"/>
          <w:i/>
          <w:sz w:val="24"/>
          <w:szCs w:val="24"/>
        </w:rPr>
        <w:t>pendidikan</w:t>
      </w:r>
      <w:proofErr w:type="spellEnd"/>
      <w:r w:rsidRPr="003A457D">
        <w:rPr>
          <w:rFonts w:ascii="Garamond" w:eastAsia="Garamond" w:hAnsi="Garamond" w:cs="Garamond"/>
          <w:i/>
          <w:sz w:val="24"/>
          <w:szCs w:val="24"/>
        </w:rPr>
        <w:t xml:space="preserve"> agama Islam </w:t>
      </w:r>
      <w:proofErr w:type="spellStart"/>
      <w:r w:rsidRPr="003A457D">
        <w:rPr>
          <w:rFonts w:ascii="Garamond" w:eastAsia="Garamond" w:hAnsi="Garamond" w:cs="Garamond"/>
          <w:i/>
          <w:sz w:val="24"/>
          <w:szCs w:val="24"/>
        </w:rPr>
        <w:t>bertanggung</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jawab</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atas</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kegiatan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konseling</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bagi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siswa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sekolah</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dasar</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Komponen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inovasi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memiliki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penting</w:t>
      </w:r>
      <w:proofErr w:type="spellEnd"/>
      <w:r w:rsidRPr="003A457D">
        <w:rPr>
          <w:rFonts w:ascii="Garamond" w:eastAsia="Garamond" w:hAnsi="Garamond" w:cs="Garamond"/>
          <w:i/>
          <w:sz w:val="24"/>
          <w:szCs w:val="24"/>
        </w:rPr>
        <w:t xml:space="preserve"> yang </w:t>
      </w:r>
      <w:proofErr w:type="spellStart"/>
      <w:r w:rsidRPr="003A457D">
        <w:rPr>
          <w:rFonts w:ascii="Garamond" w:eastAsia="Garamond" w:hAnsi="Garamond" w:cs="Garamond"/>
          <w:i/>
          <w:sz w:val="24"/>
          <w:szCs w:val="24"/>
        </w:rPr>
        <w:t>dapat</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dicapai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apabila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diimplementasikan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secara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kolaboratif</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dalam</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melaksanakan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peran</w:t>
      </w:r>
      <w:proofErr w:type="spellEnd"/>
      <w:r w:rsidRPr="003A457D">
        <w:rPr>
          <w:rFonts w:ascii="Garamond" w:eastAsia="Garamond" w:hAnsi="Garamond" w:cs="Garamond"/>
          <w:i/>
          <w:sz w:val="24"/>
          <w:szCs w:val="24"/>
        </w:rPr>
        <w:t xml:space="preserve"> guru agama dan </w:t>
      </w:r>
      <w:proofErr w:type="spellStart"/>
      <w:r w:rsidRPr="003A457D">
        <w:rPr>
          <w:rFonts w:ascii="Garamond" w:eastAsia="Garamond" w:hAnsi="Garamond" w:cs="Garamond"/>
          <w:i/>
          <w:sz w:val="24"/>
          <w:szCs w:val="24"/>
        </w:rPr>
        <w:t>konselor</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adapun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kebaruan</w:t>
      </w:r>
      <w:proofErr w:type="spellEnd"/>
      <w:r w:rsidRPr="003A457D">
        <w:rPr>
          <w:rFonts w:ascii="Garamond" w:eastAsia="Garamond" w:hAnsi="Garamond" w:cs="Garamond"/>
          <w:i/>
          <w:sz w:val="24"/>
          <w:szCs w:val="24"/>
        </w:rPr>
        <w:t xml:space="preserve"> dan </w:t>
      </w:r>
      <w:proofErr w:type="spellStart"/>
      <w:r w:rsidRPr="003A457D">
        <w:rPr>
          <w:rFonts w:ascii="Garamond" w:eastAsia="Garamond" w:hAnsi="Garamond" w:cs="Garamond"/>
          <w:i/>
          <w:sz w:val="24"/>
          <w:szCs w:val="24"/>
        </w:rPr>
        <w:t>kontribusi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yaitu</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kajian</w:t>
      </w:r>
      <w:proofErr w:type="spellEnd"/>
      <w:r w:rsidRPr="003A457D">
        <w:rPr>
          <w:rFonts w:ascii="Garamond" w:eastAsia="Garamond" w:hAnsi="Garamond" w:cs="Garamond"/>
          <w:i/>
          <w:sz w:val="24"/>
          <w:szCs w:val="24"/>
        </w:rPr>
        <w:t xml:space="preserve"> yang </w:t>
      </w:r>
      <w:proofErr w:type="spellStart"/>
      <w:r w:rsidRPr="003A457D">
        <w:rPr>
          <w:rFonts w:ascii="Garamond" w:eastAsia="Garamond" w:hAnsi="Garamond" w:cs="Garamond"/>
          <w:i/>
          <w:sz w:val="24"/>
          <w:szCs w:val="24"/>
        </w:rPr>
        <w:t>dilakukan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dalam</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inovasi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peran</w:t>
      </w:r>
      <w:proofErr w:type="spellEnd"/>
      <w:r w:rsidRPr="003A457D">
        <w:rPr>
          <w:rFonts w:ascii="Garamond" w:eastAsia="Garamond" w:hAnsi="Garamond" w:cs="Garamond"/>
          <w:i/>
          <w:sz w:val="24"/>
          <w:szCs w:val="24"/>
        </w:rPr>
        <w:t xml:space="preserve"> guru </w:t>
      </w:r>
      <w:proofErr w:type="spellStart"/>
      <w:r w:rsidRPr="003A457D">
        <w:rPr>
          <w:rFonts w:ascii="Garamond" w:eastAsia="Garamond" w:hAnsi="Garamond" w:cs="Garamond"/>
          <w:i/>
          <w:sz w:val="24"/>
          <w:szCs w:val="24"/>
        </w:rPr>
        <w:t>pendidikan</w:t>
      </w:r>
      <w:proofErr w:type="spellEnd"/>
      <w:r w:rsidRPr="003A457D">
        <w:rPr>
          <w:rFonts w:ascii="Garamond" w:eastAsia="Garamond" w:hAnsi="Garamond" w:cs="Garamond"/>
          <w:i/>
          <w:sz w:val="24"/>
          <w:szCs w:val="24"/>
        </w:rPr>
        <w:t xml:space="preserve"> agama Islam. </w:t>
      </w:r>
      <w:proofErr w:type="spellStart"/>
      <w:r w:rsidRPr="003A457D">
        <w:rPr>
          <w:rFonts w:ascii="Garamond" w:eastAsia="Garamond" w:hAnsi="Garamond" w:cs="Garamond"/>
          <w:i/>
          <w:sz w:val="24"/>
          <w:szCs w:val="24"/>
        </w:rPr>
        <w:t>dalam</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melakukan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bimbingan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konseling</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siswa</w:t>
      </w:r>
      <w:proofErr w:type="spellEnd"/>
      <w:r w:rsidRPr="003A457D">
        <w:rPr>
          <w:rFonts w:ascii="Garamond" w:eastAsia="Garamond" w:hAnsi="Garamond" w:cs="Garamond"/>
          <w:i/>
          <w:sz w:val="24"/>
          <w:szCs w:val="24"/>
        </w:rPr>
        <w:t xml:space="preserve"> di </w:t>
      </w:r>
      <w:proofErr w:type="spellStart"/>
      <w:r w:rsidRPr="003A457D">
        <w:rPr>
          <w:rFonts w:ascii="Garamond" w:eastAsia="Garamond" w:hAnsi="Garamond" w:cs="Garamond"/>
          <w:i/>
          <w:sz w:val="24"/>
          <w:szCs w:val="24"/>
        </w:rPr>
        <w:t>sekolah</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dasar</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memberikan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kontribusi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untuk</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menunjukkan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perkembangan</w:t>
      </w:r>
      <w:proofErr w:type="spellEnd"/>
      <w:r w:rsidRPr="003A457D">
        <w:rPr>
          <w:rFonts w:ascii="Garamond" w:eastAsia="Garamond" w:hAnsi="Garamond" w:cs="Garamond"/>
          <w:i/>
          <w:sz w:val="24"/>
          <w:szCs w:val="24"/>
        </w:rPr>
        <w:t xml:space="preserve"> dan </w:t>
      </w:r>
      <w:proofErr w:type="spellStart"/>
      <w:r w:rsidRPr="003A457D">
        <w:rPr>
          <w:rFonts w:ascii="Garamond" w:eastAsia="Garamond" w:hAnsi="Garamond" w:cs="Garamond"/>
          <w:i/>
          <w:sz w:val="24"/>
          <w:szCs w:val="24"/>
        </w:rPr>
        <w:t>urgensi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metode</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pembelajaran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Sedangkan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batasannya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adalah</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artikel</w:t>
      </w:r>
      <w:proofErr w:type="spellEnd"/>
      <w:r w:rsidRPr="003A457D">
        <w:rPr>
          <w:rFonts w:ascii="Garamond" w:eastAsia="Garamond" w:hAnsi="Garamond" w:cs="Garamond"/>
          <w:i/>
          <w:sz w:val="24"/>
          <w:szCs w:val="24"/>
        </w:rPr>
        <w:t xml:space="preserve"> yang </w:t>
      </w:r>
      <w:proofErr w:type="spellStart"/>
      <w:r w:rsidRPr="003A457D">
        <w:rPr>
          <w:rFonts w:ascii="Garamond" w:eastAsia="Garamond" w:hAnsi="Garamond" w:cs="Garamond"/>
          <w:i/>
          <w:sz w:val="24"/>
          <w:szCs w:val="24"/>
        </w:rPr>
        <w:t>direview</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hanya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bersumber</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dari</w:t>
      </w:r>
      <w:proofErr w:type="spellEnd"/>
      <w:r w:rsidRPr="003A457D">
        <w:rPr>
          <w:rFonts w:ascii="Garamond" w:eastAsia="Garamond" w:hAnsi="Garamond" w:cs="Garamond"/>
          <w:i/>
          <w:sz w:val="24"/>
          <w:szCs w:val="24"/>
        </w:rPr>
        <w:t xml:space="preserve"> Scopus. Oleh </w:t>
      </w:r>
      <w:proofErr w:type="spellStart"/>
      <w:r w:rsidRPr="003A457D">
        <w:rPr>
          <w:rFonts w:ascii="Garamond" w:eastAsia="Garamond" w:hAnsi="Garamond" w:cs="Garamond"/>
          <w:i/>
          <w:sz w:val="24"/>
          <w:szCs w:val="24"/>
        </w:rPr>
        <w:t>karena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itu</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ini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menyarankan</w:t>
      </w:r>
      <w:proofErr w:type="spellEnd"/>
      <w:r w:rsidRPr="003A457D">
        <w:rPr>
          <w:rFonts w:ascii="Garamond" w:eastAsia="Garamond" w:hAnsi="Garamond" w:cs="Garamond"/>
          <w:i/>
          <w:sz w:val="24"/>
          <w:szCs w:val="24"/>
        </w:rPr>
        <w:t xml:space="preserve"> agar </w:t>
      </w:r>
      <w:proofErr w:type="spellStart"/>
      <w:r w:rsidRPr="003A457D">
        <w:rPr>
          <w:rFonts w:ascii="Garamond" w:eastAsia="Garamond" w:hAnsi="Garamond" w:cs="Garamond"/>
          <w:i/>
          <w:sz w:val="24"/>
          <w:szCs w:val="24"/>
        </w:rPr>
        <w:t>penelitian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selanjutnya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memerlukan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pendekatan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analisis</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komparatif</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dengan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mengimplementasikan</w:t>
      </w:r>
      <w:proofErr w:type="spellEnd"/>
      <w:r w:rsidRPr="003A457D">
        <w:rPr>
          <w:rFonts w:ascii="Garamond" w:eastAsia="Garamond" w:hAnsi="Garamond" w:cs="Garamond"/>
          <w:i/>
          <w:sz w:val="24"/>
          <w:szCs w:val="24"/>
        </w:rPr>
        <w:t xml:space="preserve"> database Web of Science (</w:t>
      </w:r>
      <w:proofErr w:type="spellStart"/>
      <w:r w:rsidRPr="003A457D">
        <w:rPr>
          <w:rFonts w:ascii="Garamond" w:eastAsia="Garamond" w:hAnsi="Garamond" w:cs="Garamond"/>
          <w:i/>
          <w:sz w:val="24"/>
          <w:szCs w:val="24"/>
        </w:rPr>
        <w:t>WoS</w:t>
      </w:r>
      <w:proofErr w:type="spellEnd"/>
      <w:r w:rsidRPr="003A457D">
        <w:rPr>
          <w:rFonts w:ascii="Garamond" w:eastAsia="Garamond" w:hAnsi="Garamond" w:cs="Garamond"/>
          <w:i/>
          <w:sz w:val="24"/>
          <w:szCs w:val="24"/>
        </w:rPr>
        <w:t xml:space="preserve">) dan </w:t>
      </w:r>
      <w:proofErr w:type="spellStart"/>
      <w:r w:rsidRPr="003A457D">
        <w:rPr>
          <w:rFonts w:ascii="Garamond" w:eastAsia="Garamond" w:hAnsi="Garamond" w:cs="Garamond"/>
          <w:i/>
          <w:sz w:val="24"/>
          <w:szCs w:val="24"/>
        </w:rPr>
        <w:t>menambah</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durasi</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periode</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pencarian</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artikel</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terbaru</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khususnya</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metode</w:t>
      </w:r>
      <w:proofErr w:type="spellEnd"/>
      <w:r w:rsidRPr="003A457D">
        <w:rPr>
          <w:rFonts w:ascii="Garamond" w:eastAsia="Garamond" w:hAnsi="Garamond" w:cs="Garamond"/>
          <w:i/>
          <w:sz w:val="24"/>
          <w:szCs w:val="24"/>
        </w:rPr>
        <w:t xml:space="preserve"> </w:t>
      </w:r>
      <w:proofErr w:type="spellStart"/>
      <w:r w:rsidRPr="003A457D">
        <w:rPr>
          <w:rFonts w:ascii="Garamond" w:eastAsia="Garamond" w:hAnsi="Garamond" w:cs="Garamond"/>
          <w:i/>
          <w:sz w:val="24"/>
          <w:szCs w:val="24"/>
        </w:rPr>
        <w:t>pembelajaran</w:t>
      </w:r>
      <w:proofErr w:type="spellEnd"/>
      <w:r w:rsidRPr="003A457D">
        <w:rPr>
          <w:rFonts w:ascii="Garamond" w:eastAsia="Garamond" w:hAnsi="Garamond" w:cs="Garamond"/>
          <w:i/>
          <w:sz w:val="24"/>
          <w:szCs w:val="24"/>
        </w:rPr>
        <w:t>.</w:t>
      </w:r>
    </w:p>
    <w:p w14:paraId="69D07CFC" w14:textId="7AC71E18" w:rsidR="00C271F2" w:rsidRPr="003A457D" w:rsidRDefault="00000000" w:rsidP="003A457D">
      <w:pPr>
        <w:spacing w:after="360" w:line="240" w:lineRule="auto"/>
        <w:jc w:val="both"/>
        <w:rPr>
          <w:rFonts w:ascii="Garamond" w:eastAsia="Garamond" w:hAnsi="Garamond" w:cs="Garamond"/>
          <w:i/>
          <w:sz w:val="24"/>
          <w:szCs w:val="24"/>
        </w:rPr>
      </w:pPr>
      <w:r w:rsidRPr="003A457D">
        <w:rPr>
          <w:rFonts w:ascii="Garamond" w:eastAsia="Garamond" w:hAnsi="Garamond" w:cs="Garamond"/>
          <w:i/>
          <w:sz w:val="24"/>
          <w:szCs w:val="24"/>
        </w:rPr>
        <w:t xml:space="preserve">Kata </w:t>
      </w:r>
      <w:proofErr w:type="spellStart"/>
      <w:r w:rsidRPr="003A457D">
        <w:rPr>
          <w:rFonts w:ascii="Garamond" w:eastAsia="Garamond" w:hAnsi="Garamond" w:cs="Garamond"/>
          <w:i/>
          <w:sz w:val="24"/>
          <w:szCs w:val="24"/>
        </w:rPr>
        <w:t>Kunci</w:t>
      </w:r>
      <w:proofErr w:type="spellEnd"/>
      <w:r w:rsidRPr="003A457D">
        <w:rPr>
          <w:rFonts w:ascii="Garamond" w:eastAsia="Garamond" w:hAnsi="Garamond" w:cs="Garamond"/>
          <w:i/>
          <w:sz w:val="24"/>
          <w:szCs w:val="24"/>
        </w:rPr>
        <w:t xml:space="preserve">: </w:t>
      </w:r>
      <w:r w:rsidR="00DD7363">
        <w:rPr>
          <w:rFonts w:ascii="Garamond" w:eastAsia="Garamond" w:hAnsi="Garamond" w:cs="Garamond"/>
          <w:i/>
          <w:sz w:val="24"/>
          <w:szCs w:val="24"/>
        </w:rPr>
        <w:t xml:space="preserve">Pendidikan, guru, </w:t>
      </w:r>
      <w:proofErr w:type="spellStart"/>
      <w:r w:rsidR="00DD7363">
        <w:rPr>
          <w:rFonts w:ascii="Garamond" w:eastAsia="Garamond" w:hAnsi="Garamond" w:cs="Garamond"/>
          <w:i/>
          <w:sz w:val="24"/>
          <w:szCs w:val="24"/>
        </w:rPr>
        <w:t>pengajaran</w:t>
      </w:r>
      <w:proofErr w:type="spellEnd"/>
      <w:r w:rsidR="00DD7363">
        <w:rPr>
          <w:rFonts w:ascii="Garamond" w:eastAsia="Garamond" w:hAnsi="Garamond" w:cs="Garamond"/>
          <w:i/>
          <w:sz w:val="24"/>
          <w:szCs w:val="24"/>
        </w:rPr>
        <w:t xml:space="preserve">, </w:t>
      </w:r>
      <w:proofErr w:type="spellStart"/>
      <w:r w:rsidR="00DD7363">
        <w:rPr>
          <w:rFonts w:ascii="Garamond" w:eastAsia="Garamond" w:hAnsi="Garamond" w:cs="Garamond"/>
          <w:i/>
          <w:sz w:val="24"/>
          <w:szCs w:val="24"/>
        </w:rPr>
        <w:t>pembelajaran</w:t>
      </w:r>
      <w:proofErr w:type="spellEnd"/>
    </w:p>
    <w:p w14:paraId="7E57B479" w14:textId="77777777" w:rsidR="00C271F2" w:rsidRPr="003A457D" w:rsidRDefault="00000000" w:rsidP="003A457D">
      <w:pPr>
        <w:spacing w:after="0" w:line="240" w:lineRule="auto"/>
        <w:jc w:val="both"/>
        <w:rPr>
          <w:rFonts w:ascii="Garamond" w:eastAsia="Garamond" w:hAnsi="Garamond" w:cs="Garamond"/>
          <w:b/>
          <w:sz w:val="24"/>
          <w:szCs w:val="24"/>
        </w:rPr>
      </w:pPr>
      <w:r w:rsidRPr="003A457D">
        <w:rPr>
          <w:rFonts w:ascii="Garamond" w:eastAsia="Garamond" w:hAnsi="Garamond" w:cs="Garamond"/>
          <w:b/>
          <w:sz w:val="24"/>
          <w:szCs w:val="24"/>
        </w:rPr>
        <w:t xml:space="preserve">INTRODUCTION </w:t>
      </w:r>
    </w:p>
    <w:p w14:paraId="2B7404B2" w14:textId="77777777" w:rsidR="00197662" w:rsidRPr="003A457D" w:rsidRDefault="00197662" w:rsidP="003A457D">
      <w:pPr>
        <w:ind w:left="360"/>
        <w:jc w:val="both"/>
        <w:rPr>
          <w:rFonts w:ascii="Garamond" w:hAnsi="Garamond"/>
          <w:b/>
          <w:sz w:val="24"/>
          <w:szCs w:val="24"/>
        </w:rPr>
      </w:pPr>
    </w:p>
    <w:p w14:paraId="1CE4F5B6" w14:textId="77777777" w:rsidR="00197662" w:rsidRPr="003A457D" w:rsidRDefault="00197662" w:rsidP="003A457D">
      <w:pPr>
        <w:shd w:val="clear" w:color="auto" w:fill="FFFFFF"/>
        <w:ind w:firstLine="720"/>
        <w:jc w:val="both"/>
        <w:outlineLvl w:val="0"/>
        <w:rPr>
          <w:rFonts w:ascii="Garamond" w:hAnsi="Garamond"/>
          <w:noProof/>
          <w:sz w:val="24"/>
          <w:szCs w:val="24"/>
          <w:lang w:val="en-US"/>
        </w:rPr>
      </w:pPr>
      <w:r w:rsidRPr="003A457D">
        <w:rPr>
          <w:rFonts w:ascii="Garamond" w:hAnsi="Garamond"/>
          <w:sz w:val="24"/>
          <w:szCs w:val="24"/>
        </w:rPr>
        <w:t>In the world of the COVID-19 Pandemic, it has forced the shift from a teaching model to online learning at the university level globally. The creative teaching process is critical in the Covid-19 era, so a conceptual analysis process, interactive dialogue, and reflection are needed in conducting the online learning process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{"citationID":"JmSlRBhN","properties":{"formattedCitation":"(Kadiyono et al. 2020)","plainCitation":"(Kadiyono et al. 2020)","noteIndex":0},"citationItems":[{"id":15,"uris":["http://zotero.org/users/local/GmZiI9vO/items/LQWXY66B"],"itemData":{"id":15,"type":"article-journal","abstract":"This study aims to analyze the effect of transformational leadership styles. Transactional, democratic, authocratic, bureaucratic and charismatic on the performance of primary school teachers in education 4.0 era. The method used in this research is quantitative method. Data collection was carried out by distributing an electronic questionnaire online to all 222 elementary school teachers in Jakarta. Online electronic questionnaires were distributed using simple random sampling technique. Software for data processing is PLS and uses SmartPLS version 3.0. The result of this study are transactional leadership, transformational, democratic leadership, autocratic leadership, bureaucratic leadership and charismatic leadership style has a positive and significant effect on teacher</w:instrText>
      </w:r>
      <w:r w:rsidRPr="003A457D">
        <w:rPr>
          <w:rFonts w:ascii="Garamond" w:hAnsi="Garamond" w:cs="Garamond"/>
          <w:sz w:val="24"/>
          <w:szCs w:val="24"/>
        </w:rPr>
        <w:instrText></w:instrText>
      </w:r>
      <w:r w:rsidRPr="003A457D">
        <w:rPr>
          <w:rFonts w:ascii="Garamond" w:hAnsi="Garamond"/>
          <w:sz w:val="24"/>
          <w:szCs w:val="24"/>
        </w:rPr>
        <w:instrText xml:space="preserve">s performance.","container-title":"Systematic Reviews in Pharmacy","page":"363-373","title":"Develop Leadership Style Model for Indonesian Teachers Performance in Education 4.0 Era","URL":"https://semanticscholar.org/paper/d3dc3f8b78a98279a8aad60f0bbe614cce41f736","volume":"11","author":[{"family":"Kadiyono","given":"A."},{"family":"Sulistiobudi","given":"Rezki Ashriyana"},{"family":"Haris","given":"I."},{"family":"Wahab","given":"Mohd Hanif Abdul"},{"family":"Ramdani","given":"I."},{"family":"Purwanto","given":"A."},{"family":"Mufid","given":"A."},{"family":"Muqtada","given":"Muhammad Rikza"},{"family":"Gufron","given":"M."},{"family":"Nuryansah","given":"Mohamad"},{"family":"Ficayuma","given":"Lina Aris"},{"family":"Fahlevi","given":"M."},{"family":"Sumartiningsih","given":"Susila"}],"issued":{"date-parts":[["2020"]]}}}],"schema":"https://github.com/citation-style-language/schema/raw/master/csl-citation.json"}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Kadiyono</w:t>
      </w:r>
      <w:proofErr w:type="spellEnd"/>
      <w:r w:rsidRPr="003A457D">
        <w:rPr>
          <w:rFonts w:ascii="Garamond" w:hAnsi="Garamond"/>
          <w:sz w:val="24"/>
          <w:szCs w:val="24"/>
        </w:rPr>
        <w:t xml:space="preserve"> et al., 2020)</w:t>
      </w:r>
      <w:r w:rsidRPr="003A457D">
        <w:rPr>
          <w:rFonts w:ascii="Garamond" w:hAnsi="Garamond"/>
          <w:sz w:val="24"/>
          <w:szCs w:val="24"/>
        </w:rPr>
        <w:fldChar w:fldCharType="end"/>
      </w:r>
      <w:r w:rsidRPr="003A457D">
        <w:rPr>
          <w:rFonts w:ascii="Garamond" w:hAnsi="Garamond"/>
          <w:noProof/>
          <w:sz w:val="24"/>
          <w:szCs w:val="24"/>
        </w:rPr>
        <w:t>. Therefore, online teaching quality is the key to student's academic success, especially in the Covid-19 era, and students' entire motivation is needed</w:t>
      </w:r>
      <w:r w:rsidRPr="003A457D">
        <w:rPr>
          <w:rFonts w:ascii="Garamond" w:hAnsi="Garamond"/>
          <w:noProof/>
          <w:sz w:val="24"/>
          <w:szCs w:val="24"/>
          <w:lang w:val="en-US"/>
        </w:rPr>
        <w:t xml:space="preserve"> </w:t>
      </w:r>
      <w:r w:rsidRPr="003A457D">
        <w:rPr>
          <w:rFonts w:ascii="Garamond" w:hAnsi="Garamond"/>
          <w:noProof/>
          <w:sz w:val="24"/>
          <w:szCs w:val="24"/>
        </w:rPr>
        <w:fldChar w:fldCharType="begin"/>
      </w:r>
      <w:r w:rsidRPr="003A457D">
        <w:rPr>
          <w:rFonts w:ascii="Garamond" w:hAnsi="Garamond"/>
          <w:noProof/>
          <w:sz w:val="24"/>
          <w:szCs w:val="24"/>
        </w:rPr>
        <w:instrText xml:space="preserve"> ADDIN ZOTERO_ITEM CSL_CITATION {"citationID":"nVjmWqBV","properties":{"formattedCitation":"(Supriadi et al. 2020)","plainCitation":"(Supriadi et al. 2020)","noteIndex":0},"citationItems":[{"id":14,"uris":["http://zotero.org/users/local/GmZiI9vO/items/QV99CFBV"],"itemData":{"id":14,"type":"article-journal","abstract":"This study aims to analyze and calculate the influence of transformational, transactional leadership and organizational learning on the innovation capabilities of teachers in Islamic schools in Jakarta during the COVID-19 pandemic This research uses quantitative methods and data collection was carried out by simple random sampling electronically using an online questionnaire to the population of teachers in Islamic schools in Jakarta at the COVID-19 pandemic The results of the questionnaire were returned and valid as many as 140 respondents Data processing using SEM method with SmartPLS 3 0 software The results of this study indicate that transformational leadership has a positive and significant effect on the innovation capabilities of teachers Transactional leadership has a positive and significant effect on teachers' innovation abilities The learning organization has a positive and significant effect on the innovation ability of teachers Novelty of this new research proposes a model for building innovation capabilities among teachers through transformational and transactional leadership and organizational learning This research can be used as a reference for future research and can be applied in other places","container-title":"Systematic Reviews in Pharmacy","DOI":"10.31838/SRP.2020.9.47","page":"299-311","title":"Did transformational, transactional leadership style and organizational learning influence innovation capabilities of school teachers during covid-19 pandemic?","URL":"https://semanticscholar.org/paper/a2467385a36ffdc5771968b01311c7a6a9944cab","volume":"11","author":[{"family":"Supriadi","given":"Oding"},{"family":"Musthan","given":"Zulkifli"},{"literal":"Sa'odah"},{"family":"Nurjehan","given":"Rizki"},{"family":"Haryanti","given":"Y."},{"family":"Marwal","given":"M. R."},{"family":"Purwanto","given":"A."},{"family":"Mufid","given":"A."},{"family":"Yulianto","given":"Rohmad Adi"},{"family":"Farhan","given":"Moh"},{"family":"Fitri","given":"A."},{"family":"Fahlevi","given":"M."},{"family":"Sumartiningsih","given":"Susila"}],"issued":{"date-parts":[["2020"]]}}}],"schema":"https://github.com/citation-style-language/schema/raw/master/csl-citation.json"} </w:instrText>
      </w:r>
      <w:r w:rsidRPr="003A457D">
        <w:rPr>
          <w:rFonts w:ascii="Garamond" w:hAnsi="Garamond"/>
          <w:noProof/>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Supriadi</w:t>
      </w:r>
      <w:proofErr w:type="spellEnd"/>
      <w:r w:rsidRPr="003A457D">
        <w:rPr>
          <w:rFonts w:ascii="Garamond" w:hAnsi="Garamond"/>
          <w:sz w:val="24"/>
          <w:szCs w:val="24"/>
        </w:rPr>
        <w:t xml:space="preserve"> et al. 2020)</w:t>
      </w:r>
      <w:r w:rsidRPr="003A457D">
        <w:rPr>
          <w:rFonts w:ascii="Garamond" w:hAnsi="Garamond"/>
          <w:noProof/>
          <w:sz w:val="24"/>
          <w:szCs w:val="24"/>
        </w:rPr>
        <w:fldChar w:fldCharType="end"/>
      </w:r>
      <w:r w:rsidRPr="003A457D">
        <w:rPr>
          <w:rFonts w:ascii="Garamond" w:hAnsi="Garamond"/>
          <w:noProof/>
          <w:sz w:val="24"/>
          <w:szCs w:val="24"/>
        </w:rPr>
        <w:t xml:space="preserve">. With the existence of a learning environment method, the impact is directly or indirectly influenced by great educators. </w:t>
      </w:r>
      <w:r w:rsidRPr="003A457D">
        <w:rPr>
          <w:rFonts w:ascii="Garamond" w:hAnsi="Garamond"/>
          <w:noProof/>
          <w:sz w:val="24"/>
          <w:szCs w:val="24"/>
          <w:lang w:val="en-US"/>
        </w:rPr>
        <w:t>L</w:t>
      </w:r>
      <w:r w:rsidRPr="003A457D">
        <w:rPr>
          <w:rFonts w:ascii="Garamond" w:hAnsi="Garamond"/>
          <w:noProof/>
          <w:sz w:val="24"/>
          <w:szCs w:val="24"/>
        </w:rPr>
        <w:t>earning method for studying objective and visual class models in order to achieve excellent classification results in achieving the goals to be achieved</w:t>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{"citationID":"nzzbAicv","properties":{"formattedCitation":"(Agarwal and Roth 2002)","plainCitation":"(Agarwal and Roth 2002)","noteIndex":0},"citationItems":[{"id":1201,"uris":["http://zotero.org/users/local/GmZiI9vO/items/3D7AUYK7"],"itemData":{"id":1201,"type":"article-journal","abstract":"We present an approach for learning to detect objects in still gray images, that is based on a sparse, part-based representation of objects. A vocabulary of information-rich object parts is automatically constructed from a set of sample images of the object class of interest. Images are then represented using parts from this vocabulary, along with spatial relations observed among them. Based on this representation, a feature-efficient learning algorithm is used to learn to detect instances of the object class. The framework developed can be applied to any object with distinguishable parts in a relatively fixed spatial configuration. We report experiments on images of side views of cars. Our experiments show that the method achieves high detection accuracy on a difficult test set of real-world images, and is highly robust to partial occlusion and background variation.In addition, we discuss and offer solutions to several methodological issues that are significant for the research community to be able to evaluate object detection approaches.","DOI":"10.1007/3-540-47979-1_8","title":"Learning a Sparse Representation for Object Detection","URL":"https://www.semanticscholar.org/paper/3d081b80b1850df9b1e382f97a7a244890d6485e","author":[{"family":"Agarwal","given":"S."},{"family":"Roth","given":"D."}],"issued":{"date-parts":[["2002"]]}}}],"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(Agarwal and Roth 2002)</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{"citationID":"B65MUbxB","properties":{"formattedCitation":"(Agarwal and Roth 2002)","plainCitation":"(Agarwal and Roth 2002)","noteIndex":0},"citationItems":[{"id":1201,"uris":["http://zotero.org/users/local/GmZiI9vO/items/3D7AUYK7"],"itemData":{"id":1201,"type":"article-journal","abstract":"We present an approach for learning to detect objects in still gray images, that is based on a sparse, part-based representation of objects. A vocabulary of information-rich object parts is automatically constructed from a set of sample images of the object class of interest. Images are then represented using parts from this vocabulary, along with spatial relations observed among them. Based on this representation, a feature-efficient learning algorithm is used to learn to detect instances of the object class. The framework developed can be applied to any object with distinguishable parts in a relatively fixed spatial configuration. We report experiments on images of side views of cars. Our experiments show that the method achieves high detection accuracy on a difficult test set of real-world images, and is highly robust to partial occlusion and background variation.In addition, we discuss and offer solutions to several methodological issues that are significant for the research community to be able to evaluate object detection approaches.","DOI":"10.1007/3-540-47979-1_8","title":"Learning a Sparse Representation for Object Detection","URL":"https://www.semanticscholar.org/paper/3d081b80b1850df9b1e382f97a7a244890d6485e","author":[{"family":"Agarwal","given":"S."},{"family":"Roth","given":"D."}],"issued":{"date-parts":[["2002"]]}}}],"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(Agarwal and Roth 2002)</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{"citationID":"FhS0pchD","properties":{"formattedCitation":"(Rowley, Baluja, and Kanade 1998)","plainCitation":"(Rowley, Baluja, and Kanade 1998)","noteIndex":0},"citationItems":[{"id":1198,"uris":["http://zotero.org/users/local/GmZiI9vO/items/QKKE737H"],"itemData":{"id":1198,"type":"article-journal","abstract":"We present a neural network-based upright frontal face detection system. A retinally connected neural network examines small windows of an image and decides whether each window contains a face. The system arbitrates between multiple networks to improve performance over a single network. We present a straightforward procedure for aligning positive face examples for training. To collect negative examples, we use a bootstrap algorithm, which adds false detections into the training set as training progresses. This eliminates the difficult task of manually selecting nonface training examples, which must be chosen to span the entire space of nonface images. Simple heuristics, such as using the fact that faces rarely overlap in images, can further improve the accuracy. Comparisons with several other state-of-the-art face detection systems are presented, showing that our system has comparable performance in terms of detection and false-positive rates.","container-title":"IEEE Trans. Pattern Anal. Mach. Intell.","DOI":"10.1109/34.655647","page":"23-38","title":"Neural Network-Based Face Detection","URL":"https://www.semanticscholar.org/paper/3d76ef8e61395a6e9c32627f1f108772d084e2e9","volume":"20","author":[{"family":"Rowley","given":"H."},{"family":"Baluja","given":"S."},{"family":"Kanade","given":"T."}],"issued":{"date-parts":[["1998"]]}}}],"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 xml:space="preserve">(Rowley, </w:t>
      </w:r>
      <w:proofErr w:type="spellStart"/>
      <w:r w:rsidRPr="003A457D">
        <w:rPr>
          <w:rFonts w:ascii="Garamond" w:hAnsi="Garamond"/>
          <w:sz w:val="24"/>
          <w:szCs w:val="24"/>
        </w:rPr>
        <w:t>Baluja</w:t>
      </w:r>
      <w:proofErr w:type="spellEnd"/>
      <w:r w:rsidRPr="003A457D">
        <w:rPr>
          <w:rFonts w:ascii="Garamond" w:hAnsi="Garamond"/>
          <w:sz w:val="24"/>
          <w:szCs w:val="24"/>
        </w:rPr>
        <w:t xml:space="preserve">, and </w:t>
      </w:r>
      <w:proofErr w:type="spellStart"/>
      <w:r w:rsidRPr="003A457D">
        <w:rPr>
          <w:rFonts w:ascii="Garamond" w:hAnsi="Garamond"/>
          <w:sz w:val="24"/>
          <w:szCs w:val="24"/>
        </w:rPr>
        <w:t>Kanade</w:t>
      </w:r>
      <w:proofErr w:type="spellEnd"/>
      <w:r w:rsidRPr="003A457D">
        <w:rPr>
          <w:rFonts w:ascii="Garamond" w:hAnsi="Garamond"/>
          <w:sz w:val="24"/>
          <w:szCs w:val="24"/>
        </w:rPr>
        <w:t xml:space="preserve"> 1998)</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{"citationID":"ej37M53o","properties":{"formattedCitation":"(Fergus, Perona, and Zisserman 2003)","plainCitation":"(Fergus, Perona, and Zisserman 2003)","noteIndex":0},"citationItems":[{"id":1204,"uris":["http://zotero.org/users/local/GmZiI9vO/items/U6KBH63Y"],"itemData":{"id":1204,"type":"article-journal","abstract":"We present a method to learn and recognize object class models from unlabeled and unsegmented cluttered scenes in a scale invariant manner. Objects are modeled as flexible constellations of parts. A probabilistic representation is used for all aspects of the object: shape, appearance, occlusion and relative scale. An entropy-based feature detector is used to select regions and their scale within the image. In learning the parameters of the scale-invariant object model are estimated. This is done using expectation-maximization in a maximum-likelihood setting. In recognition, this model is used in a Bayesian manner to classify images. The flexible nature of the model is demonstrated by excellent results over a range of datasets including geometrically constrained classes (e.g. faces, cars) and flexible objects (such as animals).","container-title":"2003 IEEE Computer Society Conference on Computer Vision and Pattern Recognition, 2003. Proceedings.","DOI":"10.1109/CVPR.2003.1211479","page":"II-II","title":"Object class recognition by unsupervised scale-invariant learning","URL":"https://www.semanticscholar.org/paper/62837ab473124ea43cb8d7c6a4b4ee0f6f14e8c5","volume":"2","author":[{"family":"Fergus","given":"R."},{"family":"Perona","given":"P."},{"family":"Zisserman","given":"Andrew"}],"issued":{"date-parts":[["2003"]]}}}],"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 xml:space="preserve">(Fergus, </w:t>
      </w:r>
      <w:proofErr w:type="spellStart"/>
      <w:r w:rsidRPr="003A457D">
        <w:rPr>
          <w:rFonts w:ascii="Garamond" w:hAnsi="Garamond"/>
          <w:sz w:val="24"/>
          <w:szCs w:val="24"/>
        </w:rPr>
        <w:t>Perona</w:t>
      </w:r>
      <w:proofErr w:type="spellEnd"/>
      <w:r w:rsidRPr="003A457D">
        <w:rPr>
          <w:rFonts w:ascii="Garamond" w:hAnsi="Garamond"/>
          <w:sz w:val="24"/>
          <w:szCs w:val="24"/>
        </w:rPr>
        <w:t>, and Zisserman 2003)</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{"citationID":"TwbEy9EI","properties":{"formattedCitation":"(Lowe 1999)","plainCitation":"(Lowe 1999)","noteIndex":0},"citationItems":[{"id":1203,"uris":["http://zotero.org/users/local/GmZiI9vO/items/6H8YPLV6"],"itemData":{"id":1203,"type":"article-journal","abstract":"An object recognition system has been developed that uses a new class of local image features. The features are invariant to image scaling, translation, and rotation, and partially invariant to illumination changes and affine or 3D projection. These features share similar properties with neurons in inferior temporal cortex that are used for object recognition in primate vision. Features are efficiently detected through a staged filtering approach that identifies stable points in scale space. Image keys are created that allow for local geometric deformations by representing blurred image gradients in multiple orientation planes and at multiple scales. The keys are used as input to a nearest neighbor indexing method that identifies candidate object matches. Final verification of each match is achieved by finding a low residual least squares solution for the unknown model parameters. Experimental results show that robust object recognition can be achieved in cluttered partially occluded images with a computation time of under 2 seconds.","container-title":"Proceedings of the Seventh IEEE International Conference on Computer Vision","DOI":"10.1109/ICCV.1999.790410","page":"1150-1157 vol.2","title":"Object recognition from local scale-invariant features","URL":"https://www.semanticscholar.org/paper/f9f836d28f52ad260213d32224a6d227f8e8849a","volume":"2","author":[{"family":"Lowe","given":"D."}],"issued":{"date-parts":[["1999"]]}}}],"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(Lowe 1999)</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{"citationID":"MzkyIYik","properties":{"formattedCitation":"(Vaillant, Monrocq, and Cun 1994)","plainCitation":"(Vaillant, Monrocq, and Cun 1994)","noteIndex":0},"citationItems":[{"id":1205,"uris":["http://zotero.org/users/local/GmZiI9vO/items/WKFYHVVM"],"itemData":{"id":1205,"type":"article-journal","abstract":"An original approach is presented for the localisation of objects in an image which approach is neuronal and has two steps. In the first step, a rough localisation is performed by presenting each pixel with its neighbourhood to a neural net which is able to indicate whether this pixel and its neighbourhood are the image of the search object. This first filter does not discriminate for position. From its result, areas which might contain an image of the object can be selected. In the second step, these areas are presented to another neural net which can determine the exact position of the object in each area. This algorithm is applied to the problem of localising faces in images.","DOI":"10.1049/IP-VIS:19941301","title":"Original approach for the localisation of objects in images","URL":"https://www.semanticscholar.org/paper/09ebd9ad4fa21c0d56433ac57a4cd69e94c72281","author":[{"family":"Vaillant","given":"Régis"},{"family":"Monrocq","given":"C."},{"family":"Cun","given":"Y. L."}],"issued":{"date-parts":[["1994"]]}}}],"schema":"https://github.com/citation-style-language/schema/raw/master/csl-citation.json"}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 xml:space="preserve">(Vaillant, </w:t>
      </w:r>
      <w:proofErr w:type="spellStart"/>
      <w:r w:rsidRPr="003A457D">
        <w:rPr>
          <w:rFonts w:ascii="Garamond" w:hAnsi="Garamond"/>
          <w:sz w:val="24"/>
          <w:szCs w:val="24"/>
        </w:rPr>
        <w:t>Monrocq</w:t>
      </w:r>
      <w:proofErr w:type="spellEnd"/>
      <w:r w:rsidRPr="003A457D">
        <w:rPr>
          <w:rFonts w:ascii="Garamond" w:hAnsi="Garamond"/>
          <w:sz w:val="24"/>
          <w:szCs w:val="24"/>
        </w:rPr>
        <w:t xml:space="preserve">, and </w:t>
      </w:r>
      <w:proofErr w:type="spellStart"/>
      <w:r w:rsidRPr="003A457D">
        <w:rPr>
          <w:rFonts w:ascii="Garamond" w:hAnsi="Garamond"/>
          <w:sz w:val="24"/>
          <w:szCs w:val="24"/>
        </w:rPr>
        <w:t>Cun</w:t>
      </w:r>
      <w:proofErr w:type="spellEnd"/>
      <w:r w:rsidRPr="003A457D">
        <w:rPr>
          <w:rFonts w:ascii="Garamond" w:hAnsi="Garamond"/>
          <w:sz w:val="24"/>
          <w:szCs w:val="24"/>
        </w:rPr>
        <w:t xml:space="preserve"> 1994)</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{"citationID":"RVzaYDj5","properties":{"formattedCitation":"(Viola and Jones 2001)","plainCitation":"(Viola and Jones 2001)","noteIndex":0},"citationItems":[{"id":1196,"uris":["http://zotero.org/users/local/GmZiI9vO/items/QTFS3GGW"],"itemData":{"id":1196,"type":"article-journal","abstract":"This paper describes a machine learning approach for visual object detection which is capable of processing images extremely rapidly and achieving high detection rates. This work is distinguished by three key contributions. The first is the introduction of a new image representation called the \"integral image\" which allows the features used by our detector to be computed very quickly. The second is a learning algorithm, based on AdaBoost, which selects a small number of critical visual features from a larger set and yields extremely efficient classifiers. The third contribution is a method for combining increasingly more complex classifiers in a \"cascade\" which allows background regions of the image to be quickly discarded while spending more computation on promising object-like regions. The cascade can be viewed as an object specific focus-of-attention mechanism which unlike previous approaches provides statistical guarantees that discarded regions are unlikely to contain the object of interest. In the domain of face detection the system yields detection rates comparable to the best previous systems. Used in real-time applications, the detector runs at 15 frames per second without resorting to image differencing or skin color detection.","container-title":"Proceedings of the 2001 IEEE Computer Society Conference on Computer Vision and Pattern Recognition. CVPR 2001","DOI":"10.1109/CVPR.2001.990517","page":"I-I","title":"Rapid object detection using a boosted cascade of simple features","URL":"https://www.semanticscholar.org/paper/dc6ea0e30e46163b706f2f8bdc9c67ca87f83d63","volume":"1","author":[{"family":"Viola","given":"Paul A."},{"family":"Jones","given":"Michael J."}],"issued":{"date-parts":[["2001"]]}}}],"schema":"https://github.com/citation-style-language/schema/raw/master/csl-citation.json"}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(Viola and Jones 2001)</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{"citationID":"fVWjYpLd","properties":{"formattedCitation":"(Osuna, Freund, and Girosi 1997)","plainCitation":"(Osuna, Freund, and Girosi 1997)","noteIndex":0},"citationItems":[{"id":1202,"uris":["http://zotero.org/users/local/GmZiI9vO/items/BXUBM2AW"],"itemData":{"id":1202,"type":"article-journal","abstract":"We investigate the application of Support Vector Machines (SVMs) in computer vision. SVM is a learning technique developed by V. Vapnik and his team (AT&amp;T Bell Labs., 1985) that can be seen as a new method for training polynomial, neural network, or Radial Basis Functions classifiers. The decision surfaces are found by solving a linearly constrained quadratic programming problem. This optimization problem is challenging because the quadratic form is completely dense and the memory requirements grow with the square of the number of data points. We present a decomposition algorithm that guarantees global optimality, and can be used to train SVM's over very large data sets. The main idea behind the decomposition is the iterative solution of sub-problems and the evaluation of optimality conditions which are used both to generate improved iterative values, and also establish the stopping criteria for the algorithm. We present experimental results of our implementation of SVM, and demonstrate the feasibility of our approach on a face detection problem that involves a data set of 50,000 data points.","container-title":"Proceedings of IEEE Computer Society Conference on Computer Vision and Pattern Recognition","DOI":"10.1109/CVPR.1997.609310","page":"130-136","title":"Training support vector machines: an application to face detection","URL":"https://www.semanticscholar.org/paper/9008cdacbdcff8a218a6928e94fe7c6dfc237b24","author":[{"family":"Osuna","given":"E."},{"family":"Freund","given":"R."},{"family":"Girosi","given":"F."}],"issued":{"date-parts":[["1997"]]}}}],"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 xml:space="preserve">(Osuna, Freund, and </w:t>
      </w:r>
      <w:proofErr w:type="spellStart"/>
      <w:r w:rsidRPr="003A457D">
        <w:rPr>
          <w:rFonts w:ascii="Garamond" w:hAnsi="Garamond"/>
          <w:sz w:val="24"/>
          <w:szCs w:val="24"/>
        </w:rPr>
        <w:t>Girosi</w:t>
      </w:r>
      <w:proofErr w:type="spellEnd"/>
      <w:r w:rsidRPr="003A457D">
        <w:rPr>
          <w:rFonts w:ascii="Garamond" w:hAnsi="Garamond"/>
          <w:sz w:val="24"/>
          <w:szCs w:val="24"/>
        </w:rPr>
        <w:t xml:space="preserve"> 1997)</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{"citationID":"OKauORYt","properties":{"formattedCitation":"(Weber, Welling, and Perona 2000)","plainCitation":"(Weber, Welling, and Perona 2000)","noteIndex":0},"citationItems":[{"id":1199,"uris":["http://zotero.org/users/local/GmZiI9vO/items/GLTCP6R6"],"itemData":{"id":1199,"type":"article-journal","abstract":"We present a method to learn object class models from unlabeled and unsegmented cluttered scenes for the purpose of visual object recognition. We focus on a particular type of model where objects are represented as flexible constellations of rigid parts (features). The variability within a class is represented by a joint probability density function (pdf) on the shape of the constellation and the output of part detectors. In a first stage, the method automatically identifies distinctive parts in the training set by applying a clustering algorithm to patterns selected by an interest operator. It then learns the statistical shape model using expectation maximization. The method achieves very good classification results on human faces and rear views of cars.","DOI":"10.1007/3-540-45054-8_2","title":"Unsupervised Learning of Models for Recognition","URL":"https://www.semanticscholar.org/paper/1cf1527807ebb16020b04d4166e7ba8d27652302","author":[{"family":"Weber","given":"Markus"},{"family":"Welling","given":"M."},{"family":"Perona","given":"P."}],"issued":{"date-parts":[["2000"]]}}}],"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 xml:space="preserve">(Weber, Welling, and </w:t>
      </w:r>
      <w:proofErr w:type="spellStart"/>
      <w:r w:rsidRPr="003A457D">
        <w:rPr>
          <w:rFonts w:ascii="Garamond" w:hAnsi="Garamond"/>
          <w:sz w:val="24"/>
          <w:szCs w:val="24"/>
        </w:rPr>
        <w:t>Perona</w:t>
      </w:r>
      <w:proofErr w:type="spellEnd"/>
      <w:r w:rsidRPr="003A457D">
        <w:rPr>
          <w:rFonts w:ascii="Garamond" w:hAnsi="Garamond"/>
          <w:sz w:val="24"/>
          <w:szCs w:val="24"/>
        </w:rPr>
        <w:t xml:space="preserve"> 2000)</w:t>
      </w:r>
      <w:r w:rsidRPr="003A457D">
        <w:rPr>
          <w:rFonts w:ascii="Garamond" w:hAnsi="Garamond"/>
          <w:noProof/>
          <w:sz w:val="24"/>
          <w:szCs w:val="24"/>
          <w:lang w:val="en-US"/>
        </w:rPr>
        <w:fldChar w:fldCharType="end"/>
      </w:r>
      <w:r w:rsidRPr="003A457D">
        <w:rPr>
          <w:rFonts w:ascii="Garamond" w:hAnsi="Garamond"/>
          <w:noProof/>
          <w:sz w:val="24"/>
          <w:szCs w:val="24"/>
          <w:lang w:val="en-US"/>
        </w:rPr>
        <w:t>.</w:t>
      </w:r>
    </w:p>
    <w:p w14:paraId="16B300D1" w14:textId="77777777" w:rsidR="00197662" w:rsidRPr="003A457D" w:rsidRDefault="00197662" w:rsidP="003A457D">
      <w:pPr>
        <w:ind w:firstLine="720"/>
        <w:jc w:val="both"/>
        <w:rPr>
          <w:rFonts w:ascii="Garamond" w:hAnsi="Garamond"/>
          <w:sz w:val="24"/>
          <w:szCs w:val="24"/>
        </w:rPr>
      </w:pPr>
      <w:r w:rsidRPr="003A457D">
        <w:rPr>
          <w:rFonts w:ascii="Garamond" w:hAnsi="Garamond"/>
          <w:sz w:val="24"/>
          <w:szCs w:val="24"/>
        </w:rPr>
        <w:t>Elementary school students are those aged around 6 to 12 years who are undergoing the stage of childhood development and will enter early adolescence</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{"citationID":"WonzzSyT","properties":{"formattedCitation":"(Brookover et al., 1978)","plainCitation":"(Brookover et al., 1978)","noteIndex":0},"citationItems":[{"id":1207,"uris":["http://zotero.org/users/local/GmZiI9vO/items/NJCFCE9V"],"itemData":{"id":1207,"type":"article-journal","abstract":"The present study investigates the relationships among a variety of school-level climate variables and mean school achievement in a random, sample of Michigan elementary schools. School-level SES, racial composition and climate were each highly related to mean school achievement; only a small proportion of the between-school variance in achievement is explained by SES and racial composition after the effect of school climate is removed. The climate variable we have called Student Sense of Academic Futility had the largest correlation with achievement. An observational study of four schools with similar SES and racial composition but different achievement tended to support the more analytical findings and suggest the processes by which climate affects achievement.","container-title":"American Educational Research Journal","DOI":"10.3102/00028312015002301","page":"301 - 318","title":"Elementary School Social Climate and School Achievement1","URL":"https://www.semanticscholar.org/paper/d275103df77782e87cc74d6245112444719c7809","volume":"15","author":[{"family":"Brookover","given":"W."},{"family":"Schweitzer","given":"John H."},{"family":"Schneider","given":"J. M."},{"family":"Beady","given":"C."},{"family":"Flood","given":"P."},{"family":"Wisenbaker","given":"J."}],"issued":{"date-parts":[["1978"]]}}}],"schema":"https://github.com/citation-style-language/schema/raw/master/csl-citation.json"}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Brookover</w:t>
      </w:r>
      <w:proofErr w:type="spellEnd"/>
      <w:r w:rsidRPr="003A457D">
        <w:rPr>
          <w:rFonts w:ascii="Garamond" w:hAnsi="Garamond"/>
          <w:sz w:val="24"/>
          <w:szCs w:val="24"/>
        </w:rPr>
        <w:t xml:space="preserve"> et al., 1978)</w:t>
      </w:r>
      <w:r w:rsidRPr="003A457D">
        <w:rPr>
          <w:rFonts w:ascii="Garamond" w:hAnsi="Garamond"/>
          <w:sz w:val="24"/>
          <w:szCs w:val="24"/>
        </w:rPr>
        <w:fldChar w:fldCharType="end"/>
      </w:r>
      <w:r w:rsidRPr="003A457D">
        <w:rPr>
          <w:rFonts w:ascii="Garamond" w:hAnsi="Garamond"/>
          <w:sz w:val="24"/>
          <w:szCs w:val="24"/>
        </w:rPr>
        <w:t>. Many factors, approaches, theories, and models have been used to investigate school climate, resulting in a complex body of knowledge. The stage of development of elementary school-aged children is a period where they are preparing themselves for the continuation of their future development</w:t>
      </w:r>
      <w:r w:rsidRPr="003A457D">
        <w:rPr>
          <w:rFonts w:ascii="Garamond" w:hAnsi="Garamond"/>
          <w:sz w:val="24"/>
          <w:szCs w:val="24"/>
          <w:lang w:val="en-US"/>
        </w:rPr>
        <w:t xml:space="preserve"> </w:t>
      </w:r>
      <w:r w:rsidRPr="003A457D">
        <w:rPr>
          <w:rFonts w:ascii="Garamond" w:hAnsi="Garamond"/>
          <w:sz w:val="24"/>
          <w:szCs w:val="24"/>
          <w:lang w:val="en-US"/>
        </w:rPr>
        <w:fldChar w:fldCharType="begin"/>
      </w:r>
      <w:r w:rsidRPr="003A457D">
        <w:rPr>
          <w:rFonts w:ascii="Garamond" w:hAnsi="Garamond"/>
          <w:sz w:val="24"/>
          <w:szCs w:val="24"/>
          <w:lang w:val="en-US"/>
        </w:rPr>
        <w:instrText xml:space="preserve"> ADDIN ZOTERO_ITEM CSL_CITATION {"citationID":"ehvdE6us","properties":{"formattedCitation":"(Anderson, 1982)","plainCitation":"(Anderson, 1982)","noteIndex":0},"citationItems":[{"id":1206,"uris":["http://zotero.org/users/local/GmZiI9vO/items/L37CFI3S"],"itemData":{"id":1206,"type":"article-journal","abstract":"School climate has been studied with a multitude of variables, methodologies, theories, and models, resulting in a not easily defined body of research. This analysis of the school climate literature, based on over 200 references, uses an organizational theory taxonomy to organize the diverse body of research and to draw conclusions about common findings. The history of school climate research is reviewed, noting the influence of climate instruments developed to study climate in settings other than the total school building, such as business, college, and classroom settings. The difficulty of defining school climate is reflected in the diversity of climate typologies that have evolved, despite their often common roots. The debate about school climate is tied to differences among researchers in theory base, variables to study (and their hypothesized interrelationships), unit of measurement choices, and the validity of subjective and qualitative data (based on participant or observer perception). Some common conclusions about school climate (considered as an independent, intervening, or dependent variable) do emerge in the literature. The paper concludes with a summary of the methodological issues common to school climate studies and suggestions for dealing with the concomitant problems","container-title":"Review of Educational Research","DOI":"10.3102/00346543052003368","page":"368 - 420","title":"The Search for School Climate: A Review of the Research","URL":"https://www.semanticscholar.org/paper/47e78635c8cdcfbfccbd6c1e3d03c1b2878abdbf","volume":"52","author":[{"family":"Anderson","given":"C."}],"issued":{"date-parts":[["1982"]]}}}],"schema":"https://github.com/citation-style-language/schema/raw/master/csl-citation.json"} </w:instrText>
      </w:r>
      <w:r w:rsidRPr="003A457D">
        <w:rPr>
          <w:rFonts w:ascii="Garamond" w:hAnsi="Garamond"/>
          <w:sz w:val="24"/>
          <w:szCs w:val="24"/>
          <w:lang w:val="en-US"/>
        </w:rPr>
        <w:fldChar w:fldCharType="separate"/>
      </w:r>
      <w:r w:rsidRPr="003A457D">
        <w:rPr>
          <w:rFonts w:ascii="Garamond" w:hAnsi="Garamond"/>
          <w:sz w:val="24"/>
          <w:szCs w:val="24"/>
        </w:rPr>
        <w:t>(Anderson, 1982)</w:t>
      </w:r>
      <w:r w:rsidRPr="003A457D">
        <w:rPr>
          <w:rFonts w:ascii="Garamond" w:hAnsi="Garamond"/>
          <w:sz w:val="24"/>
          <w:szCs w:val="24"/>
          <w:lang w:val="en-US"/>
        </w:rPr>
        <w:fldChar w:fldCharType="end"/>
      </w:r>
      <w:r w:rsidRPr="003A457D">
        <w:rPr>
          <w:rFonts w:ascii="Garamond" w:hAnsi="Garamond"/>
          <w:sz w:val="24"/>
          <w:szCs w:val="24"/>
        </w:rPr>
        <w:t>. In their developmental tasks, they often encounter obstacles and problems, so they depend significantly on other people, especially parents and teachers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{"citationID":"IzUVG0ki","properties":{"formattedCitation":"(Mashuri &amp; Suyatno, 2018)","plainCitation":"(Mashuri &amp; Suyatno, 2018)","noteIndex":0},"citationItems":[{"id":53,"uris":["http://zotero.org/users/local/GmZiI9vO/items/XBALPL64"],"itemData":{"id":53,"type":"article-journal","abstract":"This research aims to describe the formation of communicative character as one of the students important skills in 21st century learning at Muhammadiyah Kauman Elementary School Yogyakarta. The communicative character of the students at Muhammadiyah Kauman Elementary School Yogyakarta is formed through the application of teacher strategy in character formation. In the process of cultivating communicative character, the interesting thing is the closeness between the teachers and the students. This research was qualitative descriptive research. Research subjects consisted of students, teachers and principal. Data collection techniques was through in-depth interviews, observation and documentation. Data analysis technique was interactive-inductive models by Miles and huberman that are; data reduction, data presentation, and conclusion. The results showed that students of Muhammadiyah Kauman Elementary School Yogyakarta have good communicative character. The communicative character is formed through the following strategies; integration in classroom learning, providing real examples, habituation, admonishing students, spontaneous activity, and role model. In the strategy application of students’ character formation, the teachers combine with forming closeness between teachers and students. The proximity between teachers and students makes students feel comfortable with teachers so that students do not feel awkward in communicating.","title":"Teaching the Students in order to be More Communicative in Elementary school","URL":"https://www.semanticscholar.org/paper/daf36d7771fdfe8dc479e88c65d0a44e43997c5c","author":[{"family":"Mashuri","given":"Rahmat Sri"},{"family":"Suyatno","given":"S."}],"issued":{"date-parts":[["2018"]]}}}],"schema":"https://github.com/citation-style-language/schema/raw/master/csl-citation.json"}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Mashuri</w:t>
      </w:r>
      <w:proofErr w:type="spellEnd"/>
      <w:r w:rsidRPr="003A457D">
        <w:rPr>
          <w:rFonts w:ascii="Garamond" w:hAnsi="Garamond"/>
          <w:sz w:val="24"/>
          <w:szCs w:val="24"/>
        </w:rPr>
        <w:t xml:space="preserve"> &amp; </w:t>
      </w:r>
      <w:proofErr w:type="spellStart"/>
      <w:r w:rsidRPr="003A457D">
        <w:rPr>
          <w:rFonts w:ascii="Garamond" w:hAnsi="Garamond"/>
          <w:sz w:val="24"/>
          <w:szCs w:val="24"/>
        </w:rPr>
        <w:t>Suyatno</w:t>
      </w:r>
      <w:proofErr w:type="spellEnd"/>
      <w:r w:rsidRPr="003A457D">
        <w:rPr>
          <w:rFonts w:ascii="Garamond" w:hAnsi="Garamond"/>
          <w:sz w:val="24"/>
          <w:szCs w:val="24"/>
        </w:rPr>
        <w:t>, 2018)</w:t>
      </w:r>
      <w:r w:rsidRPr="003A457D">
        <w:rPr>
          <w:rFonts w:ascii="Garamond" w:hAnsi="Garamond"/>
          <w:sz w:val="24"/>
          <w:szCs w:val="24"/>
        </w:rPr>
        <w:fldChar w:fldCharType="end"/>
      </w:r>
      <w:r w:rsidRPr="003A457D">
        <w:rPr>
          <w:rFonts w:ascii="Garamond" w:hAnsi="Garamond"/>
          <w:sz w:val="24"/>
          <w:szCs w:val="24"/>
        </w:rPr>
        <w:t>. Therefore, elementary school-age children need special attention from parents and teachers. Children or students are individuals who grow and develop towards maturity</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{"citationID":"Txtp05vR","properties":{"formattedCitation":"(Tumiran et al., 2020)","plainCitation":"(Tumiran et al., 2020)","noteIndex":0},"citationItems":[{"id":48,"uris":["http://zotero.org/users/local/GmZiI9vO/items/HZ2ME8RW"],"itemData":{"id":48,"type":"article-journal","abstract":"The management of education in the school unit always develops according to the needs of the Stake holder. In this study revealed how to managerial the headmaster in improving the character of students in the Elementary School of Medan. Management of how to implement the school principal by implementing an educational ecosystem that creates culture and climate work, sets the school's physical environment comfortable, beautiful and clean, cultivates an efficient, creative, and Innovative. For updates reach the goal of improving the character of honest students, caring, queueing, confident, and disciplined. As an education that is cultured quality character and qualified. The managerial Model of the principal is very influential to improve the character of students, with the implementation of consistent programs, habituation of good daily, morning talk activities, thematic Qur'an, motivation and the example of the teacher.","title":"Analysis of Managerial Model Principals Elementary School In Medan(Perspective Student Character in Islamic Studies)","URL":"https://www.semanticscholar.org/paper/3939a20b27a41a61ba3fd7a5e5536d53e22ea79d","author":[{"literal":"Tumiran"},{"family":"Rahmadi","given":"Fuji"},{"family":"Harahap","given":"Muhammad Yunan"}],"issued":{"date-parts":[["2020"]]}}}],"schema":"https://github.com/citation-style-language/schema/raw/master/csl-citation.json"}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Tumiran</w:t>
      </w:r>
      <w:proofErr w:type="spellEnd"/>
      <w:r w:rsidRPr="003A457D">
        <w:rPr>
          <w:rFonts w:ascii="Garamond" w:hAnsi="Garamond"/>
          <w:sz w:val="24"/>
          <w:szCs w:val="24"/>
        </w:rPr>
        <w:t xml:space="preserve"> et al., 2020)</w:t>
      </w:r>
      <w:r w:rsidRPr="003A457D">
        <w:rPr>
          <w:rFonts w:ascii="Garamond" w:hAnsi="Garamond"/>
          <w:sz w:val="24"/>
          <w:szCs w:val="24"/>
        </w:rPr>
        <w:fldChar w:fldCharType="end"/>
      </w:r>
      <w:r w:rsidRPr="003A457D">
        <w:rPr>
          <w:rFonts w:ascii="Garamond" w:hAnsi="Garamond"/>
          <w:sz w:val="24"/>
          <w:szCs w:val="24"/>
        </w:rPr>
        <w:t>. Along with increasing age, children or students experience a continuous learning process from previously not knowing to know; from previously unexperienced to experiencing the experience of his life directly. In learning and understanding something, a teacher who can accompany children or students</w:t>
      </w:r>
      <w:r w:rsidRPr="003A457D">
        <w:rPr>
          <w:rFonts w:ascii="Garamond" w:hAnsi="Garamond"/>
          <w:sz w:val="24"/>
          <w:szCs w:val="24"/>
          <w:lang w:val="en-US"/>
        </w:rPr>
        <w:t xml:space="preserve"> is needed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{"citationID":"fy7eLDpc","properties":{"formattedCitation":"(Syamsuri et al., 2020)","plainCitation":"(Syamsuri et al., 2020)","noteIndex":0},"citationItems":[{"id":67,"uris":["http://zotero.org/users/local/GmZiI9vO/items/AJ6Y8ID3"],"itemData":{"id":67,"type":"article-journal","abstract":"Penelitian ini bertujuan untuk mengetahui proses penanaman karakter gemar membaca beserta faktor pendukung dan penghambat melalui program literasi sekolah rakica di SD N Taman Ciruas Permai. Penelitian ini merupakan penelitian kualitatif deskriptif. Teknik pengumpulan data yang digunakan yaitu teknik wawancara, observasi dan dokumentasi. Kemudian dianalisis dengan menggunakan model Miles and Huberman. Hasil penelitian yaitu sebagai berikut: (1) Proses penanaman karakter gemar membaca melalui program literasi sekolah rakica dilaksanakan berdasarkan tahap literasi yaitu tahap pembiasaan, pengembangan dan pembelajaran (2) Factor pendukung dan penghambat pelaksanaan program rakica berasal dari dalam sekolah seperti siswa dengan terdapatnya beberapa siswa yang belum lancar membaca dan guru dengan ikut berperan aktif dalam terlaksananya program rakica dengan melakukan bimbingan terhadap siswa, kemudian dari luar sekolah seperti wali murid dengan membantu sekolah menyediakan fasilitas yang dibutuhkan siswa, serta pemerintah setempat dengan memberikan bantuan buku kepada pihak sekolah.","DOI":"10.29407/jpdn.v6i1.14424","title":"Penanaman Karakter Gemar Membaca Melalui Program LIterasi Sekolah Rakica di SD Negeri Taman Ciruas Permai","URL":"https://www.semanticscholar.org/paper/2d7e878cbbe2e40bacb43dae31531b805979a9ae","author":[{"family":"Syamsuri","given":"Chusnul Khotimah"},{"family":"Hosnan","given":"M."},{"family":"Jamaludin","given":"Ujang"}],"issued":{"date-parts":[["2020"]]}}}],"schema":"https://github.com/citation-style-language/schema/raw/master/csl-citation.json"}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Syamsuri</w:t>
      </w:r>
      <w:proofErr w:type="spellEnd"/>
      <w:r w:rsidRPr="003A457D">
        <w:rPr>
          <w:rFonts w:ascii="Garamond" w:hAnsi="Garamond"/>
          <w:sz w:val="24"/>
          <w:szCs w:val="24"/>
        </w:rPr>
        <w:t xml:space="preserve"> et al., 2020)</w:t>
      </w:r>
      <w:r w:rsidRPr="003A457D">
        <w:rPr>
          <w:rFonts w:ascii="Garamond" w:hAnsi="Garamond"/>
          <w:sz w:val="24"/>
          <w:szCs w:val="24"/>
        </w:rPr>
        <w:fldChar w:fldCharType="end"/>
      </w:r>
      <w:r w:rsidRPr="003A457D">
        <w:rPr>
          <w:rFonts w:ascii="Garamond" w:hAnsi="Garamond"/>
          <w:sz w:val="24"/>
          <w:szCs w:val="24"/>
        </w:rPr>
        <w:t>.</w:t>
      </w:r>
    </w:p>
    <w:p w14:paraId="6C330027" w14:textId="77777777" w:rsidR="00197662" w:rsidRPr="003A457D" w:rsidRDefault="00197662" w:rsidP="003A457D">
      <w:pPr>
        <w:ind w:firstLine="720"/>
        <w:jc w:val="both"/>
        <w:rPr>
          <w:rFonts w:ascii="Garamond" w:hAnsi="Garamond"/>
          <w:sz w:val="24"/>
          <w:szCs w:val="24"/>
        </w:rPr>
      </w:pPr>
      <w:r w:rsidRPr="003A457D">
        <w:rPr>
          <w:rFonts w:ascii="Garamond" w:hAnsi="Garamond"/>
          <w:sz w:val="24"/>
          <w:szCs w:val="24"/>
        </w:rPr>
        <w:t xml:space="preserve">This is where the innovation of the role of Islamic Religion teachers in conducting </w:t>
      </w:r>
      <w:proofErr w:type="spellStart"/>
      <w:r w:rsidRPr="003A457D">
        <w:rPr>
          <w:rFonts w:ascii="Garamond" w:hAnsi="Garamond"/>
          <w:sz w:val="24"/>
          <w:szCs w:val="24"/>
        </w:rPr>
        <w:t>counseling</w:t>
      </w:r>
      <w:proofErr w:type="spellEnd"/>
      <w:r w:rsidRPr="003A457D">
        <w:rPr>
          <w:rFonts w:ascii="Garamond" w:hAnsi="Garamond"/>
          <w:sz w:val="24"/>
          <w:szCs w:val="24"/>
        </w:rPr>
        <w:t xml:space="preserve"> guidance is at the same time to make Islam the primary source in shaping the personality of a good Muslim, especially for elementary school students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{"citationID":"WyqlmzI4","properties":{"formattedCitation":"(Ansharuddin, 2018)","plainCitation":"(Ansharuddin, 2018)","noteIndex":0},"citationItems":[{"id":66,"uris":["http://zotero.org/users/local/GmZiI9vO/items/LCU6PF9S"],"itemData":{"id":66,"type":"article-journal","abstract":"The purpose of this study was to determine the role and responsibilities of teachers in implementing character education in MTs Hasan Jufri Bawean. This research is a field research using descriptive-qualitative approach. The study population consisted of all teachers of MTs Hasan Jufri totaling 40 people, and the sample 20 subject class IX teachers. Methods of data collection in this study using the method of observation, interviews and documentation. The results of the research are the facilities with considerable learning, extracurricular activities, the role of teachers in regular activities, such as the implementation of Duha prayer and prayer dhuhur congregation, spontaneous activities, such as giving sanction to students who are late, and create slogans that can affect students for good character, have been lead learners noble personality which all domains of aspects aimed to implement the teachings of Islam, both in attitudes, skills, and deeds of each learner.","DOI":"10.37348/CENDEKIA.V2I2.29","title":"SISTEMATIKA SUSUNAN SURAT DI DALAM AL-QUR’AN: Telaah Historis","URL":"https://www.semanticscholar.org/paper/8dbe69634a926807dca6190c7e6c045702fe1ce3","author":[{"family":"Ansharuddin","given":"M."}],"issued":{"date-parts":[["2018"]]}}}],"schema":"https://github.com/citation-style-language/schema/raw/master/csl-citation.json"}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Ansharuddin</w:t>
      </w:r>
      <w:proofErr w:type="spellEnd"/>
      <w:r w:rsidRPr="003A457D">
        <w:rPr>
          <w:rFonts w:ascii="Garamond" w:hAnsi="Garamond"/>
          <w:sz w:val="24"/>
          <w:szCs w:val="24"/>
        </w:rPr>
        <w:t>, 2018)</w:t>
      </w:r>
      <w:r w:rsidRPr="003A457D">
        <w:rPr>
          <w:rFonts w:ascii="Garamond" w:hAnsi="Garamond"/>
          <w:sz w:val="24"/>
          <w:szCs w:val="24"/>
        </w:rPr>
        <w:fldChar w:fldCharType="end"/>
      </w:r>
      <w:r w:rsidRPr="003A457D">
        <w:rPr>
          <w:rFonts w:ascii="Garamond" w:hAnsi="Garamond"/>
          <w:sz w:val="24"/>
          <w:szCs w:val="24"/>
        </w:rPr>
        <w:t xml:space="preserve">. </w:t>
      </w:r>
      <w:r w:rsidRPr="003A457D">
        <w:rPr>
          <w:rFonts w:ascii="Garamond" w:hAnsi="Garamond"/>
          <w:sz w:val="24"/>
          <w:szCs w:val="24"/>
        </w:rPr>
        <w:lastRenderedPageBreak/>
        <w:t>Based on the Al-Quran and As-Sunnah, Islam directs and guides humans to the path that pleases Him by forming a personality with good morals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{"citationID":"2zq2Avh7","properties":{"formattedCitation":"(Baiquni, 1995)","plainCitation":"(Baiquni, 1995)","noteIndex":0},"citationItems":[{"id":780,"uris":["http://zotero.org/users/local/GmZiI9vO/items/EW5SW83G"],"itemData":{"id":780,"type":"article-journal","title":"Al-qur'an: ilmu pengetahuan dan teknologi","URL":"https://www.semanticscholar.org/paper/12750b0287525283c1eaf1da9a4e96670c44f63d","author":[{"family":"Baiquni","given":"Achmad"}],"issued":{"date-parts":[["1995"]]}}}],"schema":"https://github.com/citation-style-language/schema/raw/master/csl-citation.json"}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Baiquni</w:t>
      </w:r>
      <w:proofErr w:type="spellEnd"/>
      <w:r w:rsidRPr="003A457D">
        <w:rPr>
          <w:rFonts w:ascii="Garamond" w:hAnsi="Garamond"/>
          <w:sz w:val="24"/>
          <w:szCs w:val="24"/>
        </w:rPr>
        <w:t>, 1995)</w:t>
      </w:r>
      <w:r w:rsidRPr="003A457D">
        <w:rPr>
          <w:rFonts w:ascii="Garamond" w:hAnsi="Garamond"/>
          <w:sz w:val="24"/>
          <w:szCs w:val="24"/>
        </w:rPr>
        <w:fldChar w:fldCharType="end"/>
      </w:r>
      <w:r w:rsidRPr="003A457D">
        <w:rPr>
          <w:rFonts w:ascii="Garamond" w:hAnsi="Garamond"/>
          <w:sz w:val="24"/>
          <w:szCs w:val="24"/>
        </w:rPr>
        <w:t>. As the Messenger of Allah (SAW) said: "Indeed, I was sent to the perfect noble character</w:t>
      </w:r>
      <w:r w:rsidRPr="003A457D">
        <w:rPr>
          <w:rFonts w:ascii="Garamond" w:hAnsi="Garamond"/>
          <w:sz w:val="24"/>
          <w:szCs w:val="24"/>
          <w:lang w:val="en-US"/>
        </w:rPr>
        <w:t xml:space="preserve"> </w:t>
      </w:r>
      <w:r w:rsidRPr="003A457D">
        <w:rPr>
          <w:rFonts w:ascii="Garamond" w:hAnsi="Garamond"/>
          <w:sz w:val="24"/>
          <w:szCs w:val="24"/>
          <w:lang w:val="en-US"/>
        </w:rPr>
        <w:fldChar w:fldCharType="begin"/>
      </w:r>
      <w:r w:rsidRPr="003A457D">
        <w:rPr>
          <w:rFonts w:ascii="Garamond" w:hAnsi="Garamond"/>
          <w:sz w:val="24"/>
          <w:szCs w:val="24"/>
          <w:lang w:val="en-US"/>
        </w:rPr>
        <w:instrText xml:space="preserve"> ADDIN ZOTERO_ITEM CSL_CITATION {"citationID":"zvTNpB6v","properties":{"formattedCitation":"(Muchsin et al., 2018)","plainCitation":"(Muchsin et al., 2018)","noteIndex":0},"citationItems":[{"id":65,"uris":["http://zotero.org/users/local/GmZiI9vO/items/MYYYJH4J"],"itemData":{"id":65,"type":"article-journal","abstract":"This development research aims to produce learning instruments of mathematics material geometry based on Van Hiele learning theory to develop characters which are valid, practical and effective criteria. The product consists of four components, namely: Lesson Plan, Student Book, Student Worksheet, and Learning Result Test. The process of developing using 4-D model Thiagarajan consisting of 4 stages namely define, design, development and disseminate. The result of the research shows that the learning tools developed are valid, practical, and effective based on the validator and the results of the experiments evaluated. The validity was measured based on experts' validation which meet the criteria of validity, with each Content Validity greater than 75%. This indicates that the four components are in valid category. The practicality was measured by instructional management sheet shown by the fulfillment of every aspect that is in both good and excellent category. The effectiveness was indicated by the fulfillment of 3 of the 4 defined effectiveness indicators, among others: (1) The average percentage of classical completion of the learning result test is more than 85%, (2) the fulfillment of 7 of the 9 categories of student activities, (3) a positive response of 85% of each aspect being responded.","DOI":"10.1088/1742-6596/1028/1/012137","title":"Developing Learning Instruments of Geometry Based on Van Hiele Theory to Improving Students’ Character","URL":"https://www.semanticscholar.org/paper/0243f65ff6df273146f07af9246f506020629842","author":[{"family":"Muchsin","given":"Sitti Busyrah"},{"family":"Kamaruddin","given":"Rahmat"},{"family":"Rosida","given":"Vivi"}],"issued":{"date-parts":[["2018"]]}}}],"schema":"https://github.com/citation-style-language/schema/raw/master/csl-citation.json"} </w:instrText>
      </w:r>
      <w:r w:rsidRPr="003A457D">
        <w:rPr>
          <w:rFonts w:ascii="Garamond" w:hAnsi="Garamond"/>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Muchsin</w:t>
      </w:r>
      <w:proofErr w:type="spellEnd"/>
      <w:r w:rsidRPr="003A457D">
        <w:rPr>
          <w:rFonts w:ascii="Garamond" w:hAnsi="Garamond"/>
          <w:sz w:val="24"/>
          <w:szCs w:val="24"/>
        </w:rPr>
        <w:t xml:space="preserve"> et al., 2018)</w:t>
      </w:r>
      <w:r w:rsidRPr="003A457D">
        <w:rPr>
          <w:rFonts w:ascii="Garamond" w:hAnsi="Garamond"/>
          <w:sz w:val="24"/>
          <w:szCs w:val="24"/>
          <w:lang w:val="en-US"/>
        </w:rPr>
        <w:fldChar w:fldCharType="end"/>
      </w:r>
      <w:r w:rsidRPr="003A457D">
        <w:rPr>
          <w:rFonts w:ascii="Garamond" w:hAnsi="Garamond"/>
          <w:sz w:val="24"/>
          <w:szCs w:val="24"/>
        </w:rPr>
        <w:t xml:space="preserve">. God sent the Prophet to guide and direct humans towards true goodness and as a </w:t>
      </w:r>
      <w:proofErr w:type="spellStart"/>
      <w:r w:rsidRPr="003A457D">
        <w:rPr>
          <w:rFonts w:ascii="Garamond" w:hAnsi="Garamond"/>
          <w:sz w:val="24"/>
          <w:szCs w:val="24"/>
        </w:rPr>
        <w:t>counselor</w:t>
      </w:r>
      <w:proofErr w:type="spellEnd"/>
      <w:r w:rsidRPr="003A457D">
        <w:rPr>
          <w:rFonts w:ascii="Garamond" w:hAnsi="Garamond"/>
          <w:sz w:val="24"/>
          <w:szCs w:val="24"/>
        </w:rPr>
        <w:t xml:space="preserve"> figure capable of solving various problems related to the human soul so that humans avoid all negative traits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{"citationID":"2u1klimd","properties":{"formattedCitation":"(Lukens-Bull, 2001)","plainCitation":"(Lukens-Bull, 2001)","noteIndex":0},"citationItems":[{"id":141,"uris":["http://zotero.org/users/local/GmZiI9vO/items/PHB4V4P7"],"itemData":{"id":141,"type":"article-journal","abstract":"This article explores one way in which the Classical Islamic community in Java, Indonesia, seeks to negotiate modernization and globalization through the interface of an Islamic boarding school (pesantren) and higher education. This negotiation requires imagining and (reinventing both modernity and tradition. By examining how the leadership of a particular pesantren for university students engages these processes in their curricular goals and practices, this article expands theoretical considerations of education in translocal processes such as Islamization and globalization.","container-title":"Anthropology &amp; Education Quarterly","DOI":"10.1525/AEQ.2001.32.3.350","page":"350-372","title":"Two Sides of the Same Coin: Modernity and Tradition in Islamic Education in Indonesia","URL":"https://semanticscholar.org/paper/19c73bc29a6a789164105b505132bb2f545df674","volume":"32","author":[{"family":"Lukens-Bull","given":"R."}],"issued":{"date-parts":[["2001"]]}}}],"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(Lukens-Bull, 2001)</w:t>
      </w:r>
      <w:r w:rsidRPr="003A457D">
        <w:rPr>
          <w:rFonts w:ascii="Garamond" w:hAnsi="Garamond"/>
          <w:sz w:val="24"/>
          <w:szCs w:val="24"/>
        </w:rPr>
        <w:fldChar w:fldCharType="end"/>
      </w:r>
      <w:r w:rsidRPr="003A457D">
        <w:rPr>
          <w:rFonts w:ascii="Garamond" w:hAnsi="Garamond"/>
          <w:sz w:val="24"/>
          <w:szCs w:val="24"/>
        </w:rPr>
        <w:t xml:space="preserve">. Therefore, humans are expected to give each other guidance following their capacity and provide </w:t>
      </w:r>
      <w:proofErr w:type="spellStart"/>
      <w:r w:rsidRPr="003A457D">
        <w:rPr>
          <w:rFonts w:ascii="Garamond" w:hAnsi="Garamond"/>
          <w:sz w:val="24"/>
          <w:szCs w:val="24"/>
        </w:rPr>
        <w:t>Counseling</w:t>
      </w:r>
      <w:proofErr w:type="spellEnd"/>
      <w:r w:rsidRPr="003A457D">
        <w:rPr>
          <w:rFonts w:ascii="Garamond" w:hAnsi="Garamond"/>
          <w:sz w:val="24"/>
          <w:szCs w:val="24"/>
        </w:rPr>
        <w:t xml:space="preserve"> to remain patient and trusting in facing the real journey of life.</w:t>
      </w:r>
    </w:p>
    <w:p w14:paraId="7B99DB24" w14:textId="77777777" w:rsidR="00197662" w:rsidRPr="003A457D" w:rsidRDefault="00197662" w:rsidP="003A457D">
      <w:pPr>
        <w:ind w:firstLine="720"/>
        <w:jc w:val="both"/>
        <w:rPr>
          <w:rFonts w:ascii="Garamond" w:hAnsi="Garamond"/>
          <w:sz w:val="24"/>
          <w:szCs w:val="24"/>
        </w:rPr>
      </w:pPr>
      <w:r w:rsidRPr="003A457D">
        <w:rPr>
          <w:rFonts w:ascii="Garamond" w:hAnsi="Garamond"/>
          <w:sz w:val="24"/>
          <w:szCs w:val="24"/>
        </w:rPr>
        <w:t>A teacher not only conveys knowledge to his students but also assists them in achieving educational success. In carrying out each activity in teaching and learning, the teacher's task is to guide his students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{"citationID":"9n06tB21","properties":{"formattedCitation":"(Maulana, 2017)","plainCitation":"(Maulana, 2017)","noteIndex":0},"citationItems":[{"id":1068,"uris":["http://zotero.org/users/local/GmZiI9vO/items/9AXK5NGN"],"itemData":{"id":1068,"type":"article-journal","abstract":"In the context of Indonesianism and Islamism, religion teachers serve as avant garde of tolerance, which is then manifested into their social contexts. The attitude of religious tolerance and inclusivity are must have for religion teachers; since these teachers have the closest connection to their students who are mostly young people. We have observed that the increasing radicalism in educational institutions has been associated with particular models of interpretation, understanding, teaching, schools of thoughts, denomination, and even sects within a particular religion. For instance, an international agency has reported the discovery of an \"intolerance curriculum\" in Saudi Arabian schools (Freedom House, 2006). In Indonesia, the growth of radicalism was due to scriptural, rigid, exclusive, and close-minded interpretation towards religious scripts. In 2008, PPIM (Center for the Study of Islam and Society) UIN Syarif Hidayatullah Jakarta released an important finding that \"the majority of religion teachers in Indonesian public schools have exclusive and conservative view towards religion.\" DOI: 10.15408/sdi.v24i2.5707","container-title":"Studia Islamika","DOI":"10.15408/SDI.V24I2.5707","page":"395-401","title":"The Exclusivism of Religion Teachers: Intolerance and Radicalism in Indonesian Public Schools","URL":"https://www.semanticscholar.org/paper/e4d3c6687d16617e5cb5c32ddccbfd65a9c823b7","volume":"24","author":[{"family":"Maulana","given":"D."}],"issued":{"date-parts":[["2017"]]}}}],"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(Maulana, 2017)</w:t>
      </w:r>
      <w:r w:rsidRPr="003A457D">
        <w:rPr>
          <w:rFonts w:ascii="Garamond" w:hAnsi="Garamond"/>
          <w:sz w:val="24"/>
          <w:szCs w:val="24"/>
        </w:rPr>
        <w:fldChar w:fldCharType="end"/>
      </w:r>
      <w:r w:rsidRPr="003A457D">
        <w:rPr>
          <w:rFonts w:ascii="Garamond" w:hAnsi="Garamond"/>
          <w:sz w:val="24"/>
          <w:szCs w:val="24"/>
        </w:rPr>
        <w:t>. However, students also need unique guidance, especially when dealing with personality-related problems, to be able to solve the problems correctly</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{"citationID":"jZXtrMlS","properties":{"formattedCitation":"(Paut, 2016)","plainCitation":"(Paut, 2016)","noteIndex":0},"citationItems":[{"id":795,"uris":["http://zotero.org/users/local/GmZiI9vO/items/27YPMS6D"],"itemData":{"id":795,"type":"article-journal","abstract":"Abstrak Penelitian ini bertujuan untuk mendeskripsikan tentang penerapan pendekatan saintifik pada siswa kelas IV di SD Negeri Pujokusuman 1. Penelitian ini menggunakan pendekatan kualitatif dengan jenis penelitian deskriptif. Subyek dalam penelitian ini adalah guru dan siswa di kelas IV SD Negeri Pujokusuman 1. Teknik pengumpulan data menggunakan observasi, wawancara, dan analisis dokumen. Teknik analisis data yang digunakan adalah model Miles dan Huberman yang meliputi pengumpulan data, reduksi data, penyajian data, dan verifikasi. Uji keabsahan data yang digunakan adalah uji kredibilitas yang dilakukan dengan cara triangulasi teknik dan triangulasi sumber. Hasil penelitian menunjukan bahwa guru sudah menerapkan pendekatan saintifik secara maksimal mulai dari perencanaan, pelaksanaan, dan penilaian dalam proses pembelajaran. Langkah-langkah kegiatan dalam penerapan pendekatan saintifik yang meliputi kegiatan mengamati, menanya, mencoba, menalar, dan mengkomunikasikan sudah dilaksanakan oleh guru. Aktifitas siswa dalam proses pembelajaran menunjukan bahwa siswa sudah terlibat secara aktif, antusias, dan termotivasi. Beberapa kendala yang ditemukan oleh guru selama proses pembelajaran dapat diatasi. Kata kunci: pendekatan saintifik, pembelajaran, siswa kelas IV SD Negeri Pujokusuman 1 Abstract This study aims to describe the application of the scientific approach for Grade IV students of SD Negeri Pujokusuman 1. It employed the qualitative approach and was a descriptive study. The research subjects were teachers and students of Grade IV of SD Negeri Pujokusuman 1. The data were collected through observations, interviews, and document analysis. They were analyzed by means of the analysis model by Miles and Huberman, consisting of data collection, data reduction, data display, and verification. The data trustworthiness was enhanced through credibility using technique and source triangulations. The results of the study show that the teachers are ready to apply the scientific approach maximally from the planning, implementation, and evaluation in the learning process. The activity steps in the scientific approach, consisting of observing, questioning, experimenting, associating, and communicating, have been carried out by the teachers. The students’ activities in the learning process show that they are actively involved, enthusiastic, and motivated. Several constraints that the teachers encounter in the learning process can be overcome. Keywords: scientific approach, learning, Grade IV students of SD Negeri Pujokusuman 1","container-title":"Basic Education","page":"511-517","title":"PENERAPAN PENDEKATAN SAINTIFIK PADA SISWA KELAS IV DI SD PUJOKUSUMAN 1 YOGYAKARTA","URL":"https://www.semanticscholar.org/paper/f5b0d6f7e4d71d25ebd315399737f633a97d1a52","volume":"5","author":[{"family":"Paut","given":"Mega Silvira"}],"issued":{"date-parts":[["2016"]]}}}],"schema":"https://github.com/citation-style-language/schema/raw/master/csl-citation.json"}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Paut</w:t>
      </w:r>
      <w:proofErr w:type="spellEnd"/>
      <w:r w:rsidRPr="003A457D">
        <w:rPr>
          <w:rFonts w:ascii="Garamond" w:hAnsi="Garamond"/>
          <w:sz w:val="24"/>
          <w:szCs w:val="24"/>
        </w:rPr>
        <w:t>, 2016)</w:t>
      </w:r>
      <w:r w:rsidRPr="003A457D">
        <w:rPr>
          <w:rFonts w:ascii="Garamond" w:hAnsi="Garamond"/>
          <w:sz w:val="24"/>
          <w:szCs w:val="24"/>
        </w:rPr>
        <w:fldChar w:fldCharType="end"/>
      </w:r>
      <w:r w:rsidRPr="003A457D">
        <w:rPr>
          <w:rFonts w:ascii="Garamond" w:hAnsi="Garamond"/>
          <w:sz w:val="24"/>
          <w:szCs w:val="24"/>
        </w:rPr>
        <w:t xml:space="preserve">. This is where the fundamental role of the existence of guidance and </w:t>
      </w:r>
      <w:proofErr w:type="spellStart"/>
      <w:r w:rsidRPr="003A457D">
        <w:rPr>
          <w:rFonts w:ascii="Garamond" w:hAnsi="Garamond"/>
          <w:sz w:val="24"/>
          <w:szCs w:val="24"/>
        </w:rPr>
        <w:t>Counseling</w:t>
      </w:r>
      <w:proofErr w:type="spellEnd"/>
      <w:r w:rsidRPr="003A457D">
        <w:rPr>
          <w:rFonts w:ascii="Garamond" w:hAnsi="Garamond"/>
          <w:sz w:val="24"/>
          <w:szCs w:val="24"/>
        </w:rPr>
        <w:t xml:space="preserve"> in schools. Guidance and </w:t>
      </w:r>
      <w:proofErr w:type="spellStart"/>
      <w:r w:rsidRPr="003A457D">
        <w:rPr>
          <w:rFonts w:ascii="Garamond" w:hAnsi="Garamond"/>
          <w:sz w:val="24"/>
          <w:szCs w:val="24"/>
        </w:rPr>
        <w:t>Counseling</w:t>
      </w:r>
      <w:proofErr w:type="spellEnd"/>
      <w:r w:rsidRPr="003A457D">
        <w:rPr>
          <w:rFonts w:ascii="Garamond" w:hAnsi="Garamond"/>
          <w:sz w:val="24"/>
          <w:szCs w:val="24"/>
        </w:rPr>
        <w:t>, as a component of education, have a significant role in fulfilling the rights of students to obtain educational services following their talents, interests, and abilities</w:t>
      </w:r>
      <w:r w:rsidRPr="003A457D">
        <w:rPr>
          <w:rFonts w:ascii="Garamond" w:hAnsi="Garamond"/>
          <w:sz w:val="24"/>
          <w:szCs w:val="24"/>
          <w:lang w:val="en-US"/>
        </w:rPr>
        <w:t xml:space="preserve"> </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{"citationID":"T9YbYFlH","properties":{"formattedCitation":"(Lagudador &amp; Dotong, 2014)","plainCitation":"(Lagudador &amp; Dotong, 2014)","noteIndex":0},"citationItems":[{"id":1029,"uris":["http://zotero.org/users/local/GmZiI9vO/items/Z2E6GB3Q"],"itemData":{"id":1029,"type":"article-journal","abstract":"This study aimed to identify the extent of knowledge and practice of the COE Faculty Members on the Outcomes-Based Education implementation in Lyceum of the Philippines University – Batangas during 1st Semester, SY 2013 – 2014. Descriptive type of research was utilized in the study. Results showed that there is a great extent in terms of knowledge and practice on OBE implementation among the faculty members of the College of Engineering, however there is a moderate extent on the level of understanding of faculty members on the appropriate assessment method to be utilized. Faculty members with high level of knowledge and understanding on the implementation of OBE have also higher possibility to contribute in the realization of the objectives of OBE through practice. The proposed action plan may be implemented and evaluated to ensure its utilization and effectiveness. Provide follow-up studies regarding the problems encountered by the faculty members in submitting the OBE requirements.","container-title":"International Journal of Academic Research in Progressive Education and Development","DOI":"10.6007/IJARPED/V3-I1/640","page":"63-74","title":"Knowledge versus Practice on the Outcomes-Based Education Implementation of the Engineering Faculty Members in LPU","URL":"https://www.semanticscholar.org/paper/f168602c1d171eb23ee7113e2f591b462ac9643e","volume":"3","author":[{"family":"Lagudador","given":"Jake M."},{"family":"Dotong","given":"Conrado I."}],"issued":{"date-parts":[["2014"]]}}}],"schema":"https://github.com/citation-style-language/schema/raw/master/csl-citation.json"}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rPr>
        <w:t>(</w:t>
      </w:r>
      <w:proofErr w:type="spellStart"/>
      <w:r w:rsidRPr="003A457D">
        <w:rPr>
          <w:rFonts w:ascii="Garamond" w:hAnsi="Garamond"/>
          <w:sz w:val="24"/>
          <w:szCs w:val="24"/>
        </w:rPr>
        <w:t>Lagudador</w:t>
      </w:r>
      <w:proofErr w:type="spellEnd"/>
      <w:r w:rsidRPr="003A457D">
        <w:rPr>
          <w:rFonts w:ascii="Garamond" w:hAnsi="Garamond"/>
          <w:sz w:val="24"/>
          <w:szCs w:val="24"/>
        </w:rPr>
        <w:t xml:space="preserve"> &amp; </w:t>
      </w:r>
      <w:proofErr w:type="spellStart"/>
      <w:r w:rsidRPr="003A457D">
        <w:rPr>
          <w:rFonts w:ascii="Garamond" w:hAnsi="Garamond"/>
          <w:sz w:val="24"/>
          <w:szCs w:val="24"/>
        </w:rPr>
        <w:t>Dotong</w:t>
      </w:r>
      <w:proofErr w:type="spellEnd"/>
      <w:r w:rsidRPr="003A457D">
        <w:rPr>
          <w:rFonts w:ascii="Garamond" w:hAnsi="Garamond"/>
          <w:sz w:val="24"/>
          <w:szCs w:val="24"/>
        </w:rPr>
        <w:t>, 2014)</w:t>
      </w:r>
      <w:r w:rsidRPr="003A457D">
        <w:rPr>
          <w:rFonts w:ascii="Garamond" w:hAnsi="Garamond"/>
          <w:sz w:val="24"/>
          <w:szCs w:val="24"/>
        </w:rPr>
        <w:fldChar w:fldCharType="end"/>
      </w:r>
      <w:r w:rsidRPr="003A457D">
        <w:rPr>
          <w:rFonts w:ascii="Garamond" w:hAnsi="Garamond"/>
          <w:sz w:val="24"/>
          <w:szCs w:val="24"/>
        </w:rPr>
        <w:t xml:space="preserve">. </w:t>
      </w:r>
      <w:proofErr w:type="spellStart"/>
      <w:r w:rsidRPr="003A457D">
        <w:rPr>
          <w:rFonts w:ascii="Garamond" w:hAnsi="Garamond"/>
          <w:sz w:val="24"/>
          <w:szCs w:val="24"/>
        </w:rPr>
        <w:t>Counselors</w:t>
      </w:r>
      <w:proofErr w:type="spellEnd"/>
      <w:r w:rsidRPr="003A457D">
        <w:rPr>
          <w:rFonts w:ascii="Garamond" w:hAnsi="Garamond"/>
          <w:sz w:val="24"/>
          <w:szCs w:val="24"/>
        </w:rPr>
        <w:t xml:space="preserve"> who can develop students' talents, interests, and abilities are facilitated/provided by the central government or local governments according to the needs of the education unit</w:t>
      </w:r>
      <w:r w:rsidRPr="003A457D">
        <w:rPr>
          <w:rFonts w:ascii="Garamond" w:hAnsi="Garamond"/>
          <w:sz w:val="24"/>
          <w:szCs w:val="24"/>
        </w:rPr>
        <w:fldChar w:fldCharType="begin"/>
      </w:r>
      <w:r w:rsidRPr="003A457D">
        <w:rPr>
          <w:rFonts w:ascii="Garamond" w:hAnsi="Garamond"/>
          <w:sz w:val="24"/>
          <w:szCs w:val="24"/>
        </w:rPr>
        <w:instrText xml:space="preserve"> ADDIN ZOTERO_ITEM CSL_CITATION {"citationID":"DHVf9i7P","properties":{"formattedCitation":"(Banks &amp; Banks, 1989)","plainCitation":"(Banks &amp; Banks, 1989)","noteIndex":0},"citationItems":[{"id":1182,"uris":["http://zotero.org/users/local/GmZiI9vO/items/A2LQ2F73"],"itemData":{"id":1182,"type":"article-journal","abstract":"Part I Issues and Concepts Chapter 1: Multicultural Education: Characteristics and Goals James A. Banks Chapter 2: Culture, Teaching, and Learning Christina Convertino, Bradley A. Levinson, and Norma Gonzalez Chapter 3: Race, Class, Gender, and Disability in the Classroom Carl A. Grant and Christine E. Sleeter Part II Social Class and Religion Chapter 4: Social Class and Education Lois Weis Chapter 5: Christian Nation or Pluralistic Culture: Religion in American Life Charles H. Lippy Part III Gender Chapter 6: Gender Bias: From Colonial America to Today's Classrooms David Sadker and Karen Zittleman Chapter 7: Classrooms for Diversity: Rethinking Curriculum and Pedagogy Mary Kay Thompson Tetreault Chapter 8: Understanding and Supporting Gender Equity in Schools Diane Pollard Chapter 9: Queer Lessons: Multiculturalism and Sexual and Gender Minorities in Multicultural Education Cris Mayo Part IV Race, Ethnicity, and Language Chapter 10: Approaches to Multicultural Curriculum Reform James A. Banks Chapter 11: Backstage Racism: Implications for Teaching Leslie H. Picca and Ruth Thompson-Miller Chapter 12: Language Diversity and Schooling Tom T. Stritikus and Manka M. Varghese Part V Exceptionality Chapter 13: Educational Equality for Students with Disabilities Sara C. Bicard and William L. Heward Chapter 14: School Inclusion and Multicultural Issues in Special Education Luanna H. Meyer, Jill M. Bevan-Brown, Hyun-Sook Park and Catherine Savage Chapter 15: Recruiting and Retaining Gifted Students from Different Ethnic, Cultural, and Language Groups Donna Y. Ford Part VI School Reform Chapter 16: School Reform and Student Learning: A Multicultural Perspective Sonia Nieto and Patty Bode Chapter 17: Families and Teachers Working Together for School Improvement Cherry A. McGee Banks","title":"Multicultural Education: Issues and Perspectives","URL":"https://www.semanticscholar.org/paper/c334ca6df965434abd2b3109fc92eb46e6b20dc9","author":[{"family":"Banks","given":"J."},{"family":"Banks","given":"C."}],"issued":{"date-parts":[["1989"]]}}}],"schema":"https://github.com/citation-style-language/schema/raw/master/csl-citation.json"} </w:instrText>
      </w:r>
      <w:r w:rsidRPr="003A457D">
        <w:rPr>
          <w:rFonts w:ascii="Garamond" w:hAnsi="Garamond"/>
          <w:sz w:val="24"/>
          <w:szCs w:val="24"/>
        </w:rPr>
        <w:fldChar w:fldCharType="separate"/>
      </w:r>
      <w:r w:rsidRPr="003A457D">
        <w:rPr>
          <w:rFonts w:ascii="Garamond" w:hAnsi="Garamond"/>
          <w:sz w:val="24"/>
          <w:szCs w:val="24"/>
          <w:lang w:val="en-US"/>
        </w:rPr>
        <w:t xml:space="preserve"> </w:t>
      </w:r>
      <w:r w:rsidRPr="003A457D">
        <w:rPr>
          <w:rFonts w:ascii="Garamond" w:hAnsi="Garamond"/>
          <w:sz w:val="24"/>
          <w:szCs w:val="24"/>
        </w:rPr>
        <w:t>(Banks &amp; Banks, 1989)</w:t>
      </w:r>
      <w:r w:rsidRPr="003A457D">
        <w:rPr>
          <w:rFonts w:ascii="Garamond" w:hAnsi="Garamond"/>
          <w:sz w:val="24"/>
          <w:szCs w:val="24"/>
        </w:rPr>
        <w:fldChar w:fldCharType="end"/>
      </w:r>
      <w:r w:rsidRPr="003A457D">
        <w:rPr>
          <w:rFonts w:ascii="Garamond" w:hAnsi="Garamond"/>
          <w:sz w:val="24"/>
          <w:szCs w:val="24"/>
        </w:rPr>
        <w:t>.</w:t>
      </w:r>
    </w:p>
    <w:p w14:paraId="5878E166" w14:textId="77777777" w:rsidR="00197662" w:rsidRPr="003A457D" w:rsidRDefault="00197662" w:rsidP="003A457D">
      <w:pPr>
        <w:shd w:val="clear" w:color="auto" w:fill="FFFFFF"/>
        <w:ind w:firstLine="720"/>
        <w:jc w:val="both"/>
        <w:outlineLvl w:val="0"/>
        <w:rPr>
          <w:rFonts w:ascii="Garamond" w:hAnsi="Garamond"/>
          <w:noProof/>
          <w:sz w:val="24"/>
          <w:szCs w:val="24"/>
          <w:lang w:val="en-US"/>
        </w:rPr>
      </w:pPr>
    </w:p>
    <w:p w14:paraId="306BE07F" w14:textId="77777777" w:rsidR="00197662" w:rsidRPr="003A457D" w:rsidRDefault="00197662" w:rsidP="003A457D">
      <w:pPr>
        <w:shd w:val="clear" w:color="auto" w:fill="FFFFFF"/>
        <w:ind w:firstLine="720"/>
        <w:jc w:val="both"/>
        <w:outlineLvl w:val="0"/>
        <w:rPr>
          <w:rFonts w:ascii="Garamond" w:hAnsi="Garamond"/>
          <w:noProof/>
          <w:sz w:val="24"/>
          <w:szCs w:val="24"/>
          <w:lang w:val="en-US"/>
        </w:rPr>
      </w:pPr>
      <w:r w:rsidRPr="003A457D">
        <w:rPr>
          <w:rFonts w:ascii="Garamond" w:hAnsi="Garamond"/>
          <w:noProof/>
          <w:sz w:val="24"/>
          <w:szCs w:val="24"/>
          <w:lang w:val="en-US"/>
        </w:rPr>
        <w:t xml:space="preserve">Learning is the process of storing information and knowledge in your memory so that it can be used in the future to do a specific action successfully or to understand something precisely. Learning is the process of gaining valuable knowledge and information that may be used to improve one's awareness and intelligence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{"citationID":"4bHxqJQr","properties":{"formattedCitation":"(Duggan 1996)","plainCitation":"(Duggan 1996)","noteIndex":0},"citationItems":[{"id":1075,"uris":["http://zotero.org/users/local/GmZiI9vO/items/PDSG42T6"],"itemData":{"id":1075,"type":"article-journal","abstract":"With the conclusion of 1994, Cambodia will have ended its first year of rehabilitation under a freely elected government. Since the 1993 elections, Cambodia has moved cautiously towards a modern era and there has been considerable international effort to ensure that all sectors of the economy achieve the improvements required to achieve political and economic stability towards 2000. The education sector has been a major focus. Cambodia is ready to move into the next stage of development of the education sector-reconstruction. With the non-governmental organisations (NGOs) having provided support in this sector for over 10 years, the restoration of bilateral and multilateral aid will see a growing involvement of foreign governments and donor organisations in the restoration of the sector. This activity will need to be coordinated. Cambodia had a rapidly expanding education system before Pol Pot's Year Zero. Largely based on French colonial models and structures that system served a society very much in tra...","DOI":"10.1080/03050069628768","title":"Education, Teacher Training and Prospects for Economic Recovery in Cambodia","URL":"https://www.semanticscholar.org/paper/c9071bfebfb961313bc268ffd111a72c71243de4","author":[{"family":"Duggan","given":"S."}],"issued":{"date-parts":[["1996"]]}}}],"schema":"https://github.com/citation-style-language/schema/raw/master/csl-citation.json"}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(Duggan 1996)</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If you want to learn to be effective and efficient, it must be helpful, practical, intentional, cumulative, and completed at appropriate stages (Viola &amp; Jones, 2001)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{"citationID":"UrfduHV1","properties":{"formattedCitation":"(Holmes et al. 2020)","plainCitation":"(Holmes et al. 2020)","noteIndex":0},"citationItems":[{"id":407,"uris":["http://zotero.org/users/local/GmZiI9vO/items/MV7L36EV"],"itemData":{"id":407,"type":"article-journal","abstract":"Summary The coronavirus disease 2019 (COVID-19) pandemic is having a profound effect on all aspects of society, including mental health and physical health. We explore the psychological, social, and neuroscientific effects of COVID-19 and set out the immediate priorities and longer-term strategies for mental health science research. These priorities were informed by surveys of the public and an expert panel convened by the UK Academy of Medical Sciences and the mental health research charity, MQ: Transforming Mental Health, in the first weeks of the pandemic in the UK in March, 2020. We urge UK research funding agencies to work with researchers, people with lived experience, and others to establish a high level coordination group to ensure that these research priorities are addressed, and to allow new ones to be identified over time. The need to maintain high-quality research standards is imperative. International collaboration and a global perspective will be beneficial. An immediate priority is collecting high-quality data on the mental health effects of the COVID-19 pandemic across the whole population and vulnerable groups, and on brain function, cognition, and mental health of patients with COVID-19. There is an urgent need for research to address how mental health consequences for vulnerable groups can be mitigated under pandemic conditions, and on the impact of repeated media consumption and health messaging around COVID-19. Discovery, evaluation, and refinement of mechanistically driven interventions to address the psychological, social, and neuroscientific aspects of the pandemic are required. Rising to this challenge will require integration across disciplines and sectors, and should be done together with people with lived experience. New funding will be required to meet these priorities, and it can be efficiently leveraged by the UK's world-leading infrastructure. This Position Paper provides a strategy that may be both adapted for, and integrated with, research efforts in other countries.","DOI":"10.1016/S2215-0366(20)30168-1","title":"Multidisciplinary research priorities for the COVID-19 pandemic: a call for action for mental health science","URL":"https://www.semanticscholar.org/paper/108ad10767769ef34ac5aec1a972b7597f6335d5","author":[{"family":"Holmes","given":"E."},{"family":"O'Connor","given":"R."},{"family":"Perry","given":"V."},{"family":"Tracey","given":"I."},{"family":"Wessely","given":"S."},{"family":"Arseneault","given":"L."},{"family":"Ballard","given":"C."},{"family":"Christensen","given":"H."},{"family":"Silver","given":"Roxane Cohen"},{"family":"Everall","given":"I."},{"family":"Ford","given":"T."},{"family":"John","given":"A."},{"family":"Kabir","given":"T."},{"family":"King","given":"Kate"},{"family":"Madan","given":"I."},{"family":"Michie","given":"S."},{"family":"Przybylski","given":"Andrew K."},{"family":"Shafran","given":"R."},{"family":"Sweeney","given":"A."},{"family":"Worthman","given":"C."},{"family":"Yardley","given":"L."},{"family":"Cowan","given":"K."},{"family":"Cope","given":"C."},{"family":"Hotopf","given":"M."},{"family":"Bullmore","given":"E."}],"issued":{"date-parts":[["2020"]]}}}],"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(Holmes et al., 2020)</w:t>
      </w:r>
      <w:r w:rsidRPr="003A457D">
        <w:rPr>
          <w:rFonts w:ascii="Garamond" w:hAnsi="Garamond"/>
          <w:noProof/>
          <w:sz w:val="24"/>
          <w:szCs w:val="24"/>
          <w:lang w:val="en-US"/>
        </w:rPr>
        <w:fldChar w:fldCharType="end"/>
      </w:r>
      <w:r w:rsidRPr="003A457D">
        <w:rPr>
          <w:rFonts w:ascii="Garamond" w:hAnsi="Garamond"/>
          <w:noProof/>
          <w:sz w:val="24"/>
          <w:szCs w:val="24"/>
          <w:lang w:val="en-US"/>
        </w:rPr>
        <w:t>.</w:t>
      </w:r>
    </w:p>
    <w:p w14:paraId="359024D4" w14:textId="77777777" w:rsidR="00197662" w:rsidRPr="003A457D" w:rsidRDefault="00197662" w:rsidP="003A457D">
      <w:pPr>
        <w:shd w:val="clear" w:color="auto" w:fill="FFFFFF"/>
        <w:ind w:firstLine="90"/>
        <w:jc w:val="both"/>
        <w:outlineLvl w:val="0"/>
        <w:rPr>
          <w:rFonts w:ascii="Garamond" w:hAnsi="Garamond"/>
          <w:noProof/>
          <w:sz w:val="24"/>
          <w:szCs w:val="24"/>
          <w:lang w:val="en-US"/>
        </w:rPr>
      </w:pPr>
      <w:r w:rsidRPr="003A457D">
        <w:rPr>
          <w:rFonts w:ascii="Garamond" w:hAnsi="Garamond"/>
          <w:noProof/>
          <w:sz w:val="24"/>
          <w:szCs w:val="24"/>
        </w:rPr>
        <w:drawing>
          <wp:inline distT="0" distB="0" distL="0" distR="0" wp14:anchorId="7F7E7F55" wp14:editId="32E7D6B7">
            <wp:extent cx="5542972" cy="236513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49038" cy="2367719"/>
                    </a:xfrm>
                    <a:prstGeom prst="rect">
                      <a:avLst/>
                    </a:prstGeom>
                    <a:noFill/>
                    <a:ln>
                      <a:noFill/>
                    </a:ln>
                  </pic:spPr>
                </pic:pic>
              </a:graphicData>
            </a:graphic>
          </wp:inline>
        </w:drawing>
      </w:r>
    </w:p>
    <w:p w14:paraId="75E1B7CC" w14:textId="77777777" w:rsidR="00197662" w:rsidRPr="003A457D" w:rsidRDefault="00197662" w:rsidP="003A457D">
      <w:pPr>
        <w:shd w:val="clear" w:color="auto" w:fill="FFFFFF"/>
        <w:ind w:firstLine="90"/>
        <w:jc w:val="both"/>
        <w:outlineLvl w:val="0"/>
        <w:rPr>
          <w:rFonts w:ascii="Garamond" w:hAnsi="Garamond"/>
          <w:noProof/>
          <w:sz w:val="24"/>
          <w:szCs w:val="24"/>
          <w:lang w:val="en-US"/>
        </w:rPr>
      </w:pPr>
      <w:r w:rsidRPr="003A457D">
        <w:rPr>
          <w:rFonts w:ascii="Garamond" w:hAnsi="Garamond"/>
          <w:noProof/>
          <w:sz w:val="24"/>
          <w:szCs w:val="24"/>
          <w:lang w:val="en-US"/>
        </w:rPr>
        <w:t>Figure 1. Learning outcomes</w:t>
      </w:r>
    </w:p>
    <w:p w14:paraId="6F5504B1" w14:textId="77777777" w:rsidR="00197662" w:rsidRPr="003A457D" w:rsidRDefault="00197662" w:rsidP="003A457D">
      <w:pPr>
        <w:shd w:val="clear" w:color="auto" w:fill="FFFFFF"/>
        <w:ind w:firstLine="720"/>
        <w:jc w:val="both"/>
        <w:outlineLvl w:val="0"/>
        <w:rPr>
          <w:rFonts w:ascii="Garamond" w:hAnsi="Garamond"/>
          <w:noProof/>
          <w:sz w:val="24"/>
          <w:szCs w:val="24"/>
          <w:lang w:val="en-US"/>
        </w:rPr>
      </w:pPr>
      <w:r w:rsidRPr="003A457D">
        <w:rPr>
          <w:rFonts w:ascii="Garamond" w:hAnsi="Garamond"/>
          <w:noProof/>
          <w:sz w:val="24"/>
          <w:szCs w:val="24"/>
          <w:lang w:val="en-US"/>
        </w:rPr>
        <w:lastRenderedPageBreak/>
        <w:t xml:space="preserve">Figure 1 shows the learning outcomes from 1970 to 2015. There are numerous advantages to studying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{"citationID":"hxdLHFVd","properties":{"formattedCitation":"(Annand 2011)","plainCitation":"(Annand 2011)","noteIndex":0},"citationItems":[{"id":575,"uris":["http://zotero.org/users/local/GmZiI9vO/items/ZS6EA679"],"itemData":{"id":575,"type":"article-journal","abstract":"The role of social presence as defined by the community of inquiry (CoI) framework is critiqued through a review of recent literature. Evidence is presented that questions the actual extent of knowledge co-construction that occurs in most higher education settings and therefore challenges the framework’s underlying assumption of the need for sustained, contiguous, two-way communication in higher-level online learning environments. The CoI framework has evolved from the description of a learning process within a social constructivist paradigm to an empirically testable construct in an objectivist paradigm. Related research results indicate that social presence does not impact cognitive presence in a meaningful way and that best teaching practices suggested by CoI-based studies are informed by objectivist, cognitively oriented learning theories. These suggest that higher-order cognition may be achieved through wide and varied combinations of learner–teacher, learner–content, and learner–learner interaction. Controlled studies can and should be undertaken to compare learning outcomes using sustained, contiguous, two-way communication to other learning models. To facilitate this, subcategories of social and teaching presences need to be revamped and analysis adjusted to separate processes that support explicitly group-based learning activities from those used by individual students.","container-title":"The International Review of Research in Open and Distributed Learning","DOI":"10.19173/IRRODL.V12I5.924","page":"40-56","title":"Social Presence within the Community of Inquiry Framework.","URL":"https://www.semanticscholar.org/paper/8ccf4d77be6a8a19ee4709c6fde99f9108af2fad","volume":"12","author":[{"family":"Annand","given":"David"}],"issued":{"date-parts":[["2011"]]}}}],"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(Annand 2011)</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However, learning needs dedication. Learning more about yourself and the world around you will necessitate a commitment to learning and a pledge to continue learning and seeking out additional information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{"citationID":"PFaQxr2A","properties":{"formattedCitation":"(Alavi and Taghizadeh 2013)","plainCitation":"(Alavi and Taghizadeh 2013)","noteIndex":0},"citationItems":[{"id":574,"uris":["http://zotero.org/users/local/GmZiI9vO/items/T8BULR7W"],"itemData":{"id":574,"type":"article-journal","abstract":"This study aimed to investigate the existence of cognitive presence as one of the elements of Community of Inquiry framework in virtual centers of undergraduate students of science and technology. To achieve the purpose of this study, first a questionnaire was uniquely developed on the basis of the suggestions made in the literature reviewing the indicators of cognitive element of CoI framework. The questionnaire was then administered to undergraduate students (N=107) who were studying a technical or a technological course in the Iran University of Science and Technology and Khajeh Nasir Toosi University of Technology. The analysis of the questionnaire data showed that (a) considering the categories, Exploration and Resolution categories appeared more frequently than others in virtual centers of the present study. (b) The indicators of Divergence, Information exchange, and Applying new ideas were hierarchically frequent. In order to promote and sustain cognitive presence, this study suggests virtual language educators to incorporate the indicators of cognitive presence into their classroom context.","container-title":"International Journal of e-Learning and Distance Education","page":"1","title":"Cognitive Presence in A Virtual Learning Community: An EFL Case","URL":"https://www.semanticscholar.org/paper/926fae860e2ff10d525cc244fa7738f045959b6b","volume":"27","author":[{"family":"Alavi","given":"S. M."},{"family":"Taghizadeh","given":"M."}],"issued":{"date-parts":[["2013"]]}}}],"schema":"https://github.com/citation-style-language/schema/raw/master/csl-citation.json"}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Alavi</w:t>
      </w:r>
      <w:proofErr w:type="spellEnd"/>
      <w:r w:rsidRPr="003A457D">
        <w:rPr>
          <w:rFonts w:ascii="Garamond" w:hAnsi="Garamond"/>
          <w:sz w:val="24"/>
          <w:szCs w:val="24"/>
        </w:rPr>
        <w:t xml:space="preserve"> and </w:t>
      </w:r>
      <w:proofErr w:type="spellStart"/>
      <w:r w:rsidRPr="003A457D">
        <w:rPr>
          <w:rFonts w:ascii="Garamond" w:hAnsi="Garamond"/>
          <w:sz w:val="24"/>
          <w:szCs w:val="24"/>
        </w:rPr>
        <w:t>Taghizadeh</w:t>
      </w:r>
      <w:proofErr w:type="spellEnd"/>
      <w:r w:rsidRPr="003A457D">
        <w:rPr>
          <w:rFonts w:ascii="Garamond" w:hAnsi="Garamond"/>
          <w:sz w:val="24"/>
          <w:szCs w:val="24"/>
        </w:rPr>
        <w:t xml:space="preserve"> 2013)</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Learning encourages more learning, knowledge encourages more knowledge, and skills encourage more skills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{"citationID":"vPkH5aG9","properties":{"formattedCitation":"(Kumar et al. 2011)","plainCitation":"(Kumar et al. 2011)","noteIndex":0},"citationItems":[{"id":573,"uris":["http://zotero.org/users/local/GmZiI9vO/items/6GU6TUVZ"],"itemData":{"id":573,"type":"article-journal","abstract":"The community of inquiry (CoI) framework has commonly been used to study teaching and learning in online courses (Garrison, Anderson, &amp; Archer 2000). This paper describes the implementation of the CoI framework in a cohort-based online EdD program, where teaching presence and cognitive presence were easier to foster than social presence. Based on the results of an initial evaluation, suggestions are made to expand the components of the CoI framework when using it at a program level. Lessons learned from the implementation are also shared to assist others wishing to apply the CoI framework to online graduate programs.","container-title":"The International Review of Research in Open and Distributed Learning","DOI":"10.19173/IRRODL.V12I6.978","page":"126-142","title":"Applying the community of inquiry framework to an online professional practice doctoral program","URL":"https://www.semanticscholar.org/paper/3c54ab074c35b14b2722119ac7a7982c3ae9751a","volume":"12","author":[{"family":"Kumar","given":"Swapna"},{"family":"Dawson","given":"K."},{"family":"Black","given":"E."},{"family":"Cavanaugh","given":"Cathy"},{"family":"Sessums","given":"Christopher D."}],"issued":{"date-parts":[["2011"]]}}}],"schema":"https://github.com/citation-style-language/schema/raw/master/csl-citation.json"}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(Kumar et al. 2011)</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Learning encompasses everything you are now and will become in the future. Learning improves your thoughts, ideas, solutions, comprehension, skills, and awareness, to name a few benefits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{"citationID":"1hA4wxHX","properties":{"formattedCitation":"(Garrison, Anderson, and Garrison 2003)","plainCitation":"(Garrison, Anderson, and Garrison 2003)","noteIndex":0},"citationItems":[{"id":571,"uris":["http://zotero.org/users/local/GmZiI9vO/items/V74MHT8X"],"itemData":{"id":571,"type":"article-journal","abstract":"From the Publisher: There is a technological revolution taking place in higher education. The growth of 'e-learning' is being described as explosive, unprecedented and disruptive. E-Learning in the 21st Century provides a framework for understanding the application and characteristics of e-learning in higher education. The authors discuss their extensive research from technological, pedagogical and organizational perspectives in order to create practical models and release the full potential of e-learning. This in-depth understanding will give direction and guidance to educators who wish to facilitate critical discourse and higher-order learning through the use of electronic technologies in a networked learning context.","DOI":"10.4324/9780203166093","title":"E-Learning in the 21st Century: A Framework for Research and Practice","URL":"https://www.semanticscholar.org/paper/8fdd2a13b27ec84abd82f484decab1db99ac5202","author":[{"family":"Garrison","given":"D."},{"family":"Anderson","given":"T."},{"family":"Garrison","given":"R."}],"issued":{"date-parts":[["2003"]]}}}],"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(Garrison, Anderson, and Garrison 2003)</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Everything on this page will provide you with the foundation upon which you can build. Everything seems conceivable from there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{"citationID":"zxiSiWhT","properties":{"formattedCitation":"(Arbaugh and Rau 2007)","plainCitation":"(Arbaugh and Rau 2007)","noteIndex":0},"citationItems":[{"id":572,"uris":["http://zotero.org/users/local/GmZiI9vO/items/94GXMCS9"],"itemData":{"id":572,"type":"article-journal","abstract":"This article reports the results of a 2-year study examining the effects of subject matter, course structure, and participant behaviors on students' perceived learning and satisfaction with delivery medium in Web-based courses of an MBA program in the midwestern United States. Using finance as the referent discipline, we found statistically significant differences in the mean course outcomes (students' perceived learning and satisfaction with delivery medium) associated with 13 business disciplines. Although most of these disciplinary differences ceased to be significant predictors of student perceived learning as structural and behavioral characteristics were incorporated into the model, these differences remained significant predictors of perceived delivery medium satisfaction. We also found that some structural and behavioral characteristics were significant predictors of course outcomes, but in opposite directions. For instance, media variety was a positive predictor of delivery medium satisfaction but a negative predictor of perceived learning, while learner–learner interaction positively predicted perceived learning but negatively predicted delivery medium satisfaction. These findings suggest that instructors of online graduate courses must manage trade-offs in balancing students' learning with their perceptions of the internet as a course delivery medium.","container-title":"Decision Sciences Journal of Innovative Education","DOI":"10.1111/J.1540-4609.2007.00128.X","page":"65-95","title":"A Study of Disciplinary, Structural, and Behavioral Effects on Course Outcomes in Online MBA Courses","URL":"https://www.semanticscholar.org/paper/0f9eff68f5b1d691ae25d96388a760211ebb65f0","volume":"5","author":[{"family":"Arbaugh","given":"J."},{"family":"Rau","given":"B."}],"issued":{"date-parts":[["2007"]]}}}],"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Arbaugh</w:t>
      </w:r>
      <w:proofErr w:type="spellEnd"/>
      <w:r w:rsidRPr="003A457D">
        <w:rPr>
          <w:rFonts w:ascii="Garamond" w:hAnsi="Garamond"/>
          <w:sz w:val="24"/>
          <w:szCs w:val="24"/>
        </w:rPr>
        <w:t xml:space="preserve"> and Rau 2007)</w:t>
      </w:r>
      <w:r w:rsidRPr="003A457D">
        <w:rPr>
          <w:rFonts w:ascii="Garamond" w:hAnsi="Garamond"/>
          <w:noProof/>
          <w:sz w:val="24"/>
          <w:szCs w:val="24"/>
          <w:lang w:val="en-US"/>
        </w:rPr>
        <w:fldChar w:fldCharType="end"/>
      </w:r>
      <w:r w:rsidRPr="003A457D">
        <w:rPr>
          <w:rFonts w:ascii="Garamond" w:hAnsi="Garamond"/>
          <w:noProof/>
          <w:sz w:val="24"/>
          <w:szCs w:val="24"/>
          <w:lang w:val="en-US"/>
        </w:rPr>
        <w:t>.</w:t>
      </w:r>
    </w:p>
    <w:p w14:paraId="2BA1F69C" w14:textId="464E47A0" w:rsidR="00197662" w:rsidRPr="003A457D" w:rsidRDefault="00197662" w:rsidP="003A457D">
      <w:pPr>
        <w:shd w:val="clear" w:color="auto" w:fill="FFFFFF"/>
        <w:ind w:firstLine="720"/>
        <w:jc w:val="both"/>
        <w:outlineLvl w:val="0"/>
        <w:rPr>
          <w:rFonts w:ascii="Garamond" w:hAnsi="Garamond"/>
          <w:noProof/>
          <w:sz w:val="24"/>
          <w:szCs w:val="24"/>
          <w:lang w:val="en-US"/>
        </w:rPr>
      </w:pPr>
      <w:r w:rsidRPr="003A457D">
        <w:rPr>
          <w:rFonts w:ascii="Garamond" w:hAnsi="Garamond"/>
          <w:noProof/>
          <w:sz w:val="24"/>
          <w:szCs w:val="24"/>
          <w:lang w:val="en-US"/>
        </w:rPr>
        <w:t xml:space="preserve">The literature used is from the Scopus database from 2012 to 2022, a trend in learning methods. The study was used through bibliometrics. Meanwhile, researchers use bibliometrics as an essential thing to map bibliographic information on specific topics. Therefore, this article aims to complement other essential components of teacher and learning method study maps to achieve a more thorough mapping from 2012 to 2022. This study focuses on bibliometrics concerning publication trends, the most influential journals, citation patterns, author keywords, creator collaborations, collaborative institutions, and country statistics of the published authors </w:t>
      </w:r>
      <w:r w:rsidRPr="003A457D">
        <w:rPr>
          <w:rFonts w:ascii="Garamond" w:hAnsi="Garamond"/>
          <w:noProof/>
          <w:sz w:val="24"/>
          <w:szCs w:val="24"/>
          <w:lang w:val="en-US"/>
        </w:rPr>
        <w:fldChar w:fldCharType="begin"/>
      </w:r>
      <w:r w:rsidRPr="003A457D">
        <w:rPr>
          <w:rFonts w:ascii="Garamond" w:hAnsi="Garamond"/>
          <w:noProof/>
          <w:sz w:val="24"/>
          <w:szCs w:val="24"/>
          <w:lang w:val="en-US"/>
        </w:rPr>
        <w:instrText xml:space="preserve"> ADDIN ZOTERO_ITEM CSL_CITATION {"citationID":"24GbbcDB","properties":{"formattedCitation":"(Rourke et al. 2007)","plainCitation":"(Rourke et al. 2007)","noteIndex":0},"citationItems":[{"id":606,"uris":["http://zotero.org/users/local/GmZiI9vO/items/4V3AKMPL"],"itemData":{"id":606,"type":"article-journal","abstract":"This paper discusses the potential and the methodological challenges of analyzing computer conference transcripts using quantitative content analysis. The paper is divided into six sections, which discuss: criteria for content analysis, research designs, types of content, units of analysis, ethical issues, and software to aid analysis. The discussion is supported with a survey of 19 commonly referenced studies published during the last decade. The paper is designed to assist researchers in using content analysis to further the understanding of teaching and learning using computer conferencing. SCENARIO Professor Jones has just completed her first university course delivered entirely on- line. The 13-week semester class has left Jones in a state of mild exhaustion. However, the course is finished, the marks have been assigned, and now, thinks Jones, time for some reflection, analysis and perhaps a publishable paper. Jones smiles, confident in the knowledge that the complete transcript of messages exchanged during the course has been captured in machine-readable format. She feels that this accessible data will confirm her hypothesis that students in the on-line course had engaged in much higher levels of discourse and discussion than any she had experienced in ten years of face-to-face instruction. Further, she is interested in investigating the impact of the collaborative learning activity that she instituted in the middle of the course. Jones is quickly disappointed. The 13-week discussion generated 950 messages. Merely reading them takes her four days. Attempts at cutting and pasting illustrations of higher level thinking into a word processor, have resulted in a hodge-podge of decontextualized quotations, each disparate enough to have Professor Jones questioning her own definitions of higher order thinking. Realizing that the analysis is going nowhere, Professor Jones goes back to the literature and finds a set of criteria laid down by an expert in the field that define the broad areas of thinking skills she sees being developed in the transcripts. Heartened, but now running out of time Professor Jones hires two graduate students to review the messages and identify the incidents of higher order thinking as defined by the expert. Two weeks later, the students report their results: not only have they failed to agree on 70% of the categorizations, but one student has identified 2032 incidents in the transcript, while the other has found only 635 incidents. To add to her misery, Professor Jones also learns that her University's ethics committee, concerned with the large increase in use of computer conferencing for credit courses, has ruled that without informed consent from students, her analysis does not conform with the guidelines of the university's ethical research policy. Feeling overwhelmed and depressed, Professor Jones returns to the educational literature once again, only to find that most of the methodological issues she has been dealing with have not been addressed by major researchers in the field. She also finds that","title":"Methodological Issues in the Content Analysis of Computer Conference Transcripts","URL":"https://www.semanticscholar.org/paper/eea3b050913e1623610a45172ddfedecb811cfac","author":[{"family":"Rourke","given":"L."},{"family":"Anderson","given":"T."},{"family":"Garrison","given":"D."},{"family":"Archer","given":"W."}],"issued":{"date-parts":[["2007"]]}}}],"schema":"https://github.com/citation-style-language/schema/raw/master/csl-citation.json"} </w:instrText>
      </w:r>
      <w:r w:rsidRPr="003A457D">
        <w:rPr>
          <w:rFonts w:ascii="Garamond" w:hAnsi="Garamond"/>
          <w:noProof/>
          <w:sz w:val="24"/>
          <w:szCs w:val="24"/>
          <w:lang w:val="en-US"/>
        </w:rPr>
        <w:fldChar w:fldCharType="separate"/>
      </w:r>
      <w:r w:rsidRPr="003A457D">
        <w:rPr>
          <w:rFonts w:ascii="Garamond" w:hAnsi="Garamond"/>
          <w:sz w:val="24"/>
          <w:szCs w:val="24"/>
        </w:rPr>
        <w:t>(Rourke et al. 2007)</w:t>
      </w:r>
      <w:r w:rsidRPr="003A457D">
        <w:rPr>
          <w:rFonts w:ascii="Garamond" w:hAnsi="Garamond"/>
          <w:noProof/>
          <w:sz w:val="24"/>
          <w:szCs w:val="24"/>
          <w:lang w:val="en-US"/>
        </w:rPr>
        <w:fldChar w:fldCharType="end"/>
      </w:r>
      <w:r w:rsidRPr="003A457D">
        <w:rPr>
          <w:rFonts w:ascii="Garamond" w:hAnsi="Garamond"/>
          <w:noProof/>
          <w:sz w:val="24"/>
          <w:szCs w:val="24"/>
          <w:lang w:val="en-US"/>
        </w:rPr>
        <w:t xml:space="preserve">. </w:t>
      </w:r>
      <w:r w:rsidRPr="003A457D">
        <w:rPr>
          <w:rFonts w:ascii="Garamond" w:hAnsi="Garamond"/>
          <w:sz w:val="24"/>
          <w:szCs w:val="24"/>
        </w:rPr>
        <w:t>As a result, the research is characterized by the following formulation of the problem.</w:t>
      </w:r>
      <w:r w:rsidRPr="003A457D">
        <w:rPr>
          <w:rFonts w:ascii="Garamond" w:hAnsi="Garamond"/>
          <w:kern w:val="36"/>
          <w:sz w:val="24"/>
          <w:szCs w:val="24"/>
        </w:rPr>
        <w:t xml:space="preserve"> There are questions</w:t>
      </w:r>
      <w:r w:rsidRPr="003A457D">
        <w:rPr>
          <w:rFonts w:ascii="Garamond" w:hAnsi="Garamond"/>
          <w:sz w:val="24"/>
          <w:szCs w:val="24"/>
        </w:rPr>
        <w:t xml:space="preserve"> as follows what is the trend of publication</w:t>
      </w:r>
      <w:r w:rsidRPr="003A457D">
        <w:rPr>
          <w:rFonts w:ascii="Garamond" w:hAnsi="Garamond"/>
          <w:i/>
          <w:iCs/>
          <w:sz w:val="24"/>
          <w:szCs w:val="24"/>
        </w:rPr>
        <w:t xml:space="preserve"> </w:t>
      </w:r>
      <w:r w:rsidRPr="003A457D">
        <w:rPr>
          <w:rStyle w:val="Emphasis"/>
          <w:rFonts w:ascii="Garamond" w:hAnsi="Garamond"/>
          <w:sz w:val="24"/>
          <w:szCs w:val="24"/>
          <w:lang w:val="en-US"/>
        </w:rPr>
        <w:t>of learning method</w:t>
      </w:r>
      <w:r w:rsidRPr="003A457D">
        <w:rPr>
          <w:rStyle w:val="Emphasis"/>
          <w:rFonts w:ascii="Garamond" w:hAnsi="Garamond"/>
          <w:sz w:val="24"/>
          <w:szCs w:val="24"/>
        </w:rPr>
        <w:t xml:space="preserve">s </w:t>
      </w:r>
      <w:r w:rsidRPr="003A457D">
        <w:rPr>
          <w:rFonts w:ascii="Garamond" w:hAnsi="Garamond"/>
          <w:sz w:val="24"/>
          <w:szCs w:val="24"/>
        </w:rPr>
        <w:t>in 20</w:t>
      </w:r>
      <w:r w:rsidRPr="003A457D">
        <w:rPr>
          <w:rFonts w:ascii="Garamond" w:hAnsi="Garamond"/>
          <w:sz w:val="24"/>
          <w:szCs w:val="24"/>
          <w:lang w:val="en-US"/>
        </w:rPr>
        <w:t>12</w:t>
      </w:r>
      <w:r w:rsidRPr="003A457D">
        <w:rPr>
          <w:rFonts w:ascii="Garamond" w:hAnsi="Garamond"/>
          <w:sz w:val="24"/>
          <w:szCs w:val="24"/>
        </w:rPr>
        <w:t>-202</w:t>
      </w:r>
      <w:r w:rsidRPr="003A457D">
        <w:rPr>
          <w:rFonts w:ascii="Garamond" w:hAnsi="Garamond"/>
          <w:sz w:val="24"/>
          <w:szCs w:val="24"/>
          <w:lang w:val="en-US"/>
        </w:rPr>
        <w:t>2</w:t>
      </w:r>
      <w:r w:rsidRPr="003A457D">
        <w:rPr>
          <w:rFonts w:ascii="Garamond" w:hAnsi="Garamond"/>
          <w:sz w:val="24"/>
          <w:szCs w:val="24"/>
        </w:rPr>
        <w:t>?</w:t>
      </w:r>
      <w:r w:rsidRPr="003A457D">
        <w:rPr>
          <w:rFonts w:ascii="Garamond" w:hAnsi="Garamond"/>
          <w:kern w:val="36"/>
          <w:sz w:val="24"/>
          <w:szCs w:val="24"/>
        </w:rPr>
        <w:t xml:space="preserve"> </w:t>
      </w:r>
      <w:r w:rsidRPr="003A457D">
        <w:rPr>
          <w:rFonts w:ascii="Garamond" w:hAnsi="Garamond"/>
          <w:sz w:val="24"/>
          <w:szCs w:val="24"/>
        </w:rPr>
        <w:t xml:space="preserve">Which journals published the most </w:t>
      </w:r>
      <w:r w:rsidRPr="003A457D">
        <w:rPr>
          <w:rStyle w:val="Emphasis"/>
          <w:rFonts w:ascii="Garamond" w:hAnsi="Garamond"/>
          <w:sz w:val="24"/>
          <w:szCs w:val="24"/>
          <w:lang w:val="en-US"/>
        </w:rPr>
        <w:t>learning</w:t>
      </w:r>
      <w:r w:rsidRPr="003A457D">
        <w:rPr>
          <w:rStyle w:val="Emphasis"/>
          <w:rFonts w:ascii="Garamond" w:hAnsi="Garamond"/>
          <w:sz w:val="24"/>
          <w:szCs w:val="24"/>
          <w:lang w:val="en-US"/>
        </w:rPr>
        <w:t xml:space="preserve"> </w:t>
      </w:r>
      <w:proofErr w:type="gramStart"/>
      <w:r w:rsidRPr="003A457D">
        <w:rPr>
          <w:rStyle w:val="Emphasis"/>
          <w:rFonts w:ascii="Garamond" w:hAnsi="Garamond"/>
          <w:sz w:val="24"/>
          <w:szCs w:val="24"/>
          <w:lang w:val="en-US"/>
        </w:rPr>
        <w:t xml:space="preserve">method </w:t>
      </w:r>
      <w:r w:rsidRPr="003A457D">
        <w:rPr>
          <w:rStyle w:val="Hyperlink"/>
          <w:rFonts w:ascii="Garamond" w:hAnsi="Garamond"/>
          <w:sz w:val="24"/>
          <w:szCs w:val="24"/>
          <w:lang w:val="en-US"/>
        </w:rPr>
        <w:t xml:space="preserve"> </w:t>
      </w:r>
      <w:r w:rsidRPr="003A457D">
        <w:rPr>
          <w:rFonts w:ascii="Garamond" w:hAnsi="Garamond"/>
          <w:sz w:val="24"/>
          <w:szCs w:val="24"/>
        </w:rPr>
        <w:t>in</w:t>
      </w:r>
      <w:proofErr w:type="gramEnd"/>
      <w:r w:rsidRPr="003A457D">
        <w:rPr>
          <w:rFonts w:ascii="Garamond" w:hAnsi="Garamond"/>
          <w:sz w:val="24"/>
          <w:szCs w:val="24"/>
        </w:rPr>
        <w:t xml:space="preserve"> 20</w:t>
      </w:r>
      <w:r w:rsidRPr="003A457D">
        <w:rPr>
          <w:rFonts w:ascii="Garamond" w:hAnsi="Garamond"/>
          <w:sz w:val="24"/>
          <w:szCs w:val="24"/>
          <w:lang w:val="en-US"/>
        </w:rPr>
        <w:t>12</w:t>
      </w:r>
      <w:r w:rsidRPr="003A457D">
        <w:rPr>
          <w:rFonts w:ascii="Garamond" w:hAnsi="Garamond"/>
          <w:sz w:val="24"/>
          <w:szCs w:val="24"/>
        </w:rPr>
        <w:t>-202</w:t>
      </w:r>
      <w:r w:rsidRPr="003A457D">
        <w:rPr>
          <w:rFonts w:ascii="Garamond" w:hAnsi="Garamond"/>
          <w:sz w:val="24"/>
          <w:szCs w:val="24"/>
          <w:lang w:val="en-US"/>
        </w:rPr>
        <w:t>2</w:t>
      </w:r>
      <w:r w:rsidRPr="003A457D">
        <w:rPr>
          <w:rFonts w:ascii="Garamond" w:hAnsi="Garamond"/>
          <w:sz w:val="24"/>
          <w:szCs w:val="24"/>
        </w:rPr>
        <w:t xml:space="preserve">? What is the citation pattern </w:t>
      </w:r>
      <w:r w:rsidRPr="003A457D">
        <w:rPr>
          <w:rFonts w:ascii="Garamond" w:hAnsi="Garamond"/>
          <w:sz w:val="24"/>
          <w:szCs w:val="24"/>
          <w:lang w:val="en-US"/>
        </w:rPr>
        <w:t xml:space="preserve">of the </w:t>
      </w:r>
      <w:r w:rsidRPr="003A457D">
        <w:rPr>
          <w:rStyle w:val="Emphasis"/>
          <w:rFonts w:ascii="Garamond" w:hAnsi="Garamond"/>
          <w:sz w:val="24"/>
          <w:szCs w:val="24"/>
          <w:lang w:val="en-US"/>
        </w:rPr>
        <w:t xml:space="preserve">learning method </w:t>
      </w:r>
      <w:r w:rsidRPr="003A457D">
        <w:rPr>
          <w:rFonts w:ascii="Garamond" w:hAnsi="Garamond"/>
          <w:sz w:val="24"/>
          <w:szCs w:val="24"/>
        </w:rPr>
        <w:t>in 20</w:t>
      </w:r>
      <w:r w:rsidRPr="003A457D">
        <w:rPr>
          <w:rFonts w:ascii="Garamond" w:hAnsi="Garamond"/>
          <w:sz w:val="24"/>
          <w:szCs w:val="24"/>
          <w:lang w:val="en-US"/>
        </w:rPr>
        <w:t>12</w:t>
      </w:r>
      <w:r w:rsidRPr="003A457D">
        <w:rPr>
          <w:rFonts w:ascii="Garamond" w:hAnsi="Garamond"/>
          <w:sz w:val="24"/>
          <w:szCs w:val="24"/>
        </w:rPr>
        <w:t>-202</w:t>
      </w:r>
      <w:r w:rsidRPr="003A457D">
        <w:rPr>
          <w:rFonts w:ascii="Garamond" w:hAnsi="Garamond"/>
          <w:sz w:val="24"/>
          <w:szCs w:val="24"/>
          <w:lang w:val="en-US"/>
        </w:rPr>
        <w:t>2</w:t>
      </w:r>
      <w:r w:rsidRPr="003A457D">
        <w:rPr>
          <w:rFonts w:ascii="Garamond" w:hAnsi="Garamond"/>
          <w:sz w:val="24"/>
          <w:szCs w:val="24"/>
        </w:rPr>
        <w:t xml:space="preserve">? What are the author keyword trends </w:t>
      </w:r>
      <w:r w:rsidRPr="003A457D">
        <w:rPr>
          <w:rFonts w:ascii="Garamond" w:hAnsi="Garamond"/>
          <w:sz w:val="24"/>
          <w:szCs w:val="24"/>
          <w:lang w:val="en-US"/>
        </w:rPr>
        <w:t xml:space="preserve">of </w:t>
      </w:r>
      <w:r w:rsidRPr="003A457D">
        <w:rPr>
          <w:rStyle w:val="Emphasis"/>
          <w:rFonts w:ascii="Garamond" w:hAnsi="Garamond"/>
          <w:sz w:val="24"/>
          <w:szCs w:val="24"/>
          <w:lang w:val="en-US"/>
        </w:rPr>
        <w:t>learning method</w:t>
      </w:r>
      <w:r w:rsidRPr="003A457D">
        <w:rPr>
          <w:rFonts w:ascii="Garamond" w:hAnsi="Garamond"/>
          <w:sz w:val="24"/>
          <w:szCs w:val="24"/>
        </w:rPr>
        <w:t>s 20</w:t>
      </w:r>
      <w:r w:rsidRPr="003A457D">
        <w:rPr>
          <w:rFonts w:ascii="Garamond" w:hAnsi="Garamond"/>
          <w:sz w:val="24"/>
          <w:szCs w:val="24"/>
          <w:lang w:val="en-US"/>
        </w:rPr>
        <w:t>12</w:t>
      </w:r>
      <w:r w:rsidRPr="003A457D">
        <w:rPr>
          <w:rFonts w:ascii="Garamond" w:hAnsi="Garamond"/>
          <w:sz w:val="24"/>
          <w:szCs w:val="24"/>
        </w:rPr>
        <w:t>-202</w:t>
      </w:r>
      <w:r w:rsidRPr="003A457D">
        <w:rPr>
          <w:rFonts w:ascii="Garamond" w:hAnsi="Garamond"/>
          <w:sz w:val="24"/>
          <w:szCs w:val="24"/>
          <w:lang w:val="en-US"/>
        </w:rPr>
        <w:t>2</w:t>
      </w:r>
      <w:r w:rsidRPr="003A457D">
        <w:rPr>
          <w:rFonts w:ascii="Garamond" w:hAnsi="Garamond"/>
          <w:sz w:val="24"/>
          <w:szCs w:val="24"/>
        </w:rPr>
        <w:t>?</w:t>
      </w:r>
      <w:r w:rsidRPr="003A457D">
        <w:rPr>
          <w:rFonts w:ascii="Garamond" w:hAnsi="Garamond"/>
          <w:kern w:val="36"/>
          <w:sz w:val="24"/>
          <w:szCs w:val="24"/>
        </w:rPr>
        <w:t xml:space="preserve"> </w:t>
      </w:r>
    </w:p>
    <w:p w14:paraId="6275C3EA" w14:textId="77777777" w:rsidR="00C271F2" w:rsidRPr="003A457D" w:rsidRDefault="00C271F2" w:rsidP="003A457D">
      <w:pPr>
        <w:spacing w:after="0" w:line="240" w:lineRule="auto"/>
        <w:ind w:firstLine="720"/>
        <w:jc w:val="both"/>
        <w:rPr>
          <w:rFonts w:ascii="Garamond" w:eastAsia="Garamond" w:hAnsi="Garamond" w:cs="Garamond"/>
          <w:sz w:val="24"/>
          <w:szCs w:val="24"/>
        </w:rPr>
      </w:pPr>
    </w:p>
    <w:p w14:paraId="5AE9C84A" w14:textId="77777777" w:rsidR="00C271F2" w:rsidRPr="003A457D" w:rsidRDefault="00000000" w:rsidP="003A457D">
      <w:pPr>
        <w:spacing w:after="0" w:line="240" w:lineRule="auto"/>
        <w:jc w:val="both"/>
        <w:rPr>
          <w:rFonts w:ascii="Garamond" w:eastAsia="Garamond" w:hAnsi="Garamond" w:cs="Garamond"/>
          <w:b/>
          <w:sz w:val="24"/>
          <w:szCs w:val="24"/>
        </w:rPr>
      </w:pPr>
      <w:r w:rsidRPr="003A457D">
        <w:rPr>
          <w:rFonts w:ascii="Garamond" w:eastAsia="Garamond" w:hAnsi="Garamond" w:cs="Garamond"/>
          <w:b/>
          <w:sz w:val="24"/>
          <w:szCs w:val="24"/>
        </w:rPr>
        <w:t>METHOD</w:t>
      </w:r>
    </w:p>
    <w:p w14:paraId="0FB2DECD" w14:textId="77777777" w:rsidR="003A457D" w:rsidRPr="003A457D" w:rsidRDefault="003A457D" w:rsidP="003A457D">
      <w:pPr>
        <w:pStyle w:val="JPEBody"/>
        <w:rPr>
          <w:rFonts w:ascii="Garamond" w:hAnsi="Garamond"/>
          <w:sz w:val="24"/>
        </w:rPr>
      </w:pPr>
      <w:r w:rsidRPr="003A457D">
        <w:rPr>
          <w:rFonts w:ascii="Garamond" w:hAnsi="Garamond"/>
          <w:sz w:val="24"/>
        </w:rPr>
        <w:t>This research employs a bibliographic design of studies using systematic and explicit mapping methods</w:t>
      </w:r>
      <w:r w:rsidRPr="003A457D">
        <w:rPr>
          <w:rFonts w:ascii="Garamond" w:hAnsi="Garamond"/>
          <w:sz w:val="24"/>
          <w:lang w:val="en-US"/>
        </w:rPr>
        <w:t xml:space="preserve">. This research used a qualitative case study to approach the research to understand how they Explore teachers and emotions, especially in memos. The case study is an object to be studied, not a methodological option, and the researcher can use various research tools to research that object. In this study, the instrument used a semi-structured interview to collect data about the learning method </w:t>
      </w:r>
      <w:r w:rsidRPr="003A457D">
        <w:rPr>
          <w:rFonts w:ascii="Garamond" w:hAnsi="Garamond"/>
          <w:sz w:val="24"/>
          <w:lang w:val="en-US"/>
        </w:rPr>
        <w:fldChar w:fldCharType="begin"/>
      </w:r>
      <w:r w:rsidRPr="003A457D">
        <w:rPr>
          <w:rFonts w:ascii="Garamond" w:hAnsi="Garamond"/>
          <w:sz w:val="24"/>
          <w:lang w:val="en-US"/>
        </w:rPr>
        <w:instrText xml:space="preserve"> ADDIN ZOTERO_ITEM CSL_CITATION {"citationID":"Xjb5UsXj","properties":{"formattedCitation":"(Arbaugh, Bangert, and Cleveland-Innes 2010)","plainCitation":"(Arbaugh, Bangert, and Cleveland-Innes 2010)","noteIndex":0},"citationItems":[{"id":576,"uris":["http://zotero.org/users/local/GmZiI9vO/items/F6XW69TT"],"itemData":{"id":576,"type":"article-journal","abstract":"Abstract This paper integrates the emerging literatures of empirical research on the Community of Inquiry (CoI) framework and disciplinary effects in online teaching and learning by examining the disciplinary differences in perceptions of social, teaching, and cognitive presence of over 1500 students in seven disciplines at two U.S. institutions. Our results found significant disciplinary differences, particularly regarding cognitive presence, in soft, applied disciplines relative to other disciplines. These initial results suggest the possibility that the CoI framework may be more applicable to applied disciplines than pure disciplines. Our findings suggest interesting opportunities for future researchers to consider how the individual elements of the CoI framework may influence and be influenced by academic disciplines and how the framework may need to be refined or modified to explain effective course conduct in pure disciplines.","container-title":"Internet High. Educ.","DOI":"10.1016/J.IHEDUC.2009.10.006","page":"37-44","title":"Subject matter effects and the Community of Inquiry (CoI) framework: An exploratory study","URL":"https://www.semanticscholar.org/paper/fbd8ea5376720c17be150168aa9bdd642c3d6cc8","volume":"13","author":[{"family":"Arbaugh","given":"J."},{"family":"Bangert","given":"A."},{"family":"Cleveland-Innes","given":"M."}],"issued":{"date-parts":[["2010"]]}}}],"schema":"https://github.com/citation-style-language/schema/raw/master/csl-citation.json"} </w:instrText>
      </w:r>
      <w:r w:rsidRPr="003A457D">
        <w:rPr>
          <w:rFonts w:ascii="Garamond" w:hAnsi="Garamond"/>
          <w:sz w:val="24"/>
          <w:lang w:val="en-US"/>
        </w:rPr>
        <w:fldChar w:fldCharType="separate"/>
      </w:r>
      <w:r w:rsidRPr="003A457D">
        <w:rPr>
          <w:rFonts w:ascii="Garamond" w:hAnsi="Garamond"/>
          <w:sz w:val="24"/>
        </w:rPr>
        <w:t>(Arbaugh, Bangert, and Cleveland-Innes 2010)</w:t>
      </w:r>
      <w:r w:rsidRPr="003A457D">
        <w:rPr>
          <w:rFonts w:ascii="Garamond" w:hAnsi="Garamond"/>
          <w:sz w:val="24"/>
          <w:lang w:val="en-US"/>
        </w:rPr>
        <w:fldChar w:fldCharType="end"/>
      </w:r>
      <w:r w:rsidRPr="003A457D">
        <w:rPr>
          <w:rFonts w:ascii="Garamond" w:hAnsi="Garamond"/>
          <w:sz w:val="24"/>
          <w:lang w:val="en-US"/>
        </w:rPr>
        <w:t xml:space="preserve">. </w:t>
      </w:r>
      <w:r w:rsidRPr="003A457D">
        <w:rPr>
          <w:rFonts w:ascii="Garamond" w:hAnsi="Garamond"/>
          <w:sz w:val="24"/>
        </w:rPr>
        <w:t>Furthermore, four stages of bibliographical studies are used in the research, which includes search processes, bibliographic filters, a comprehensive bibliography, and content analysis.</w:t>
      </w:r>
    </w:p>
    <w:p w14:paraId="5C1A1159" w14:textId="27F751AB" w:rsidR="003A457D" w:rsidRPr="003A457D" w:rsidRDefault="00EF571C" w:rsidP="003A457D">
      <w:pPr>
        <w:pStyle w:val="JPEBody"/>
        <w:ind w:firstLine="0"/>
        <w:rPr>
          <w:rFonts w:ascii="Garamond" w:hAnsi="Garamond"/>
          <w:sz w:val="24"/>
        </w:rPr>
      </w:pPr>
      <w:r w:rsidRPr="003A457D">
        <w:rPr>
          <w:rFonts w:ascii="Garamond" w:hAnsi="Garamond"/>
          <w:noProof/>
          <w:sz w:val="24"/>
        </w:rPr>
        <mc:AlternateContent>
          <mc:Choice Requires="wpg">
            <w:drawing>
              <wp:anchor distT="0" distB="0" distL="114300" distR="114300" simplePos="0" relativeHeight="251660288" behindDoc="0" locked="0" layoutInCell="1" allowOverlap="1" wp14:anchorId="3768FBC2" wp14:editId="6A0EC655">
                <wp:simplePos x="0" y="0"/>
                <wp:positionH relativeFrom="margin">
                  <wp:posOffset>304165</wp:posOffset>
                </wp:positionH>
                <wp:positionV relativeFrom="paragraph">
                  <wp:posOffset>144780</wp:posOffset>
                </wp:positionV>
                <wp:extent cx="5586095" cy="1631950"/>
                <wp:effectExtent l="190500" t="152400" r="0" b="368300"/>
                <wp:wrapNone/>
                <wp:docPr id="2" name="Group 2"/>
                <wp:cNvGraphicFramePr/>
                <a:graphic xmlns:a="http://schemas.openxmlformats.org/drawingml/2006/main">
                  <a:graphicData uri="http://schemas.microsoft.com/office/word/2010/wordprocessingGroup">
                    <wpg:wgp>
                      <wpg:cNvGrpSpPr/>
                      <wpg:grpSpPr>
                        <a:xfrm>
                          <a:off x="0" y="0"/>
                          <a:ext cx="5586095" cy="1631950"/>
                          <a:chOff x="0" y="0"/>
                          <a:chExt cx="4694370" cy="1008315"/>
                        </a:xfrm>
                        <a:effectLst>
                          <a:glow rad="101600">
                            <a:schemeClr val="accent2">
                              <a:satMod val="175000"/>
                              <a:alpha val="40000"/>
                            </a:schemeClr>
                          </a:glow>
                        </a:effectLst>
                        <a:scene3d>
                          <a:camera prst="perspectiveRight"/>
                          <a:lightRig rig="threePt" dir="t"/>
                        </a:scene3d>
                      </wpg:grpSpPr>
                      <wps:wsp>
                        <wps:cNvPr id="4" name="Oval 4"/>
                        <wps:cNvSpPr/>
                        <wps:spPr>
                          <a:xfrm>
                            <a:off x="0" y="28213"/>
                            <a:ext cx="1286510" cy="682625"/>
                          </a:xfrm>
                          <a:prstGeom prst="ellipse">
                            <a:avLst/>
                          </a:prstGeom>
                          <a:ln>
                            <a:solidFill>
                              <a:schemeClr val="accent3"/>
                            </a:solidFill>
                            <a:headEnd w="sm" len="sm"/>
                            <a:tailEnd w="sm" len="sm"/>
                          </a:ln>
                          <a:effectLst>
                            <a:outerShdw blurRad="107950" dist="12700" dir="5400000" algn="ctr">
                              <a:srgbClr val="000000"/>
                            </a:outerShdw>
                          </a:effectLst>
                          <a:sp3d contourW="44450" prstMaterial="matte">
                            <a:bevelT w="63500" h="63500" prst="artDeco"/>
                            <a:contourClr>
                              <a:srgbClr val="FFFFFF"/>
                            </a:contourClr>
                          </a:sp3d>
                        </wps:spPr>
                        <wps:style>
                          <a:lnRef idx="2">
                            <a:schemeClr val="accent2"/>
                          </a:lnRef>
                          <a:fillRef idx="1">
                            <a:schemeClr val="lt1"/>
                          </a:fillRef>
                          <a:effectRef idx="0">
                            <a:schemeClr val="accent2"/>
                          </a:effectRef>
                          <a:fontRef idx="minor">
                            <a:schemeClr val="dk1"/>
                          </a:fontRef>
                        </wps:style>
                        <wps:txbx>
                          <w:txbxContent>
                            <w:p w14:paraId="180C085A" w14:textId="77777777" w:rsidR="003A457D" w:rsidRPr="00EF571C" w:rsidRDefault="003A457D" w:rsidP="003A457D">
                              <w:pPr>
                                <w:ind w:right="-67"/>
                                <w:jc w:val="center"/>
                                <w:rPr>
                                  <w:rFonts w:ascii="Garamond" w:hAnsi="Garamond"/>
                                  <w:lang w:val="en-US"/>
                                </w:rPr>
                              </w:pPr>
                              <w:r w:rsidRPr="00EF571C">
                                <w:rPr>
                                  <w:rFonts w:ascii="Garamond" w:eastAsia="Cambria" w:hAnsi="Garamond" w:cs="Cambria"/>
                                  <w:color w:val="000000"/>
                                  <w:lang w:val="en-US"/>
                                </w:rPr>
                                <w:t>Articles Search</w:t>
                              </w:r>
                            </w:p>
                          </w:txbxContent>
                        </wps:txbx>
                        <wps:bodyPr spcFirstLastPara="1" wrap="square" lIns="91425" tIns="45700" rIns="91425" bIns="45700" anchor="ctr" anchorCtr="0"/>
                      </wps:wsp>
                      <wps:wsp>
                        <wps:cNvPr id="5" name="Oval 5"/>
                        <wps:cNvSpPr/>
                        <wps:spPr>
                          <a:xfrm>
                            <a:off x="1180618" y="3376"/>
                            <a:ext cx="1231900" cy="682625"/>
                          </a:xfrm>
                          <a:prstGeom prst="ellipse">
                            <a:avLst/>
                          </a:prstGeom>
                          <a:ln>
                            <a:solidFill>
                              <a:schemeClr val="accent1"/>
                            </a:solidFill>
                            <a:headEnd w="sm" len="sm"/>
                            <a:tailEnd w="sm" len="sm"/>
                          </a:ln>
                          <a:effectLst>
                            <a:outerShdw blurRad="107950" dist="12700" dir="5400000" algn="ctr">
                              <a:srgbClr val="000000"/>
                            </a:outerShdw>
                          </a:effectLst>
                          <a:sp3d contourW="44450" prstMaterial="matte">
                            <a:bevelT w="63500" h="63500" prst="artDeco"/>
                            <a:contourClr>
                              <a:srgbClr val="FFFFFF"/>
                            </a:contourClr>
                          </a:sp3d>
                        </wps:spPr>
                        <wps:style>
                          <a:lnRef idx="2">
                            <a:schemeClr val="accent2"/>
                          </a:lnRef>
                          <a:fillRef idx="1">
                            <a:schemeClr val="lt1"/>
                          </a:fillRef>
                          <a:effectRef idx="0">
                            <a:schemeClr val="accent2"/>
                          </a:effectRef>
                          <a:fontRef idx="minor">
                            <a:schemeClr val="dk1"/>
                          </a:fontRef>
                        </wps:style>
                        <wps:txbx>
                          <w:txbxContent>
                            <w:p w14:paraId="13F12C10" w14:textId="77777777" w:rsidR="003A457D" w:rsidRPr="00EF571C" w:rsidRDefault="003A457D" w:rsidP="003A457D">
                              <w:pPr>
                                <w:ind w:right="59"/>
                                <w:jc w:val="center"/>
                                <w:rPr>
                                  <w:rFonts w:ascii="Garamond" w:hAnsi="Garamond"/>
                                  <w:lang w:val="en-US"/>
                                </w:rPr>
                              </w:pPr>
                              <w:r w:rsidRPr="00EF571C">
                                <w:rPr>
                                  <w:rFonts w:ascii="Garamond" w:eastAsia="Cambria" w:hAnsi="Garamond" w:cs="Cambria"/>
                                  <w:color w:val="000000"/>
                                  <w:sz w:val="16"/>
                                  <w:lang w:val="en-US"/>
                                </w:rPr>
                                <w:t>Mapping of Discussion Topics</w:t>
                              </w:r>
                            </w:p>
                          </w:txbxContent>
                        </wps:txbx>
                        <wps:bodyPr spcFirstLastPara="1" wrap="square" lIns="91425" tIns="45700" rIns="91425" bIns="45700" anchor="ctr" anchorCtr="0"/>
                      </wps:wsp>
                      <wps:wsp>
                        <wps:cNvPr id="6" name="Oval 6"/>
                        <wps:cNvSpPr/>
                        <wps:spPr>
                          <a:xfrm>
                            <a:off x="2251276" y="3376"/>
                            <a:ext cx="1256030" cy="682625"/>
                          </a:xfrm>
                          <a:prstGeom prst="ellipse">
                            <a:avLst/>
                          </a:prstGeom>
                          <a:ln>
                            <a:solidFill>
                              <a:schemeClr val="accent6"/>
                            </a:solidFill>
                            <a:headEnd w="sm" len="sm"/>
                            <a:tailEnd w="sm" len="sm"/>
                          </a:ln>
                          <a:effectLst>
                            <a:outerShdw blurRad="107950" dist="12700" dir="5400000" algn="ctr">
                              <a:srgbClr val="000000"/>
                            </a:outerShdw>
                          </a:effectLst>
                          <a:sp3d contourW="44450" prstMaterial="matte">
                            <a:bevelT w="63500" h="63500" prst="artDeco"/>
                            <a:contourClr>
                              <a:srgbClr val="FFFFFF"/>
                            </a:contourClr>
                          </a:sp3d>
                        </wps:spPr>
                        <wps:style>
                          <a:lnRef idx="2">
                            <a:schemeClr val="accent2"/>
                          </a:lnRef>
                          <a:fillRef idx="1">
                            <a:schemeClr val="lt1"/>
                          </a:fillRef>
                          <a:effectRef idx="0">
                            <a:schemeClr val="accent2"/>
                          </a:effectRef>
                          <a:fontRef idx="minor">
                            <a:schemeClr val="dk1"/>
                          </a:fontRef>
                        </wps:style>
                        <wps:txbx>
                          <w:txbxContent>
                            <w:p w14:paraId="37696653" w14:textId="77777777" w:rsidR="003A457D" w:rsidRPr="00EF571C" w:rsidRDefault="003A457D" w:rsidP="003A457D">
                              <w:pPr>
                                <w:jc w:val="center"/>
                                <w:rPr>
                                  <w:rFonts w:ascii="Garamond" w:hAnsi="Garamond"/>
                                  <w:lang w:val="en-US"/>
                                </w:rPr>
                              </w:pPr>
                              <w:r w:rsidRPr="00EF571C">
                                <w:rPr>
                                  <w:rFonts w:ascii="Garamond" w:eastAsia="Cambria" w:hAnsi="Garamond" w:cs="Cambria"/>
                                  <w:color w:val="000000"/>
                                  <w:sz w:val="18"/>
                                  <w:lang w:val="en-US"/>
                                </w:rPr>
                                <w:t>Topic Analysis</w:t>
                              </w:r>
                            </w:p>
                          </w:txbxContent>
                        </wps:txbx>
                        <wps:bodyPr spcFirstLastPara="1" wrap="square" lIns="91425" tIns="45700" rIns="91425" bIns="45700" anchor="ctr" anchorCtr="0"/>
                      </wps:wsp>
                      <wps:wsp>
                        <wps:cNvPr id="7" name="Oval 7"/>
                        <wps:cNvSpPr/>
                        <wps:spPr>
                          <a:xfrm>
                            <a:off x="3306260" y="0"/>
                            <a:ext cx="1388110" cy="682625"/>
                          </a:xfrm>
                          <a:prstGeom prst="ellipse">
                            <a:avLst/>
                          </a:prstGeom>
                          <a:ln>
                            <a:solidFill>
                              <a:schemeClr val="accent4"/>
                            </a:solidFill>
                            <a:headEnd w="sm" len="sm"/>
                            <a:tailEnd w="sm" len="sm"/>
                          </a:ln>
                          <a:effectLst>
                            <a:outerShdw blurRad="107950" dist="12700" dir="5400000" algn="ctr">
                              <a:srgbClr val="000000"/>
                            </a:outerShdw>
                          </a:effectLst>
                          <a:sp3d contourW="44450" prstMaterial="matte">
                            <a:bevelT w="63500" h="63500" prst="artDeco"/>
                            <a:contourClr>
                              <a:srgbClr val="FFFFFF"/>
                            </a:contourClr>
                          </a:sp3d>
                        </wps:spPr>
                        <wps:style>
                          <a:lnRef idx="2">
                            <a:schemeClr val="accent2"/>
                          </a:lnRef>
                          <a:fillRef idx="1">
                            <a:schemeClr val="lt1"/>
                          </a:fillRef>
                          <a:effectRef idx="0">
                            <a:schemeClr val="accent2"/>
                          </a:effectRef>
                          <a:fontRef idx="minor">
                            <a:schemeClr val="dk1"/>
                          </a:fontRef>
                        </wps:style>
                        <wps:txbx>
                          <w:txbxContent>
                            <w:p w14:paraId="1C454B1E" w14:textId="77777777" w:rsidR="003A457D" w:rsidRPr="001D3D5F" w:rsidRDefault="003A457D" w:rsidP="003A457D">
                              <w:pPr>
                                <w:ind w:right="-39"/>
                                <w:jc w:val="center"/>
                                <w:rPr>
                                  <w:lang w:val="en-US"/>
                                </w:rPr>
                              </w:pPr>
                              <w:r>
                                <w:rPr>
                                  <w:rFonts w:ascii="Cambria" w:eastAsia="Cambria" w:hAnsi="Cambria" w:cs="Cambria"/>
                                  <w:color w:val="000000"/>
                                  <w:sz w:val="12"/>
                                  <w:lang w:val="en-US"/>
                                </w:rPr>
                                <w:t>The concept of discussion about the 'learning method.'</w:t>
                              </w:r>
                            </w:p>
                          </w:txbxContent>
                        </wps:txbx>
                        <wps:bodyPr spcFirstLastPara="1" wrap="square" lIns="91425" tIns="45700" rIns="91425" bIns="45700" anchor="ctr" anchorCtr="0"/>
                      </wps:wsp>
                      <wps:wsp>
                        <wps:cNvPr id="8" name="Oval 8"/>
                        <wps:cNvSpPr/>
                        <wps:spPr>
                          <a:xfrm>
                            <a:off x="415966" y="610805"/>
                            <a:ext cx="365760" cy="397510"/>
                          </a:xfrm>
                          <a:prstGeom prst="ellipse">
                            <a:avLst/>
                          </a:prstGeom>
                          <a:ln>
                            <a:headEnd w="sm" len="sm"/>
                            <a:tailEnd w="sm" len="sm"/>
                          </a:ln>
                          <a:sp3d>
                            <a:bevelT prst="relaxedInset"/>
                          </a:sp3d>
                        </wps:spPr>
                        <wps:style>
                          <a:lnRef idx="2">
                            <a:schemeClr val="dk1"/>
                          </a:lnRef>
                          <a:fillRef idx="1">
                            <a:schemeClr val="lt1"/>
                          </a:fillRef>
                          <a:effectRef idx="0">
                            <a:schemeClr val="dk1"/>
                          </a:effectRef>
                          <a:fontRef idx="minor">
                            <a:schemeClr val="dk1"/>
                          </a:fontRef>
                        </wps:style>
                        <wps:txbx>
                          <w:txbxContent>
                            <w:p w14:paraId="4F7E8B2C" w14:textId="77777777" w:rsidR="003A457D" w:rsidRDefault="003A457D" w:rsidP="003A457D">
                              <w:pPr>
                                <w:spacing w:line="273" w:lineRule="auto"/>
                                <w:jc w:val="center"/>
                              </w:pPr>
                              <w:r>
                                <w:rPr>
                                  <w:rFonts w:ascii="Cambria" w:eastAsia="Cambria" w:hAnsi="Cambria" w:cs="Cambria"/>
                                  <w:color w:val="000000"/>
                                  <w:sz w:val="16"/>
                                </w:rPr>
                                <w:t>1</w:t>
                              </w:r>
                            </w:p>
                          </w:txbxContent>
                        </wps:txbx>
                        <wps:bodyPr spcFirstLastPara="1" wrap="square" lIns="91425" tIns="45700" rIns="91425" bIns="45700" anchor="ctr" anchorCtr="0"/>
                      </wps:wsp>
                      <wps:wsp>
                        <wps:cNvPr id="9" name="Oval 9"/>
                        <wps:cNvSpPr/>
                        <wps:spPr>
                          <a:xfrm>
                            <a:off x="1663620" y="563783"/>
                            <a:ext cx="365125" cy="397510"/>
                          </a:xfrm>
                          <a:prstGeom prst="ellipse">
                            <a:avLst/>
                          </a:prstGeom>
                          <a:ln>
                            <a:headEnd w="sm" len="sm"/>
                            <a:tailEnd w="sm" len="sm"/>
                          </a:ln>
                          <a:effectLst>
                            <a:glow rad="63500">
                              <a:schemeClr val="accent2">
                                <a:satMod val="175000"/>
                                <a:alpha val="40000"/>
                              </a:schemeClr>
                            </a:glow>
                            <a:reflection blurRad="6350" stA="50000" endA="300" endPos="55000" dir="5400000" sy="-100000" algn="bl" rotWithShape="0"/>
                          </a:effectLst>
                          <a:sp3d>
                            <a:bevelT/>
                          </a:sp3d>
                        </wps:spPr>
                        <wps:style>
                          <a:lnRef idx="2">
                            <a:schemeClr val="accent2"/>
                          </a:lnRef>
                          <a:fillRef idx="1">
                            <a:schemeClr val="lt1"/>
                          </a:fillRef>
                          <a:effectRef idx="0">
                            <a:schemeClr val="accent2"/>
                          </a:effectRef>
                          <a:fontRef idx="minor">
                            <a:schemeClr val="dk1"/>
                          </a:fontRef>
                        </wps:style>
                        <wps:txbx>
                          <w:txbxContent>
                            <w:p w14:paraId="624FA58D" w14:textId="77777777" w:rsidR="003A457D" w:rsidRDefault="003A457D" w:rsidP="003A457D">
                              <w:pPr>
                                <w:spacing w:line="273" w:lineRule="auto"/>
                                <w:jc w:val="center"/>
                              </w:pPr>
                              <w:r>
                                <w:rPr>
                                  <w:rFonts w:ascii="Cambria" w:eastAsia="Cambria" w:hAnsi="Cambria" w:cs="Cambria"/>
                                  <w:color w:val="000000"/>
                                  <w:sz w:val="16"/>
                                </w:rPr>
                                <w:t>2</w:t>
                              </w:r>
                            </w:p>
                          </w:txbxContent>
                        </wps:txbx>
                        <wps:bodyPr spcFirstLastPara="1" wrap="square" lIns="91425" tIns="45700" rIns="91425" bIns="45700" anchor="ctr" anchorCtr="0"/>
                      </wps:wsp>
                      <wps:wsp>
                        <wps:cNvPr id="10" name="Oval 10"/>
                        <wps:cNvSpPr/>
                        <wps:spPr>
                          <a:xfrm>
                            <a:off x="2998808" y="490959"/>
                            <a:ext cx="365125" cy="397510"/>
                          </a:xfrm>
                          <a:prstGeom prst="ellipse">
                            <a:avLst/>
                          </a:prstGeom>
                          <a:ln>
                            <a:headEnd w="sm" len="sm"/>
                            <a:tailEnd w="sm" len="sm"/>
                          </a:ln>
                          <a:effectLst>
                            <a:glow rad="63500">
                              <a:schemeClr val="accent1">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1E55A1B2" w14:textId="77777777" w:rsidR="003A457D" w:rsidRDefault="003A457D" w:rsidP="003A457D">
                              <w:pPr>
                                <w:spacing w:line="273" w:lineRule="auto"/>
                                <w:jc w:val="center"/>
                              </w:pPr>
                              <w:r>
                                <w:rPr>
                                  <w:rFonts w:ascii="Cambria" w:eastAsia="Cambria" w:hAnsi="Cambria" w:cs="Cambria"/>
                                  <w:color w:val="000000"/>
                                  <w:sz w:val="16"/>
                                </w:rPr>
                                <w:t>3</w:t>
                              </w:r>
                            </w:p>
                          </w:txbxContent>
                        </wps:txbx>
                        <wps:bodyPr spcFirstLastPara="1" wrap="square" lIns="91425" tIns="45700" rIns="91425" bIns="45700" anchor="ctr" anchorCtr="0"/>
                      </wps:wsp>
                      <wps:wsp>
                        <wps:cNvPr id="11" name="Oval 11"/>
                        <wps:cNvSpPr/>
                        <wps:spPr>
                          <a:xfrm>
                            <a:off x="4321698" y="430674"/>
                            <a:ext cx="365125" cy="397510"/>
                          </a:xfrm>
                          <a:prstGeom prst="ellipse">
                            <a:avLst/>
                          </a:prstGeom>
                          <a:ln>
                            <a:headEnd w="sm" len="sm"/>
                            <a:tailEnd w="sm" len="sm"/>
                          </a:ln>
                          <a:effectLst>
                            <a:glow rad="101600">
                              <a:schemeClr val="accent3">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7C58F5F9" w14:textId="77777777" w:rsidR="003A457D" w:rsidRDefault="003A457D" w:rsidP="003A457D">
                              <w:pPr>
                                <w:spacing w:line="273" w:lineRule="auto"/>
                                <w:jc w:val="center"/>
                              </w:pPr>
                              <w:r>
                                <w:rPr>
                                  <w:rFonts w:ascii="Cambria" w:eastAsia="Cambria" w:hAnsi="Cambria" w:cs="Cambria"/>
                                  <w:color w:val="000000"/>
                                  <w:sz w:val="16"/>
                                </w:rPr>
                                <w:t>4</w:t>
                              </w:r>
                            </w:p>
                          </w:txbxContent>
                        </wps:txbx>
                        <wps:bodyPr spcFirstLastPara="1" wrap="square" lIns="91425" tIns="45700" rIns="91425" bIns="45700" anchor="ctr" anchorCtr="0"/>
                      </wps:wsp>
                    </wpg:wgp>
                  </a:graphicData>
                </a:graphic>
                <wp14:sizeRelH relativeFrom="margin">
                  <wp14:pctWidth>0</wp14:pctWidth>
                </wp14:sizeRelH>
                <wp14:sizeRelV relativeFrom="margin">
                  <wp14:pctHeight>0</wp14:pctHeight>
                </wp14:sizeRelV>
              </wp:anchor>
            </w:drawing>
          </mc:Choice>
          <mc:Fallback>
            <w:pict>
              <v:group w14:anchorId="3768FBC2" id="Group 2" o:spid="_x0000_s1026" style="position:absolute;left:0;text-align:left;margin-left:23.95pt;margin-top:11.4pt;width:439.85pt;height:128.5pt;z-index:251660288;mso-position-horizontal-relative:margin;mso-width-relative:margin;mso-height-relative:margin" coordsize="46943,1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">
                <v:oval id="Oval 4" o:spid="_x0000_s1027" style="position:absolute;top:282;width:12865;height:6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" fillcolor="white [3201]" strokecolor="#9bbb59 [3206]" strokeweight="2pt">
                  <v:stroke startarrowwidth="narrow" startarrowlength="short" endarrowwidth="narrow" endarrowlength="short"/>
                  <v:shadow on="t" color="black" offset="0,1pt"/>
                  <v:textbox inset="2.53958mm,1.2694mm,2.53958mm,1.2694mm">
                    <w:txbxContent>
                      <w:p w14:paraId="180C085A" w14:textId="77777777" w:rsidR="003A457D" w:rsidRPr="00EF571C" w:rsidRDefault="003A457D" w:rsidP="003A457D">
                        <w:pPr>
                          <w:ind w:right="-67"/>
                          <w:jc w:val="center"/>
                          <w:rPr>
                            <w:rFonts w:ascii="Garamond" w:hAnsi="Garamond"/>
                            <w:lang w:val="en-US"/>
                          </w:rPr>
                        </w:pPr>
                        <w:r w:rsidRPr="00EF571C">
                          <w:rPr>
                            <w:rFonts w:ascii="Garamond" w:eastAsia="Cambria" w:hAnsi="Garamond" w:cs="Cambria"/>
                            <w:color w:val="000000"/>
                            <w:lang w:val="en-US"/>
                          </w:rPr>
                          <w:t>Articles Search</w:t>
                        </w:r>
                      </w:p>
                    </w:txbxContent>
                  </v:textbox>
                </v:oval>
                <v:oval id="Oval 5" o:spid="_x0000_s1028" style="position:absolute;left:11806;top:33;width:12319;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" fillcolor="white [3201]" strokecolor="#4f81bd [3204]" strokeweight="2pt">
                  <v:stroke startarrowwidth="narrow" startarrowlength="short" endarrowwidth="narrow" endarrowlength="short"/>
                  <v:shadow on="t" color="black" offset="0,1pt"/>
                  <v:textbox inset="2.53958mm,1.2694mm,2.53958mm,1.2694mm">
                    <w:txbxContent>
                      <w:p w14:paraId="13F12C10" w14:textId="77777777" w:rsidR="003A457D" w:rsidRPr="00EF571C" w:rsidRDefault="003A457D" w:rsidP="003A457D">
                        <w:pPr>
                          <w:ind w:right="59"/>
                          <w:jc w:val="center"/>
                          <w:rPr>
                            <w:rFonts w:ascii="Garamond" w:hAnsi="Garamond"/>
                            <w:lang w:val="en-US"/>
                          </w:rPr>
                        </w:pPr>
                        <w:r w:rsidRPr="00EF571C">
                          <w:rPr>
                            <w:rFonts w:ascii="Garamond" w:eastAsia="Cambria" w:hAnsi="Garamond" w:cs="Cambria"/>
                            <w:color w:val="000000"/>
                            <w:sz w:val="16"/>
                            <w:lang w:val="en-US"/>
                          </w:rPr>
                          <w:t>Mapping of Discussion Topics</w:t>
                        </w:r>
                      </w:p>
                    </w:txbxContent>
                  </v:textbox>
                </v:oval>
                <v:oval id="Oval 6" o:spid="_x0000_s1029" style="position:absolute;left:22512;top:33;width:12561;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" fillcolor="white [3201]" strokecolor="#f79646 [3209]" strokeweight="2pt">
                  <v:stroke startarrowwidth="narrow" startarrowlength="short" endarrowwidth="narrow" endarrowlength="short"/>
                  <v:shadow on="t" color="black" offset="0,1pt"/>
                  <v:textbox inset="2.53958mm,1.2694mm,2.53958mm,1.2694mm">
                    <w:txbxContent>
                      <w:p w14:paraId="37696653" w14:textId="77777777" w:rsidR="003A457D" w:rsidRPr="00EF571C" w:rsidRDefault="003A457D" w:rsidP="003A457D">
                        <w:pPr>
                          <w:jc w:val="center"/>
                          <w:rPr>
                            <w:rFonts w:ascii="Garamond" w:hAnsi="Garamond"/>
                            <w:lang w:val="en-US"/>
                          </w:rPr>
                        </w:pPr>
                        <w:r w:rsidRPr="00EF571C">
                          <w:rPr>
                            <w:rFonts w:ascii="Garamond" w:eastAsia="Cambria" w:hAnsi="Garamond" w:cs="Cambria"/>
                            <w:color w:val="000000"/>
                            <w:sz w:val="18"/>
                            <w:lang w:val="en-US"/>
                          </w:rPr>
                          <w:t>Topic Analysis</w:t>
                        </w:r>
                      </w:p>
                    </w:txbxContent>
                  </v:textbox>
                </v:oval>
                <v:oval id="Oval 7" o:spid="_x0000_s1030" style="position:absolute;left:33062;width:13881;height:6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" fillcolor="white [3201]" strokecolor="#8064a2 [3207]" strokeweight="2pt">
                  <v:stroke startarrowwidth="narrow" startarrowlength="short" endarrowwidth="narrow" endarrowlength="short"/>
                  <v:shadow on="t" color="black" offset="0,1pt"/>
                  <v:textbox inset="2.53958mm,1.2694mm,2.53958mm,1.2694mm">
                    <w:txbxContent>
                      <w:p w14:paraId="1C454B1E" w14:textId="77777777" w:rsidR="003A457D" w:rsidRPr="001D3D5F" w:rsidRDefault="003A457D" w:rsidP="003A457D">
                        <w:pPr>
                          <w:ind w:right="-39"/>
                          <w:jc w:val="center"/>
                          <w:rPr>
                            <w:lang w:val="en-US"/>
                          </w:rPr>
                        </w:pPr>
                        <w:r>
                          <w:rPr>
                            <w:rFonts w:ascii="Cambria" w:eastAsia="Cambria" w:hAnsi="Cambria" w:cs="Cambria"/>
                            <w:color w:val="000000"/>
                            <w:sz w:val="12"/>
                            <w:lang w:val="en-US"/>
                          </w:rPr>
                          <w:t>The concept of discussion about the 'learning method.'</w:t>
                        </w:r>
                      </w:p>
                    </w:txbxContent>
                  </v:textbox>
                </v:oval>
                <v:oval id="Oval 8" o:spid="_x0000_s1031" style="position:absolute;left:4159;top:6108;width:3658;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" fillcolor="white [3201]" strokecolor="black [3200]" strokeweight="2pt">
                  <v:stroke startarrowwidth="narrow" startarrowlength="short" endarrowwidth="narrow" endarrowlength="short"/>
                  <v:textbox inset="2.53958mm,1.2694mm,2.53958mm,1.2694mm">
                    <w:txbxContent>
                      <w:p w14:paraId="4F7E8B2C" w14:textId="77777777" w:rsidR="003A457D" w:rsidRDefault="003A457D" w:rsidP="003A457D">
                        <w:pPr>
                          <w:spacing w:line="273" w:lineRule="auto"/>
                          <w:jc w:val="center"/>
                        </w:pPr>
                        <w:r>
                          <w:rPr>
                            <w:rFonts w:ascii="Cambria" w:eastAsia="Cambria" w:hAnsi="Cambria" w:cs="Cambria"/>
                            <w:color w:val="000000"/>
                            <w:sz w:val="16"/>
                          </w:rPr>
                          <w:t>1</w:t>
                        </w:r>
                      </w:p>
                    </w:txbxContent>
                  </v:textbox>
                </v:oval>
                <v:oval id="Oval 9" o:spid="_x0000_s1032" style="position:absolute;left:16636;top:5637;width:3651;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" fillcolor="white [3201]" strokecolor="#c0504d [3205]" strokeweight="2pt">
                  <v:stroke startarrowwidth="narrow" startarrowlength="short" endarrowwidth="narrow" endarrowlength="short"/>
                  <v:textbox inset="2.53958mm,1.2694mm,2.53958mm,1.2694mm">
                    <w:txbxContent>
                      <w:p w14:paraId="624FA58D" w14:textId="77777777" w:rsidR="003A457D" w:rsidRDefault="003A457D" w:rsidP="003A457D">
                        <w:pPr>
                          <w:spacing w:line="273" w:lineRule="auto"/>
                          <w:jc w:val="center"/>
                        </w:pPr>
                        <w:r>
                          <w:rPr>
                            <w:rFonts w:ascii="Cambria" w:eastAsia="Cambria" w:hAnsi="Cambria" w:cs="Cambria"/>
                            <w:color w:val="000000"/>
                            <w:sz w:val="16"/>
                          </w:rPr>
                          <w:t>2</w:t>
                        </w:r>
                      </w:p>
                    </w:txbxContent>
                  </v:textbox>
                </v:oval>
                <v:oval id="Oval 10" o:spid="_x0000_s1033" style="position:absolute;left:29988;top:4909;width:3651;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" fillcolor="white [3201]" strokecolor="#c0504d [3205]" strokeweight="2pt">
                  <v:stroke startarrowwidth="narrow" startarrowlength="short" endarrowwidth="narrow" endarrowlength="short"/>
                  <v:textbox inset="2.53958mm,1.2694mm,2.53958mm,1.2694mm">
                    <w:txbxContent>
                      <w:p w14:paraId="1E55A1B2" w14:textId="77777777" w:rsidR="003A457D" w:rsidRDefault="003A457D" w:rsidP="003A457D">
                        <w:pPr>
                          <w:spacing w:line="273" w:lineRule="auto"/>
                          <w:jc w:val="center"/>
                        </w:pPr>
                        <w:r>
                          <w:rPr>
                            <w:rFonts w:ascii="Cambria" w:eastAsia="Cambria" w:hAnsi="Cambria" w:cs="Cambria"/>
                            <w:color w:val="000000"/>
                            <w:sz w:val="16"/>
                          </w:rPr>
                          <w:t>3</w:t>
                        </w:r>
                      </w:p>
                    </w:txbxContent>
                  </v:textbox>
                </v:oval>
                <v:oval id="Oval 11" o:spid="_x0000_s1034" style="position:absolute;left:43216;top:4306;width:3652;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" fillcolor="white [3201]" strokecolor="#c0504d [3205]" strokeweight="2pt">
                  <v:stroke startarrowwidth="narrow" startarrowlength="short" endarrowwidth="narrow" endarrowlength="short"/>
                  <v:textbox inset="2.53958mm,1.2694mm,2.53958mm,1.2694mm">
                    <w:txbxContent>
                      <w:p w14:paraId="7C58F5F9" w14:textId="77777777" w:rsidR="003A457D" w:rsidRDefault="003A457D" w:rsidP="003A457D">
                        <w:pPr>
                          <w:spacing w:line="273" w:lineRule="auto"/>
                          <w:jc w:val="center"/>
                        </w:pPr>
                        <w:r>
                          <w:rPr>
                            <w:rFonts w:ascii="Cambria" w:eastAsia="Cambria" w:hAnsi="Cambria" w:cs="Cambria"/>
                            <w:color w:val="000000"/>
                            <w:sz w:val="16"/>
                          </w:rPr>
                          <w:t>4</w:t>
                        </w:r>
                      </w:p>
                    </w:txbxContent>
                  </v:textbox>
                </v:oval>
                <w10:wrap anchorx="margin"/>
              </v:group>
            </w:pict>
          </mc:Fallback>
        </mc:AlternateContent>
      </w:r>
    </w:p>
    <w:p w14:paraId="6F1869FB" w14:textId="1F30A359" w:rsidR="003A457D" w:rsidRPr="003A457D" w:rsidRDefault="003A457D" w:rsidP="003A457D">
      <w:pPr>
        <w:pStyle w:val="JPEBody"/>
        <w:ind w:firstLine="90"/>
        <w:rPr>
          <w:rFonts w:ascii="Garamond" w:hAnsi="Garamond"/>
          <w:sz w:val="24"/>
          <w:lang w:val="en-US"/>
        </w:rPr>
      </w:pPr>
    </w:p>
    <w:p w14:paraId="16A6BC8B" w14:textId="77777777" w:rsidR="003A457D" w:rsidRPr="003A457D" w:rsidRDefault="003A457D" w:rsidP="003A457D">
      <w:pPr>
        <w:pStyle w:val="JPEBody"/>
        <w:rPr>
          <w:rFonts w:ascii="Garamond" w:hAnsi="Garamond"/>
          <w:color w:val="252525"/>
          <w:sz w:val="24"/>
          <w:shd w:val="clear" w:color="auto" w:fill="FFFFFF"/>
        </w:rPr>
      </w:pPr>
    </w:p>
    <w:p w14:paraId="159BEBCD" w14:textId="77777777" w:rsidR="003A457D" w:rsidRPr="003A457D" w:rsidRDefault="003A457D" w:rsidP="003A457D">
      <w:pPr>
        <w:pStyle w:val="JPEBody"/>
        <w:rPr>
          <w:rFonts w:ascii="Garamond" w:hAnsi="Garamond"/>
          <w:color w:val="252525"/>
          <w:sz w:val="24"/>
          <w:shd w:val="clear" w:color="auto" w:fill="FFFFFF"/>
        </w:rPr>
      </w:pPr>
    </w:p>
    <w:p w14:paraId="19B1E002" w14:textId="77777777" w:rsidR="003A457D" w:rsidRPr="003A457D" w:rsidRDefault="003A457D" w:rsidP="003A457D">
      <w:pPr>
        <w:pStyle w:val="JPEBody"/>
        <w:rPr>
          <w:rFonts w:ascii="Garamond" w:hAnsi="Garamond"/>
          <w:color w:val="252525"/>
          <w:sz w:val="24"/>
          <w:shd w:val="clear" w:color="auto" w:fill="FFFFFF"/>
        </w:rPr>
      </w:pPr>
    </w:p>
    <w:p w14:paraId="57EB599C" w14:textId="77777777" w:rsidR="003A457D" w:rsidRPr="003A457D" w:rsidRDefault="003A457D" w:rsidP="003A457D">
      <w:pPr>
        <w:pStyle w:val="JPEBody"/>
        <w:rPr>
          <w:rFonts w:ascii="Garamond" w:hAnsi="Garamond"/>
          <w:color w:val="252525"/>
          <w:sz w:val="24"/>
          <w:shd w:val="clear" w:color="auto" w:fill="FFFFFF"/>
        </w:rPr>
      </w:pPr>
    </w:p>
    <w:p w14:paraId="7AD987F1" w14:textId="77777777" w:rsidR="003A457D" w:rsidRPr="003A457D" w:rsidRDefault="003A457D" w:rsidP="003A457D">
      <w:pPr>
        <w:pStyle w:val="JPEBody"/>
        <w:rPr>
          <w:rFonts w:ascii="Garamond" w:hAnsi="Garamond"/>
          <w:color w:val="252525"/>
          <w:sz w:val="24"/>
          <w:shd w:val="clear" w:color="auto" w:fill="FFFFFF"/>
        </w:rPr>
      </w:pPr>
    </w:p>
    <w:p w14:paraId="06411354" w14:textId="77777777" w:rsidR="003A457D" w:rsidRPr="003A457D" w:rsidRDefault="003A457D" w:rsidP="003A457D">
      <w:pPr>
        <w:pStyle w:val="JPEBody"/>
        <w:rPr>
          <w:rFonts w:ascii="Garamond" w:hAnsi="Garamond"/>
          <w:color w:val="252525"/>
          <w:sz w:val="24"/>
          <w:shd w:val="clear" w:color="auto" w:fill="FFFFFF"/>
        </w:rPr>
      </w:pPr>
    </w:p>
    <w:p w14:paraId="098F2ADA" w14:textId="77777777" w:rsidR="003A457D" w:rsidRPr="003A457D" w:rsidRDefault="003A457D" w:rsidP="003A457D">
      <w:pPr>
        <w:pStyle w:val="JPEBody"/>
        <w:rPr>
          <w:rFonts w:ascii="Garamond" w:hAnsi="Garamond"/>
          <w:color w:val="252525"/>
          <w:sz w:val="24"/>
          <w:shd w:val="clear" w:color="auto" w:fill="FFFFFF"/>
        </w:rPr>
      </w:pPr>
    </w:p>
    <w:p w14:paraId="546B9C8D" w14:textId="77777777" w:rsidR="003A457D" w:rsidRPr="003A457D" w:rsidRDefault="003A457D" w:rsidP="003A457D">
      <w:pPr>
        <w:pStyle w:val="JPEBody"/>
        <w:rPr>
          <w:rFonts w:ascii="Garamond" w:hAnsi="Garamond"/>
          <w:color w:val="252525"/>
          <w:sz w:val="24"/>
          <w:shd w:val="clear" w:color="auto" w:fill="FFFFFF"/>
        </w:rPr>
      </w:pPr>
    </w:p>
    <w:p w14:paraId="3F619F45" w14:textId="77777777" w:rsidR="003A457D" w:rsidRPr="003A457D" w:rsidRDefault="003A457D" w:rsidP="003A457D">
      <w:pPr>
        <w:pStyle w:val="JPEBody"/>
        <w:rPr>
          <w:rFonts w:ascii="Garamond" w:hAnsi="Garamond"/>
          <w:color w:val="252525"/>
          <w:sz w:val="24"/>
          <w:shd w:val="clear" w:color="auto" w:fill="FFFFFF"/>
        </w:rPr>
      </w:pPr>
    </w:p>
    <w:p w14:paraId="1F27EFF0" w14:textId="77777777" w:rsidR="003A457D" w:rsidRPr="003A457D" w:rsidRDefault="003A457D" w:rsidP="003A457D">
      <w:pPr>
        <w:pStyle w:val="JPEBody"/>
        <w:rPr>
          <w:rFonts w:ascii="Garamond" w:hAnsi="Garamond"/>
          <w:color w:val="252525"/>
          <w:sz w:val="24"/>
          <w:shd w:val="clear" w:color="auto" w:fill="FFFFFF"/>
        </w:rPr>
      </w:pPr>
    </w:p>
    <w:p w14:paraId="5A2C83CE" w14:textId="77777777" w:rsidR="003A457D" w:rsidRPr="003A457D" w:rsidRDefault="003A457D" w:rsidP="003A457D">
      <w:pPr>
        <w:tabs>
          <w:tab w:val="left" w:pos="1073"/>
        </w:tabs>
        <w:spacing w:after="120"/>
        <w:jc w:val="both"/>
        <w:rPr>
          <w:rFonts w:ascii="Garamond" w:eastAsia="Cambria" w:hAnsi="Garamond"/>
          <w:b/>
          <w:sz w:val="24"/>
          <w:szCs w:val="24"/>
        </w:rPr>
      </w:pPr>
      <w:r w:rsidRPr="003A457D">
        <w:rPr>
          <w:rFonts w:ascii="Garamond" w:eastAsia="Cambria" w:hAnsi="Garamond"/>
          <w:b/>
          <w:sz w:val="24"/>
          <w:szCs w:val="24"/>
          <w:lang w:val="en-US"/>
        </w:rPr>
        <w:lastRenderedPageBreak/>
        <w:t>Figure 2</w:t>
      </w:r>
      <w:r w:rsidRPr="003A457D">
        <w:rPr>
          <w:rFonts w:ascii="Garamond" w:eastAsia="Cambria" w:hAnsi="Garamond"/>
          <w:b/>
          <w:sz w:val="24"/>
          <w:szCs w:val="24"/>
        </w:rPr>
        <w:t xml:space="preserve">. </w:t>
      </w:r>
      <w:r w:rsidRPr="003A457D">
        <w:rPr>
          <w:rFonts w:ascii="Garamond" w:eastAsia="Cambria" w:hAnsi="Garamond"/>
          <w:bCs/>
          <w:sz w:val="24"/>
          <w:szCs w:val="24"/>
          <w:lang w:val="en-US"/>
        </w:rPr>
        <w:t>Article review process</w:t>
      </w:r>
      <w:r w:rsidRPr="003A457D">
        <w:rPr>
          <w:rFonts w:ascii="Garamond" w:eastAsia="Cambria" w:hAnsi="Garamond"/>
          <w:b/>
          <w:sz w:val="24"/>
          <w:szCs w:val="24"/>
          <w:lang w:val="en-US"/>
        </w:rPr>
        <w:t xml:space="preserve"> </w:t>
      </w:r>
    </w:p>
    <w:p w14:paraId="61EDA462" w14:textId="5604D9C6" w:rsidR="003A457D" w:rsidRPr="00EF571C" w:rsidRDefault="003A457D" w:rsidP="00EF571C">
      <w:pPr>
        <w:autoSpaceDE w:val="0"/>
        <w:autoSpaceDN w:val="0"/>
        <w:adjustRightInd w:val="0"/>
        <w:spacing w:after="120"/>
        <w:jc w:val="both"/>
        <w:rPr>
          <w:rFonts w:ascii="Garamond" w:hAnsi="Garamond"/>
          <w:sz w:val="24"/>
          <w:szCs w:val="24"/>
          <w:lang w:val="en-US"/>
        </w:rPr>
      </w:pPr>
      <w:r w:rsidRPr="003A457D">
        <w:rPr>
          <w:rFonts w:ascii="Garamond" w:eastAsia="Cambria" w:hAnsi="Garamond"/>
          <w:sz w:val="24"/>
          <w:szCs w:val="24"/>
        </w:rPr>
        <w:tab/>
      </w:r>
      <w:r w:rsidRPr="003A457D">
        <w:rPr>
          <w:rFonts w:ascii="Garamond" w:hAnsi="Garamond"/>
          <w:sz w:val="24"/>
          <w:szCs w:val="24"/>
          <w:lang w:val="en-US"/>
        </w:rPr>
        <w:t>Several articles that have strong links and attachments were obtained by researchers based on the following procedure: First, to identify the articles. Article identification is intended to sort and select various articles so that the articles used are only the ones related to the topics discussed. This is done by inputting the keywords "learning method" in the search column with restrictions from 2012 to 2022. Researchers obtained 999 articles with indications related to the topic based on the search process. The second stage is verifying the various articles found so that they lead to needed articles and have a close correlation in compiling studies related to the learning method. After conducting the verification, 242 articles/journals were obtained that were considered relevant and truly conical with the study theme of the learning method. This article is an article that the researcher will use as a reference in studying related " learning methods "</w:t>
      </w:r>
      <w:r w:rsidRPr="003A457D">
        <w:rPr>
          <w:rFonts w:ascii="Garamond" w:hAnsi="Garamond"/>
          <w:sz w:val="24"/>
          <w:szCs w:val="24"/>
          <w:lang w:val="en-US"/>
        </w:rPr>
        <w:fldChar w:fldCharType="begin"/>
      </w:r>
      <w:r w:rsidRPr="003A457D">
        <w:rPr>
          <w:rFonts w:ascii="Garamond" w:hAnsi="Garamond"/>
          <w:sz w:val="24"/>
          <w:szCs w:val="24"/>
          <w:lang w:val="en-US"/>
        </w:rPr>
        <w:instrText xml:space="preserve"> ADDIN ZOTERO_ITEM CSL_CITATION {"citationID":"SQOty35a","properties":{"formattedCitation":"(Akyol and Garrison 2008)","plainCitation":"(Akyol and Garrison 2008)","noteIndex":0},"citationItems":[{"id":579,"uris":["http://zotero.org/users/local/GmZiI9vO/items/Q89I3HY7"],"itemData":{"id":579,"type":"article-journal","abstract":"The purpose of this study was to explore the dynamics of an online educational experience through the lens of the Community of Inquiry framework. Transcript analysis of online discussion postings and the Community of Inquiry survey were applied in order to understand the progression and integration of each of the Community of Inquiry presences. The results indicated significant change in teaching and social presence categories over time. Moreover, survey results yielded significant relationships among teaching presence, cognitive presence and social presence, and students’ perceived learning and satisfaction in the course. The findings have important implications theoretically in terms of confirming the framework and practically by identifying the dynamics of each of the presences and their association with perceived learning and satisfaction.","container-title":"Journal of asynchronous learning networks","DOI":"10.24059/OLJ.V12I3.66","page":"3-22","title":"The Development of a Community of Inquiry over Time in an Online Course: Understanding the Progression and Integration of Social, Cognitive and Teaching Presence.","URL":"https://www.semanticscholar.org/paper/146aee688ab67f15ce67b0503348b88a76d80843","volume":"12","author":[{"family":"Akyol","given":"Zehra"},{"family":"Garrison","given":"D."}],"issued":{"date-parts":[["2008"]]}}}],"schema":"https://github.com/citation-style-language/schema/raw/master/csl-citation.json"} </w:instrText>
      </w:r>
      <w:r w:rsidRPr="003A457D">
        <w:rPr>
          <w:rFonts w:ascii="Garamond" w:hAnsi="Garamond"/>
          <w:sz w:val="24"/>
          <w:szCs w:val="24"/>
          <w:lang w:val="en-US"/>
        </w:rPr>
        <w:fldChar w:fldCharType="separate"/>
      </w:r>
      <w:r w:rsidRPr="003A457D">
        <w:rPr>
          <w:rFonts w:ascii="Garamond" w:hAnsi="Garamond"/>
          <w:sz w:val="24"/>
          <w:szCs w:val="24"/>
        </w:rPr>
        <w:t>(Akyol and Garrison 2008)</w:t>
      </w:r>
      <w:r w:rsidRPr="003A457D">
        <w:rPr>
          <w:rFonts w:ascii="Garamond" w:hAnsi="Garamond"/>
          <w:sz w:val="24"/>
          <w:szCs w:val="24"/>
          <w:lang w:val="en-US"/>
        </w:rPr>
        <w:fldChar w:fldCharType="end"/>
      </w:r>
      <w:r w:rsidRPr="003A457D">
        <w:rPr>
          <w:rFonts w:ascii="Garamond" w:hAnsi="Garamond"/>
          <w:sz w:val="24"/>
          <w:szCs w:val="24"/>
          <w:lang w:val="en-US"/>
        </w:rPr>
        <w:t>.</w:t>
      </w:r>
    </w:p>
    <w:p w14:paraId="74C8309F" w14:textId="77777777" w:rsidR="003A457D" w:rsidRPr="003A457D" w:rsidRDefault="003A457D" w:rsidP="003A457D">
      <w:pPr>
        <w:pStyle w:val="JPEBody"/>
        <w:rPr>
          <w:rFonts w:ascii="Garamond" w:hAnsi="Garamond"/>
          <w:sz w:val="24"/>
          <w:lang w:val="en-US"/>
        </w:rPr>
      </w:pPr>
      <w:r w:rsidRPr="003A457D">
        <w:rPr>
          <w:rFonts w:ascii="Garamond" w:hAnsi="Garamond"/>
          <w:color w:val="252525"/>
          <w:sz w:val="24"/>
          <w:shd w:val="clear" w:color="auto" w:fill="FFFFFF"/>
        </w:rPr>
        <w:t>In this study, the researcher used a qualitative research method. A semi-structured interview is done to gather information. The researcher gathers the participants in a WhatsApp group and provides them specific guidelines</w:t>
      </w:r>
      <w:r w:rsidRPr="003A457D">
        <w:rPr>
          <w:rFonts w:ascii="Garamond" w:hAnsi="Garamond"/>
          <w:color w:val="252525"/>
          <w:sz w:val="24"/>
          <w:shd w:val="clear" w:color="auto" w:fill="FFFFFF"/>
          <w:lang w:val="en-US"/>
        </w:rPr>
        <w:t xml:space="preserve"> </w:t>
      </w:r>
      <w:r w:rsidRPr="003A457D">
        <w:rPr>
          <w:rFonts w:ascii="Garamond" w:hAnsi="Garamond"/>
          <w:color w:val="252525"/>
          <w:sz w:val="24"/>
          <w:shd w:val="clear" w:color="auto" w:fill="FFFFFF"/>
        </w:rPr>
        <w:fldChar w:fldCharType="begin"/>
      </w:r>
      <w:r w:rsidRPr="003A457D">
        <w:rPr>
          <w:rFonts w:ascii="Garamond" w:hAnsi="Garamond"/>
          <w:color w:val="252525"/>
          <w:sz w:val="24"/>
          <w:shd w:val="clear" w:color="auto" w:fill="FFFFFF"/>
        </w:rPr>
        <w:instrText xml:space="preserve"> ADDIN ZOTERO_ITEM CSL_CITATION {"citationID":"QCPsvGm3","properties":{"formattedCitation":"(Akyol, Garrison, and Ozden 2009)","plainCitation":"(Akyol, Garrison, and Ozden 2009)","noteIndex":0},"citationItems":[{"id":578,"uris":["http://zotero.org/users/local/GmZiI9vO/items/ECI3D89N"],"itemData":{"id":578,"type":"article-journal","abstract":"Abstract This paper discusses findings of a mixed method research project with the goal to study the development of a community of inquiry in online and blended learning environments. A graduate course delivered online and blended format was the focus of the study. Data was gathered from the Community of Inquiry Survey and transcript analysis of online discussions to explore the developmental differences on each presence (social, teaching and cognitive). The results showed: significant differences on social and cognitive presence between two course formats and higher perceptions of the presences in blended course.","container-title":"Procedia - Social and Behavioral Sciences","DOI":"10.1016/J.SBSPRO.2009.01.324","page":"1834-1838","title":"Development of a community of inquiry in online and blended learning contexts","URL":"https://www.semanticscholar.org/paper/1597b285e08159724410925effdd9edebea3581c","volume":"1","author":[{"family":"Akyol","given":"Zehra"},{"family":"Garrison","given":"D."},{"family":"Ozden","given":"M."}],"issued":{"date-parts":[["2009"]]}}}],"schema":"https://github.com/citation-style-language/schema/raw/master/csl-citation.json"} </w:instrText>
      </w:r>
      <w:r w:rsidRPr="003A457D">
        <w:rPr>
          <w:rFonts w:ascii="Garamond" w:hAnsi="Garamond"/>
          <w:color w:val="252525"/>
          <w:sz w:val="24"/>
          <w:shd w:val="clear" w:color="auto" w:fill="FFFFFF"/>
        </w:rPr>
        <w:fldChar w:fldCharType="separate"/>
      </w:r>
      <w:r w:rsidRPr="003A457D">
        <w:rPr>
          <w:rFonts w:ascii="Garamond" w:hAnsi="Garamond"/>
          <w:sz w:val="24"/>
        </w:rPr>
        <w:t>(Akyol, Garrison, and Ozden 2009)</w:t>
      </w:r>
      <w:r w:rsidRPr="003A457D">
        <w:rPr>
          <w:rFonts w:ascii="Garamond" w:hAnsi="Garamond"/>
          <w:color w:val="252525"/>
          <w:sz w:val="24"/>
          <w:shd w:val="clear" w:color="auto" w:fill="FFFFFF"/>
        </w:rPr>
        <w:fldChar w:fldCharType="end"/>
      </w:r>
      <w:r w:rsidRPr="003A457D">
        <w:rPr>
          <w:rFonts w:ascii="Garamond" w:hAnsi="Garamond"/>
          <w:color w:val="252525"/>
          <w:sz w:val="24"/>
          <w:shd w:val="clear" w:color="auto" w:fill="FFFFFF"/>
        </w:rPr>
        <w:t>. They must comprehend the material to the point where they are familiar with the depth and breadth of the interview, and they must continue to review the original audio recordings for authenticity. Because transcription would be time-consuming, irritating, and tedious, this is the only practical approach to begin familiarizing yourself with the data. To explain the trend, the researcher clustered the data into themes after analysis</w:t>
      </w:r>
      <w:r w:rsidRPr="003A457D">
        <w:rPr>
          <w:rFonts w:ascii="Garamond" w:hAnsi="Garamond"/>
          <w:color w:val="252525"/>
          <w:sz w:val="24"/>
          <w:shd w:val="clear" w:color="auto" w:fill="FFFFFF"/>
          <w:lang w:val="en-US"/>
        </w:rPr>
        <w:t xml:space="preserve"> </w:t>
      </w:r>
      <w:r w:rsidRPr="003A457D">
        <w:rPr>
          <w:rFonts w:ascii="Garamond" w:hAnsi="Garamond"/>
          <w:color w:val="252525"/>
          <w:sz w:val="24"/>
          <w:shd w:val="clear" w:color="auto" w:fill="FFFFFF"/>
          <w:lang w:val="en-US"/>
        </w:rPr>
        <w:fldChar w:fldCharType="begin"/>
      </w:r>
      <w:r w:rsidRPr="003A457D">
        <w:rPr>
          <w:rFonts w:ascii="Garamond" w:hAnsi="Garamond"/>
          <w:color w:val="252525"/>
          <w:sz w:val="24"/>
          <w:shd w:val="clear" w:color="auto" w:fill="FFFFFF"/>
          <w:lang w:val="en-US"/>
        </w:rPr>
        <w:instrText xml:space="preserve"> ADDIN ZOTERO_ITEM CSL_CITATION {"citationID":"8xYo4PuI","properties":{"formattedCitation":"(Akyol and Garrison 2008)","plainCitation":"(Akyol and Garrison 2008)","noteIndex":0},"citationItems":[{"id":579,"uris":["http://zotero.org/users/local/GmZiI9vO/items/Q89I3HY7"],"itemData":{"id":579,"type":"article-journal","abstract":"The purpose of this study was to explore the dynamics of an online educational experience through the lens of the Community of Inquiry framework. Transcript analysis of online discussion postings and the Community of Inquiry survey were applied in order to understand the progression and integration of each of the Community of Inquiry presences. The results indicated significant change in teaching and social presence categories over time. Moreover, survey results yielded significant relationships among teaching presence, cognitive presence and social presence, and students’ perceived learning and satisfaction in the course. The findings have important implications theoretically in terms of confirming the framework and practically by identifying the dynamics of each of the presences and their association with perceived learning and satisfaction.","container-title":"Journal of asynchronous learning networks","DOI":"10.24059/OLJ.V12I3.66","page":"3-22","title":"The Development of a Community of Inquiry over Time in an Online Course: Understanding the Progression and Integration of Social, Cognitive and Teaching Presence.","URL":"https://www.semanticscholar.org/paper/146aee688ab67f15ce67b0503348b88a76d80843","volume":"12","author":[{"family":"Akyol","given":"Zehra"},{"family":"Garrison","given":"D."}],"issued":{"date-parts":[["2008"]]}}}],"schema":"https://github.com/citation-style-language/schema/raw/master/csl-citation.json"} </w:instrText>
      </w:r>
      <w:r w:rsidRPr="003A457D">
        <w:rPr>
          <w:rFonts w:ascii="Garamond" w:hAnsi="Garamond"/>
          <w:color w:val="252525"/>
          <w:sz w:val="24"/>
          <w:shd w:val="clear" w:color="auto" w:fill="FFFFFF"/>
          <w:lang w:val="en-US"/>
        </w:rPr>
        <w:fldChar w:fldCharType="separate"/>
      </w:r>
      <w:r w:rsidRPr="003A457D">
        <w:rPr>
          <w:rFonts w:ascii="Garamond" w:hAnsi="Garamond"/>
          <w:sz w:val="24"/>
        </w:rPr>
        <w:t>(Akyol and Garrison 2008)</w:t>
      </w:r>
      <w:r w:rsidRPr="003A457D">
        <w:rPr>
          <w:rFonts w:ascii="Garamond" w:hAnsi="Garamond"/>
          <w:color w:val="252525"/>
          <w:sz w:val="24"/>
          <w:shd w:val="clear" w:color="auto" w:fill="FFFFFF"/>
          <w:lang w:val="en-US"/>
        </w:rPr>
        <w:fldChar w:fldCharType="end"/>
      </w:r>
      <w:r w:rsidRPr="003A457D">
        <w:rPr>
          <w:rFonts w:ascii="Garamond" w:hAnsi="Garamond"/>
          <w:color w:val="252525"/>
          <w:sz w:val="24"/>
          <w:shd w:val="clear" w:color="auto" w:fill="FFFFFF"/>
        </w:rPr>
        <w:t>. This step reduces some of the ineffective data to focus on the data relevant to the theme</w:t>
      </w:r>
      <w:r w:rsidRPr="003A457D">
        <w:rPr>
          <w:rFonts w:ascii="Garamond" w:hAnsi="Garamond"/>
          <w:color w:val="252525"/>
          <w:sz w:val="24"/>
          <w:shd w:val="clear" w:color="auto" w:fill="FFFFFF"/>
          <w:lang w:val="en-US"/>
        </w:rPr>
        <w:t xml:space="preserve"> </w:t>
      </w:r>
      <w:r w:rsidRPr="003A457D">
        <w:rPr>
          <w:rFonts w:ascii="Garamond" w:hAnsi="Garamond"/>
          <w:color w:val="252525"/>
          <w:sz w:val="24"/>
          <w:shd w:val="clear" w:color="auto" w:fill="FFFFFF"/>
          <w:lang w:val="en-US"/>
        </w:rPr>
        <w:fldChar w:fldCharType="begin"/>
      </w:r>
      <w:r w:rsidRPr="003A457D">
        <w:rPr>
          <w:rFonts w:ascii="Garamond" w:hAnsi="Garamond"/>
          <w:color w:val="252525"/>
          <w:sz w:val="24"/>
          <w:shd w:val="clear" w:color="auto" w:fill="FFFFFF"/>
          <w:lang w:val="en-US"/>
        </w:rPr>
        <w:instrText xml:space="preserve"> ADDIN ZOTERO_ITEM CSL_CITATION {"citationID":"oXAIM94B","properties":{"formattedCitation":"(Akyol, Garrison, and Ozden 2009)","plainCitation":"(Akyol, Garrison, and Ozden 2009)","noteIndex":0},"citationItems":[{"id":580,"uris":["http://zotero.org/users/local/GmZiI9vO/items/MS46HMUZ"],"itemData":{"id":580,"type":"article-journal","abstract":"This paper discusses findings of a mixed method approach to a study of the development of a community of inquiry in an online and a blended learning environment. A graduate course delivered online and in a blended format was the context of the study. Data were gathered from the Community of Inquiry Survey, transcript analysis of online discussions, and interviews with students and the course instructor. Using multiple qualitative and quantitative data sources, the goal was to explore the developmental differences of the three presences (social, teaching, and cognitive) in the community of inquiry framework and students’ perceptions of a community of inquiry. The results indicated that in both the online and blended course a community of inquiry developed and students could sense each presence. However, the findings revealed developmental differences in social and cognitive presence between the two course formats with higher perceptions in the blended course.","container-title":"The International Review of Research in Open and Distributed Learning","DOI":"10.19173/IRRODL.V10I6.765","page":"65-83","title":"Online and Blended Communities of Inquiry: Exploring the Developmental and Perceptional Differences.","URL":"https://www.semanticscholar.org/paper/f8f686e889aa2d84e196c2caf9f8e13d1567b588","volume":"10","author":[{"family":"Akyol","given":"Zehra"},{"family":"Garrison","given":"D."},{"family":"Ozden","given":"M."}],"issued":{"date-parts":[["2009"]]}}}],"schema":"https://github.com/citation-style-language/schema/raw/master/csl-citation.json"} </w:instrText>
      </w:r>
      <w:r w:rsidRPr="003A457D">
        <w:rPr>
          <w:rFonts w:ascii="Garamond" w:hAnsi="Garamond"/>
          <w:color w:val="252525"/>
          <w:sz w:val="24"/>
          <w:shd w:val="clear" w:color="auto" w:fill="FFFFFF"/>
          <w:lang w:val="en-US"/>
        </w:rPr>
        <w:fldChar w:fldCharType="separate"/>
      </w:r>
      <w:r w:rsidRPr="003A457D">
        <w:rPr>
          <w:rFonts w:ascii="Garamond" w:hAnsi="Garamond"/>
          <w:sz w:val="24"/>
        </w:rPr>
        <w:t>(Akyol, Garrison, and Ozden 2009)</w:t>
      </w:r>
      <w:r w:rsidRPr="003A457D">
        <w:rPr>
          <w:rFonts w:ascii="Garamond" w:hAnsi="Garamond"/>
          <w:color w:val="252525"/>
          <w:sz w:val="24"/>
          <w:shd w:val="clear" w:color="auto" w:fill="FFFFFF"/>
          <w:lang w:val="en-US"/>
        </w:rPr>
        <w:fldChar w:fldCharType="end"/>
      </w:r>
      <w:r w:rsidRPr="003A457D">
        <w:rPr>
          <w:rFonts w:ascii="Garamond" w:hAnsi="Garamond"/>
          <w:color w:val="252525"/>
          <w:sz w:val="24"/>
          <w:shd w:val="clear" w:color="auto" w:fill="FFFFFF"/>
        </w:rPr>
        <w:t>. This step reduces some of the ineffective data to focus on the data relevant to the theme. Keep an eye out for clusters or groupings of items utilized together throughout the data translation and analysis methods. The researcher must refocus on the investigation at a higher level of themes</w:t>
      </w:r>
      <w:r w:rsidRPr="003A457D">
        <w:rPr>
          <w:rFonts w:ascii="Garamond" w:hAnsi="Garamond"/>
          <w:color w:val="252525"/>
          <w:sz w:val="24"/>
          <w:shd w:val="clear" w:color="auto" w:fill="FFFFFF"/>
          <w:lang w:val="en-US"/>
        </w:rPr>
        <w:t xml:space="preserve"> </w:t>
      </w:r>
      <w:r w:rsidRPr="003A457D">
        <w:rPr>
          <w:rFonts w:ascii="Garamond" w:hAnsi="Garamond"/>
          <w:color w:val="252525"/>
          <w:sz w:val="24"/>
          <w:shd w:val="clear" w:color="auto" w:fill="FFFFFF"/>
          <w:lang w:val="en-US"/>
        </w:rPr>
        <w:fldChar w:fldCharType="begin"/>
      </w:r>
      <w:r w:rsidRPr="003A457D">
        <w:rPr>
          <w:rFonts w:ascii="Garamond" w:hAnsi="Garamond"/>
          <w:color w:val="252525"/>
          <w:sz w:val="24"/>
          <w:shd w:val="clear" w:color="auto" w:fill="FFFFFF"/>
          <w:lang w:val="en-US"/>
        </w:rPr>
        <w:instrText xml:space="preserve"> ADDIN ZOTERO_ITEM CSL_CITATION {"citationID":"Qifkm6Nh","properties":{"formattedCitation":"(Arbaugh and Benbunan-Finch 2006)","plainCitation":"(Arbaugh and Benbunan-Finch 2006)","noteIndex":0},"citationItems":[{"id":586,"uris":["http://zotero.org/users/local/GmZiI9vO/items/4E5EEAUD"],"itemData":{"id":586,"type":"article-journal","abstract":"We examine the relationship between teaching approaches and online learning outcomes using a sample of 40 MBA-level courses. We develop and test a conceptual framework of teaching approaches based ...","container-title":"Academy of Management Learning and Education","DOI":"10.5465/AMLE.2006.23473204","page":"435-447","title":"An Investigation of Epistemological and Social Dimensions of Teaching in Online Learning Environments","URL":"https://www.semanticscholar.org/paper/679b50480cf29cfec310d56f5d1e5f34c30ba448","volume":"5","author":[{"family":"Arbaugh","given":"J."},{"family":"Benbunan-Finch","given":"Raquel"}],"issued":{"date-parts":[["2006"]]}}}],"schema":"https://github.com/citation-style-language/schema/raw/master/csl-citation.json"} </w:instrText>
      </w:r>
      <w:r w:rsidRPr="003A457D">
        <w:rPr>
          <w:rFonts w:ascii="Garamond" w:hAnsi="Garamond"/>
          <w:color w:val="252525"/>
          <w:sz w:val="24"/>
          <w:shd w:val="clear" w:color="auto" w:fill="FFFFFF"/>
          <w:lang w:val="en-US"/>
        </w:rPr>
        <w:fldChar w:fldCharType="separate"/>
      </w:r>
      <w:r w:rsidRPr="003A457D">
        <w:rPr>
          <w:rFonts w:ascii="Garamond" w:hAnsi="Garamond"/>
          <w:sz w:val="24"/>
        </w:rPr>
        <w:t>(Arbaugh and Benbunan-Finch 2006)</w:t>
      </w:r>
      <w:r w:rsidRPr="003A457D">
        <w:rPr>
          <w:rFonts w:ascii="Garamond" w:hAnsi="Garamond"/>
          <w:color w:val="252525"/>
          <w:sz w:val="24"/>
          <w:shd w:val="clear" w:color="auto" w:fill="FFFFFF"/>
          <w:lang w:val="en-US"/>
        </w:rPr>
        <w:fldChar w:fldCharType="end"/>
      </w:r>
      <w:r w:rsidRPr="003A457D">
        <w:rPr>
          <w:rFonts w:ascii="Garamond" w:hAnsi="Garamond"/>
          <w:color w:val="252525"/>
          <w:sz w:val="24"/>
          <w:shd w:val="clear" w:color="auto" w:fill="FFFFFF"/>
        </w:rPr>
        <w:t>. Instead of focusing on codes, a higher level of themes will sort the various codes into prospective themes and place all essential coded data extracts below the scope of discovered themes</w:t>
      </w:r>
      <w:r w:rsidRPr="003A457D">
        <w:rPr>
          <w:rFonts w:ascii="Garamond" w:hAnsi="Garamond"/>
          <w:color w:val="252525"/>
          <w:sz w:val="24"/>
          <w:shd w:val="clear" w:color="auto" w:fill="FFFFFF"/>
          <w:lang w:val="en-US"/>
        </w:rPr>
        <w:t xml:space="preserve"> </w:t>
      </w:r>
      <w:r w:rsidRPr="003A457D">
        <w:rPr>
          <w:rFonts w:ascii="Garamond" w:hAnsi="Garamond"/>
          <w:color w:val="252525"/>
          <w:sz w:val="24"/>
          <w:shd w:val="clear" w:color="auto" w:fill="FFFFFF"/>
          <w:lang w:val="en-US"/>
        </w:rPr>
        <w:fldChar w:fldCharType="begin"/>
      </w:r>
      <w:r w:rsidRPr="003A457D">
        <w:rPr>
          <w:rFonts w:ascii="Garamond" w:hAnsi="Garamond"/>
          <w:color w:val="252525"/>
          <w:sz w:val="24"/>
          <w:shd w:val="clear" w:color="auto" w:fill="FFFFFF"/>
          <w:lang w:val="en-US"/>
        </w:rPr>
        <w:instrText xml:space="preserve"> ADDIN ZOTERO_ITEM CSL_CITATION {"citationID":"WZOFCw2L","properties":{"formattedCitation":"(Diaz et al. 2010)","plainCitation":"(Diaz et al. 2010)","noteIndex":0},"citationItems":[{"id":587,"uris":["http://zotero.org/users/local/GmZiI9vO/items/8DNG7ZER"],"itemData":{"id":587,"type":"article-journal","abstract":"Abstract This research builds upon prior validation studies of the Community of Inquiry (CoI) survey by utilizing multiple rating measures to validate the survey's tripartite structure (teaching presence, social presence, and cognitive presence). In prior studies exploring the construct validity of these 3 subscales, only respondents' course ratings were utilized. This study asked participants to additionally rate the importance of each CoI survey item. Descriptive analyses of the gaps between course rating scores and the respective item-importance ratings revealed that social presence items, perceived as the least important of the CoI subscales, yielded the gap scores with least variability, while gaps in teaching presence items revealed areas where instructors might focus more attention. Multiplicative scores for each item were computed as the product of an item's course rating score and its corresponding importance rating. Even when including this additional measure of perceived importance, factor analysis of multiplicative scores (item rating </w:instrText>
      </w:r>
      <w:r w:rsidRPr="003A457D">
        <w:rPr>
          <w:color w:val="252525"/>
          <w:sz w:val="24"/>
          <w:shd w:val="clear" w:color="auto" w:fill="FFFFFF"/>
          <w:lang w:val="en-US"/>
        </w:rPr>
        <w:instrText>⁎</w:instrText>
      </w:r>
      <w:r w:rsidRPr="003A457D">
        <w:rPr>
          <w:rFonts w:ascii="Garamond" w:hAnsi="Garamond"/>
          <w:color w:val="252525"/>
          <w:sz w:val="24"/>
          <w:shd w:val="clear" w:color="auto" w:fill="FFFFFF"/>
          <w:lang w:val="en-US"/>
        </w:rPr>
        <w:instrText xml:space="preserve"> importance rating) supported the CoI model's tripartite structure, and so prior validation studies.","container-title":"Internet High. Educ.","DOI":"10.1016/J.IHEDUC.2009.11.004","page":"22-30","title":"Student ratings of the importance of survey items, multiplicative factor analysis, and the validity of the community of inquiry survey","URL":"https://www.semanticscholar.org/paper/c872ad87b99c734175d9e98aa973d95446975ab6","volume":"13","author":[{"family":"Diaz","given":"S."},{"family":"Swan","given":"Karen"},{"family":"Ice","given":"P."},{"family":"Kupczynski","given":"L."}],"issued":{"date-parts":[["2010"]]}}}],"schema":"https://github.com/citation-style-language/schema/raw/master/csl-citation.json"} </w:instrText>
      </w:r>
      <w:r w:rsidRPr="003A457D">
        <w:rPr>
          <w:rFonts w:ascii="Garamond" w:hAnsi="Garamond"/>
          <w:color w:val="252525"/>
          <w:sz w:val="24"/>
          <w:shd w:val="clear" w:color="auto" w:fill="FFFFFF"/>
          <w:lang w:val="en-US"/>
        </w:rPr>
        <w:fldChar w:fldCharType="separate"/>
      </w:r>
      <w:r w:rsidRPr="003A457D">
        <w:rPr>
          <w:rFonts w:ascii="Garamond" w:hAnsi="Garamond"/>
          <w:sz w:val="24"/>
        </w:rPr>
        <w:t>(Diaz et al. 2010)</w:t>
      </w:r>
      <w:r w:rsidRPr="003A457D">
        <w:rPr>
          <w:rFonts w:ascii="Garamond" w:hAnsi="Garamond"/>
          <w:color w:val="252525"/>
          <w:sz w:val="24"/>
          <w:shd w:val="clear" w:color="auto" w:fill="FFFFFF"/>
          <w:lang w:val="en-US"/>
        </w:rPr>
        <w:fldChar w:fldCharType="end"/>
      </w:r>
      <w:r w:rsidRPr="003A457D">
        <w:rPr>
          <w:rFonts w:ascii="Garamond" w:hAnsi="Garamond"/>
          <w:color w:val="252525"/>
          <w:sz w:val="24"/>
          <w:shd w:val="clear" w:color="auto" w:fill="FFFFFF"/>
        </w:rPr>
        <w:t>.</w:t>
      </w:r>
    </w:p>
    <w:p w14:paraId="3EFE289E" w14:textId="77777777" w:rsidR="003A457D" w:rsidRPr="003A457D" w:rsidRDefault="003A457D" w:rsidP="003A457D">
      <w:pPr>
        <w:pStyle w:val="JPEHeading1"/>
        <w:ind w:firstLine="567"/>
        <w:jc w:val="both"/>
        <w:rPr>
          <w:rFonts w:ascii="Garamond" w:hAnsi="Garamond"/>
          <w:b w:val="0"/>
          <w:bCs/>
          <w:sz w:val="24"/>
        </w:rPr>
      </w:pPr>
      <w:r w:rsidRPr="003A457D">
        <w:rPr>
          <w:rFonts w:ascii="Garamond" w:hAnsi="Garamond"/>
          <w:b w:val="0"/>
          <w:bCs/>
          <w:sz w:val="24"/>
        </w:rPr>
        <w:t>The primary purpose of education is to figure out how to offer the learning method research outcome foundationally. (1). To look into the authorship patterns in education literacy; (2). To find out how much collaboration there is in research production and publication distribution; (3). In the realm of digital literacy, to determine the proportionate growth rate and time required for doubling; (4). Determine the distribution of publications and research publications by the document. (5). To look into the education literacy keywords.</w:t>
      </w:r>
    </w:p>
    <w:p w14:paraId="350987DA" w14:textId="77777777" w:rsidR="00C271F2" w:rsidRPr="003A457D" w:rsidRDefault="00C271F2" w:rsidP="003A457D">
      <w:pPr>
        <w:spacing w:after="0" w:line="240" w:lineRule="auto"/>
        <w:jc w:val="both"/>
        <w:rPr>
          <w:rFonts w:ascii="Garamond" w:eastAsia="Garamond" w:hAnsi="Garamond" w:cs="Garamond"/>
          <w:sz w:val="24"/>
          <w:szCs w:val="24"/>
        </w:rPr>
      </w:pPr>
    </w:p>
    <w:p w14:paraId="49AD7E47" w14:textId="77777777" w:rsidR="00C271F2" w:rsidRPr="003A457D" w:rsidRDefault="00000000" w:rsidP="003A457D">
      <w:pPr>
        <w:spacing w:after="0" w:line="240" w:lineRule="auto"/>
        <w:jc w:val="both"/>
        <w:rPr>
          <w:rFonts w:ascii="Garamond" w:eastAsia="Garamond" w:hAnsi="Garamond" w:cs="Garamond"/>
          <w:b/>
          <w:sz w:val="24"/>
          <w:szCs w:val="24"/>
        </w:rPr>
      </w:pPr>
      <w:r w:rsidRPr="003A457D">
        <w:rPr>
          <w:rFonts w:ascii="Garamond" w:eastAsia="Garamond" w:hAnsi="Garamond" w:cs="Garamond"/>
          <w:b/>
          <w:sz w:val="24"/>
          <w:szCs w:val="24"/>
        </w:rPr>
        <w:t>RESULTS AND DISCUSSION</w:t>
      </w:r>
    </w:p>
    <w:p w14:paraId="0235FA78" w14:textId="1C951FF9" w:rsidR="003A457D" w:rsidRPr="003A457D" w:rsidRDefault="003A457D" w:rsidP="003A457D">
      <w:pPr>
        <w:pStyle w:val="JPEHeading1"/>
        <w:ind w:firstLine="567"/>
        <w:jc w:val="both"/>
        <w:rPr>
          <w:rFonts w:ascii="Garamond" w:hAnsi="Garamond"/>
          <w:b w:val="0"/>
          <w:bCs/>
          <w:sz w:val="24"/>
        </w:rPr>
      </w:pPr>
      <w:r w:rsidRPr="003A457D">
        <w:rPr>
          <w:rFonts w:ascii="Garamond" w:hAnsi="Garamond"/>
          <w:b w:val="0"/>
          <w:bCs/>
          <w:sz w:val="24"/>
        </w:rPr>
        <w:t xml:space="preserve">The current research is limited to items found in the Google Scholar collection. The study's keyword is "education literacy and equality": A bibliometric examination of the output of publications from 2012 to 2022. This study has five processes to complete: word key determination, data search, article selection, data validation, and data analysis. The keywords are chosen following the study's objectives, which include education literacy and equality. Because the database collects and updates data daily, it is essential to avoid daily update bias. The data is read and examined once the results of searching data in foreign journals are picked and approved. Both selection and validation are made using diagrams and data tables that are divided into several categories, including the number of publications per year, types of publications, core journals, most productive researchers, number of publications based on affiliation, country, </w:t>
      </w:r>
      <w:r w:rsidRPr="003A457D">
        <w:rPr>
          <w:rFonts w:ascii="Garamond" w:hAnsi="Garamond"/>
          <w:b w:val="0"/>
          <w:bCs/>
          <w:sz w:val="24"/>
        </w:rPr>
        <w:lastRenderedPageBreak/>
        <w:t>and the distribution of themes that are the focus of the study on education literacy and equality. The category is then evaluated in terms of the article's importance. The result of Bibliometrics' of the term of the phases of the systematic process in</w:t>
      </w:r>
      <w:r w:rsidR="00EF571C">
        <w:rPr>
          <w:rFonts w:ascii="Garamond" w:hAnsi="Garamond"/>
          <w:b w:val="0"/>
          <w:bCs/>
          <w:sz w:val="24"/>
        </w:rPr>
        <w:t xml:space="preserve"> the learning method</w:t>
      </w:r>
      <w:r w:rsidRPr="003A457D">
        <w:rPr>
          <w:rFonts w:ascii="Garamond" w:hAnsi="Garamond"/>
          <w:b w:val="0"/>
          <w:bCs/>
          <w:sz w:val="24"/>
        </w:rPr>
        <w:t>. The trend of publication in 2012-2022 about the phases of the systematic process is as follows.</w:t>
      </w:r>
    </w:p>
    <w:p w14:paraId="6BD680B1"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rPr>
      </w:pPr>
      <w:r w:rsidRPr="003A457D">
        <w:rPr>
          <w:rFonts w:ascii="Garamond" w:hAnsi="Garamond"/>
          <w:noProof/>
          <w:sz w:val="24"/>
          <w:szCs w:val="24"/>
        </w:rPr>
        <w:drawing>
          <wp:inline distT="0" distB="0" distL="0" distR="0" wp14:anchorId="7C88104B" wp14:editId="0AE6043C">
            <wp:extent cx="5900420" cy="3785235"/>
            <wp:effectExtent l="0" t="0" r="508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00420" cy="3785235"/>
                    </a:xfrm>
                    <a:prstGeom prst="rect">
                      <a:avLst/>
                    </a:prstGeom>
                    <a:noFill/>
                    <a:ln>
                      <a:noFill/>
                    </a:ln>
                  </pic:spPr>
                </pic:pic>
              </a:graphicData>
            </a:graphic>
          </wp:inline>
        </w:drawing>
      </w:r>
    </w:p>
    <w:p w14:paraId="1F1401DD" w14:textId="77777777" w:rsidR="003A457D" w:rsidRPr="003A457D" w:rsidRDefault="003A457D" w:rsidP="003A457D">
      <w:pPr>
        <w:shd w:val="clear" w:color="auto" w:fill="FFFFFF"/>
        <w:spacing w:before="100" w:beforeAutospacing="1" w:after="100" w:afterAutospacing="1"/>
        <w:ind w:left="720"/>
        <w:jc w:val="both"/>
        <w:outlineLvl w:val="0"/>
        <w:rPr>
          <w:rFonts w:ascii="Garamond" w:hAnsi="Garamond"/>
          <w:sz w:val="24"/>
          <w:szCs w:val="24"/>
          <w:lang w:val="en-US"/>
        </w:rPr>
      </w:pPr>
      <w:r w:rsidRPr="003A457D">
        <w:rPr>
          <w:rFonts w:ascii="Garamond" w:hAnsi="Garamond"/>
          <w:sz w:val="24"/>
          <w:szCs w:val="24"/>
        </w:rPr>
        <w:t xml:space="preserve">Figure </w:t>
      </w:r>
      <w:r w:rsidRPr="003A457D">
        <w:rPr>
          <w:rFonts w:ascii="Garamond" w:hAnsi="Garamond"/>
          <w:sz w:val="24"/>
          <w:szCs w:val="24"/>
          <w:lang w:val="en-US"/>
        </w:rPr>
        <w:t>3</w:t>
      </w:r>
      <w:r w:rsidRPr="003A457D">
        <w:rPr>
          <w:rFonts w:ascii="Garamond" w:hAnsi="Garamond"/>
          <w:sz w:val="24"/>
          <w:szCs w:val="24"/>
        </w:rPr>
        <w:t>. Network Visualization</w:t>
      </w:r>
      <w:r w:rsidRPr="003A457D">
        <w:rPr>
          <w:rFonts w:ascii="Garamond" w:hAnsi="Garamond"/>
          <w:sz w:val="24"/>
          <w:szCs w:val="24"/>
          <w:lang w:val="en-US"/>
        </w:rPr>
        <w:t xml:space="preserve">: </w:t>
      </w:r>
      <w:r w:rsidRPr="003A457D">
        <w:rPr>
          <w:rFonts w:ascii="Garamond" w:hAnsi="Garamond"/>
          <w:bCs/>
          <w:sz w:val="24"/>
          <w:szCs w:val="24"/>
          <w:lang w:val="en-US"/>
        </w:rPr>
        <w:t>Cluster of discussion topics on learning method</w:t>
      </w:r>
    </w:p>
    <w:p w14:paraId="5D98338E" w14:textId="77777777" w:rsidR="003A457D" w:rsidRPr="003A457D" w:rsidRDefault="003A457D" w:rsidP="003A457D">
      <w:pPr>
        <w:shd w:val="clear" w:color="auto" w:fill="FFFFFF"/>
        <w:spacing w:before="100" w:beforeAutospacing="1" w:after="100" w:afterAutospacing="1"/>
        <w:ind w:left="270"/>
        <w:jc w:val="both"/>
        <w:outlineLvl w:val="0"/>
        <w:rPr>
          <w:rFonts w:ascii="Garamond" w:hAnsi="Garamond"/>
          <w:sz w:val="24"/>
          <w:szCs w:val="24"/>
          <w:lang w:val="en-US"/>
        </w:rPr>
      </w:pPr>
      <w:r w:rsidRPr="003A457D">
        <w:rPr>
          <w:rFonts w:ascii="Garamond" w:hAnsi="Garamond"/>
          <w:sz w:val="24"/>
          <w:szCs w:val="24"/>
          <w:lang w:val="en-US"/>
        </w:rPr>
        <w:t>Referring to the results of the identification detailed in Figure 3 above, it can be described how the themes that have been grouped will then be sorted for review with those that have a correlation based on the themes discussed. The following is a table that maps concepts or themes based on clusters related to the study of the learning method.</w:t>
      </w:r>
    </w:p>
    <w:p w14:paraId="32FEB83C" w14:textId="77777777" w:rsidR="003A457D" w:rsidRPr="003A457D" w:rsidRDefault="003A457D" w:rsidP="003A457D">
      <w:pPr>
        <w:pStyle w:val="ListParagraph"/>
        <w:tabs>
          <w:tab w:val="left" w:pos="2143"/>
          <w:tab w:val="center" w:pos="4693"/>
        </w:tabs>
        <w:spacing w:after="120" w:line="240" w:lineRule="auto"/>
        <w:ind w:left="0"/>
        <w:jc w:val="both"/>
        <w:rPr>
          <w:rFonts w:ascii="Garamond" w:hAnsi="Garamond"/>
          <w:bCs/>
          <w:sz w:val="24"/>
          <w:szCs w:val="24"/>
        </w:rPr>
      </w:pPr>
      <w:r w:rsidRPr="003A457D">
        <w:rPr>
          <w:rFonts w:ascii="Garamond" w:hAnsi="Garamond"/>
          <w:b/>
          <w:sz w:val="24"/>
          <w:szCs w:val="24"/>
        </w:rPr>
        <w:t xml:space="preserve">Table 1. </w:t>
      </w:r>
      <w:r w:rsidRPr="003A457D">
        <w:rPr>
          <w:rFonts w:ascii="Garamond" w:hAnsi="Garamond"/>
          <w:bCs/>
          <w:sz w:val="24"/>
          <w:szCs w:val="24"/>
        </w:rPr>
        <w:t>Themes grouped based on clusters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5507"/>
        <w:gridCol w:w="1287"/>
      </w:tblGrid>
      <w:tr w:rsidR="003A457D" w:rsidRPr="003A457D" w14:paraId="2AB12D8C" w14:textId="77777777" w:rsidTr="00132335">
        <w:trPr>
          <w:trHeight w:val="459"/>
        </w:trPr>
        <w:tc>
          <w:tcPr>
            <w:tcW w:w="2245" w:type="dxa"/>
            <w:vAlign w:val="bottom"/>
          </w:tcPr>
          <w:p w14:paraId="70EEB3FB"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b/>
                <w:color w:val="000000"/>
                <w:sz w:val="24"/>
                <w:szCs w:val="24"/>
              </w:rPr>
            </w:pPr>
            <w:proofErr w:type="spellStart"/>
            <w:r w:rsidRPr="003A457D">
              <w:rPr>
                <w:rFonts w:ascii="Garamond" w:eastAsia="Cambria" w:hAnsi="Garamond"/>
                <w:b/>
                <w:color w:val="000000"/>
                <w:sz w:val="24"/>
                <w:szCs w:val="24"/>
                <w:lang w:val="en-US"/>
              </w:rPr>
              <w:t>Clu</w:t>
            </w:r>
            <w:r w:rsidRPr="003A457D">
              <w:rPr>
                <w:rFonts w:ascii="Garamond" w:eastAsia="Cambria" w:hAnsi="Garamond"/>
                <w:b/>
                <w:color w:val="000000"/>
                <w:sz w:val="24"/>
                <w:szCs w:val="24"/>
              </w:rPr>
              <w:t>ster</w:t>
            </w:r>
            <w:proofErr w:type="spellEnd"/>
          </w:p>
        </w:tc>
        <w:tc>
          <w:tcPr>
            <w:tcW w:w="5507" w:type="dxa"/>
            <w:vAlign w:val="bottom"/>
          </w:tcPr>
          <w:p w14:paraId="107B8A64"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b/>
                <w:color w:val="000000"/>
                <w:sz w:val="24"/>
                <w:szCs w:val="24"/>
                <w:lang w:val="en-US"/>
              </w:rPr>
            </w:pPr>
            <w:r w:rsidRPr="003A457D">
              <w:rPr>
                <w:rFonts w:ascii="Garamond" w:eastAsia="Cambria" w:hAnsi="Garamond"/>
                <w:b/>
                <w:color w:val="000000"/>
                <w:sz w:val="24"/>
                <w:szCs w:val="24"/>
                <w:lang w:val="en-US"/>
              </w:rPr>
              <w:t>C</w:t>
            </w:r>
            <w:r w:rsidRPr="003A457D">
              <w:rPr>
                <w:rFonts w:ascii="Garamond" w:eastAsia="Cambria" w:hAnsi="Garamond"/>
                <w:b/>
                <w:color w:val="000000"/>
                <w:sz w:val="24"/>
                <w:szCs w:val="24"/>
              </w:rPr>
              <w:t>on</w:t>
            </w:r>
            <w:r w:rsidRPr="003A457D">
              <w:rPr>
                <w:rFonts w:ascii="Garamond" w:eastAsia="Cambria" w:hAnsi="Garamond"/>
                <w:b/>
                <w:color w:val="000000"/>
                <w:sz w:val="24"/>
                <w:szCs w:val="24"/>
                <w:lang w:val="en-US"/>
              </w:rPr>
              <w:t>c</w:t>
            </w:r>
            <w:r w:rsidRPr="003A457D">
              <w:rPr>
                <w:rFonts w:ascii="Garamond" w:eastAsia="Cambria" w:hAnsi="Garamond"/>
                <w:b/>
                <w:color w:val="000000"/>
                <w:sz w:val="24"/>
                <w:szCs w:val="24"/>
              </w:rPr>
              <w:t>ep</w:t>
            </w:r>
            <w:proofErr w:type="spellStart"/>
            <w:r w:rsidRPr="003A457D">
              <w:rPr>
                <w:rFonts w:ascii="Garamond" w:eastAsia="Cambria" w:hAnsi="Garamond"/>
                <w:b/>
                <w:color w:val="000000"/>
                <w:sz w:val="24"/>
                <w:szCs w:val="24"/>
                <w:lang w:val="en-US"/>
              </w:rPr>
              <w:t>ts</w:t>
            </w:r>
            <w:proofErr w:type="spellEnd"/>
            <w:r w:rsidRPr="003A457D">
              <w:rPr>
                <w:rFonts w:ascii="Garamond" w:eastAsia="Cambria" w:hAnsi="Garamond"/>
                <w:b/>
                <w:color w:val="000000"/>
                <w:sz w:val="24"/>
                <w:szCs w:val="24"/>
                <w:lang w:val="en-US"/>
              </w:rPr>
              <w:t xml:space="preserve"> </w:t>
            </w:r>
          </w:p>
        </w:tc>
        <w:tc>
          <w:tcPr>
            <w:tcW w:w="1287" w:type="dxa"/>
            <w:vAlign w:val="bottom"/>
          </w:tcPr>
          <w:p w14:paraId="6E78C883"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b/>
                <w:color w:val="000000"/>
                <w:sz w:val="24"/>
                <w:szCs w:val="24"/>
              </w:rPr>
            </w:pPr>
            <w:r w:rsidRPr="003A457D">
              <w:rPr>
                <w:rFonts w:ascii="Garamond" w:eastAsia="Cambria" w:hAnsi="Garamond"/>
                <w:b/>
                <w:color w:val="000000"/>
                <w:sz w:val="24"/>
                <w:szCs w:val="24"/>
              </w:rPr>
              <w:t>Total</w:t>
            </w:r>
          </w:p>
        </w:tc>
      </w:tr>
      <w:tr w:rsidR="003A457D" w:rsidRPr="003A457D" w14:paraId="3A5DB0B9" w14:textId="77777777" w:rsidTr="00132335">
        <w:tc>
          <w:tcPr>
            <w:tcW w:w="2245" w:type="dxa"/>
            <w:vAlign w:val="center"/>
          </w:tcPr>
          <w:p w14:paraId="6A2D1352"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rPr>
            </w:pPr>
            <w:r w:rsidRPr="003A457D">
              <w:rPr>
                <w:rFonts w:ascii="Garamond" w:eastAsia="Cambria" w:hAnsi="Garamond"/>
                <w:color w:val="000000"/>
                <w:sz w:val="24"/>
                <w:szCs w:val="24"/>
                <w:lang w:val="en-US"/>
              </w:rPr>
              <w:t>Cluster</w:t>
            </w:r>
            <w:r w:rsidRPr="003A457D">
              <w:rPr>
                <w:rFonts w:ascii="Garamond" w:eastAsia="Cambria" w:hAnsi="Garamond"/>
                <w:color w:val="000000"/>
                <w:sz w:val="24"/>
                <w:szCs w:val="24"/>
              </w:rPr>
              <w:t xml:space="preserve"> 1</w:t>
            </w:r>
          </w:p>
        </w:tc>
        <w:tc>
          <w:tcPr>
            <w:tcW w:w="5507" w:type="dxa"/>
            <w:vAlign w:val="center"/>
          </w:tcPr>
          <w:p w14:paraId="5E4B2B38"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lang w:val="en-US"/>
              </w:rPr>
            </w:pPr>
            <w:r w:rsidRPr="003A457D">
              <w:rPr>
                <w:rFonts w:ascii="Garamond" w:eastAsia="Cambria" w:hAnsi="Garamond"/>
                <w:color w:val="000000"/>
                <w:sz w:val="24"/>
                <w:szCs w:val="24"/>
                <w:lang w:val="en-US"/>
              </w:rPr>
              <w:t xml:space="preserve">Accuracy, dataset, experiment, learning method, machine learning model, parameter, prediction, section </w:t>
            </w:r>
          </w:p>
        </w:tc>
        <w:tc>
          <w:tcPr>
            <w:tcW w:w="1287" w:type="dxa"/>
            <w:vAlign w:val="center"/>
          </w:tcPr>
          <w:p w14:paraId="04C5FBE8" w14:textId="77777777" w:rsidR="003A457D" w:rsidRPr="003A457D" w:rsidRDefault="003A457D" w:rsidP="00EF571C">
            <w:pPr>
              <w:pBdr>
                <w:top w:val="nil"/>
                <w:left w:val="nil"/>
                <w:bottom w:val="nil"/>
                <w:right w:val="nil"/>
                <w:between w:val="nil"/>
              </w:pBdr>
              <w:tabs>
                <w:tab w:val="left" w:pos="709"/>
              </w:tabs>
              <w:spacing w:after="120"/>
              <w:jc w:val="center"/>
              <w:rPr>
                <w:rFonts w:ascii="Garamond" w:eastAsia="Cambria" w:hAnsi="Garamond" w:cs="Tahoma"/>
                <w:color w:val="000000"/>
                <w:sz w:val="24"/>
                <w:szCs w:val="24"/>
                <w:lang w:val="en-US"/>
              </w:rPr>
            </w:pPr>
            <w:r w:rsidRPr="003A457D">
              <w:rPr>
                <w:rFonts w:ascii="Garamond" w:eastAsia="Cambria" w:hAnsi="Garamond" w:cs="Tahoma"/>
                <w:color w:val="000000"/>
                <w:sz w:val="24"/>
                <w:szCs w:val="24"/>
                <w:lang w:val="en-US"/>
              </w:rPr>
              <w:t>8</w:t>
            </w:r>
          </w:p>
        </w:tc>
      </w:tr>
      <w:tr w:rsidR="003A457D" w:rsidRPr="003A457D" w14:paraId="4FB16528" w14:textId="77777777" w:rsidTr="00132335">
        <w:tc>
          <w:tcPr>
            <w:tcW w:w="2245" w:type="dxa"/>
            <w:vAlign w:val="center"/>
          </w:tcPr>
          <w:p w14:paraId="375180F3"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rPr>
            </w:pPr>
            <w:r w:rsidRPr="003A457D">
              <w:rPr>
                <w:rFonts w:ascii="Garamond" w:eastAsia="Cambria" w:hAnsi="Garamond"/>
                <w:color w:val="000000"/>
                <w:sz w:val="24"/>
                <w:szCs w:val="24"/>
                <w:lang w:val="en-US"/>
              </w:rPr>
              <w:t>Cluster</w:t>
            </w:r>
            <w:r w:rsidRPr="003A457D">
              <w:rPr>
                <w:rFonts w:ascii="Garamond" w:eastAsia="Cambria" w:hAnsi="Garamond"/>
                <w:color w:val="000000"/>
                <w:sz w:val="24"/>
                <w:szCs w:val="24"/>
              </w:rPr>
              <w:t xml:space="preserve"> 2</w:t>
            </w:r>
          </w:p>
        </w:tc>
        <w:tc>
          <w:tcPr>
            <w:tcW w:w="5507" w:type="dxa"/>
            <w:vAlign w:val="center"/>
          </w:tcPr>
          <w:p w14:paraId="4CCCB8A7"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lang w:val="en-US"/>
              </w:rPr>
            </w:pPr>
            <w:r w:rsidRPr="003A457D">
              <w:rPr>
                <w:rFonts w:ascii="Garamond" w:eastAsia="Cambria" w:hAnsi="Garamond"/>
                <w:color w:val="000000"/>
                <w:sz w:val="24"/>
                <w:szCs w:val="24"/>
                <w:lang w:val="en-US"/>
              </w:rPr>
              <w:t>Active learning, active learning method, classification, ensemble learning method, research</w:t>
            </w:r>
          </w:p>
        </w:tc>
        <w:tc>
          <w:tcPr>
            <w:tcW w:w="1287" w:type="dxa"/>
            <w:vAlign w:val="center"/>
          </w:tcPr>
          <w:p w14:paraId="64D4B85B" w14:textId="77777777" w:rsidR="003A457D" w:rsidRPr="003A457D" w:rsidRDefault="003A457D" w:rsidP="00EF571C">
            <w:pPr>
              <w:pBdr>
                <w:top w:val="nil"/>
                <w:left w:val="nil"/>
                <w:bottom w:val="nil"/>
                <w:right w:val="nil"/>
                <w:between w:val="nil"/>
              </w:pBdr>
              <w:tabs>
                <w:tab w:val="left" w:pos="709"/>
              </w:tabs>
              <w:spacing w:after="120"/>
              <w:jc w:val="center"/>
              <w:rPr>
                <w:rFonts w:ascii="Garamond" w:eastAsia="Cambria" w:hAnsi="Garamond" w:cs="Tahoma"/>
                <w:color w:val="000000"/>
                <w:sz w:val="24"/>
                <w:szCs w:val="24"/>
                <w:lang w:val="en-US"/>
              </w:rPr>
            </w:pPr>
            <w:r w:rsidRPr="003A457D">
              <w:rPr>
                <w:rFonts w:ascii="Garamond" w:eastAsia="Cambria" w:hAnsi="Garamond" w:cs="Tahoma"/>
                <w:color w:val="000000"/>
                <w:sz w:val="24"/>
                <w:szCs w:val="24"/>
                <w:lang w:val="en-US"/>
              </w:rPr>
              <w:t>6</w:t>
            </w:r>
          </w:p>
        </w:tc>
      </w:tr>
      <w:tr w:rsidR="003A457D" w:rsidRPr="003A457D" w14:paraId="4759B78B" w14:textId="77777777" w:rsidTr="00132335">
        <w:tc>
          <w:tcPr>
            <w:tcW w:w="2245" w:type="dxa"/>
            <w:vAlign w:val="center"/>
          </w:tcPr>
          <w:p w14:paraId="63829129"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rPr>
            </w:pPr>
            <w:r w:rsidRPr="003A457D">
              <w:rPr>
                <w:rFonts w:ascii="Garamond" w:eastAsia="Cambria" w:hAnsi="Garamond"/>
                <w:color w:val="000000"/>
                <w:sz w:val="24"/>
                <w:szCs w:val="24"/>
                <w:lang w:val="en-US"/>
              </w:rPr>
              <w:t>Cluster</w:t>
            </w:r>
            <w:r w:rsidRPr="003A457D">
              <w:rPr>
                <w:rFonts w:ascii="Garamond" w:eastAsia="Cambria" w:hAnsi="Garamond"/>
                <w:color w:val="000000"/>
                <w:sz w:val="24"/>
                <w:szCs w:val="24"/>
              </w:rPr>
              <w:t xml:space="preserve"> 3</w:t>
            </w:r>
          </w:p>
        </w:tc>
        <w:tc>
          <w:tcPr>
            <w:tcW w:w="5507" w:type="dxa"/>
            <w:vAlign w:val="center"/>
          </w:tcPr>
          <w:p w14:paraId="2307C5BC"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lang w:val="en-US"/>
              </w:rPr>
            </w:pPr>
            <w:r w:rsidRPr="003A457D">
              <w:rPr>
                <w:rFonts w:ascii="Garamond" w:eastAsia="Cambria" w:hAnsi="Garamond"/>
                <w:color w:val="000000"/>
                <w:sz w:val="24"/>
                <w:szCs w:val="24"/>
                <w:lang w:val="en-US"/>
              </w:rPr>
              <w:t>Application, article, effectiveness, new method, reinforcement learning</w:t>
            </w:r>
          </w:p>
        </w:tc>
        <w:tc>
          <w:tcPr>
            <w:tcW w:w="1287" w:type="dxa"/>
            <w:vAlign w:val="center"/>
          </w:tcPr>
          <w:p w14:paraId="7C399017" w14:textId="77777777" w:rsidR="003A457D" w:rsidRPr="003A457D" w:rsidRDefault="003A457D" w:rsidP="00EF571C">
            <w:pPr>
              <w:pBdr>
                <w:top w:val="nil"/>
                <w:left w:val="nil"/>
                <w:bottom w:val="nil"/>
                <w:right w:val="nil"/>
                <w:between w:val="nil"/>
              </w:pBdr>
              <w:tabs>
                <w:tab w:val="left" w:pos="709"/>
              </w:tabs>
              <w:spacing w:after="120"/>
              <w:jc w:val="center"/>
              <w:rPr>
                <w:rFonts w:ascii="Garamond" w:eastAsia="Cambria" w:hAnsi="Garamond" w:cs="Tahoma"/>
                <w:color w:val="000000"/>
                <w:sz w:val="24"/>
                <w:szCs w:val="24"/>
                <w:lang w:val="en-US"/>
              </w:rPr>
            </w:pPr>
            <w:r w:rsidRPr="003A457D">
              <w:rPr>
                <w:rFonts w:ascii="Garamond" w:eastAsia="Cambria" w:hAnsi="Garamond" w:cs="Tahoma"/>
                <w:color w:val="000000"/>
                <w:sz w:val="24"/>
                <w:szCs w:val="24"/>
                <w:lang w:val="en-US"/>
              </w:rPr>
              <w:t>5</w:t>
            </w:r>
          </w:p>
        </w:tc>
      </w:tr>
      <w:tr w:rsidR="003A457D" w:rsidRPr="003A457D" w14:paraId="30E80334" w14:textId="77777777" w:rsidTr="00132335">
        <w:tc>
          <w:tcPr>
            <w:tcW w:w="2245" w:type="dxa"/>
            <w:vAlign w:val="center"/>
          </w:tcPr>
          <w:p w14:paraId="57E32CA1"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rPr>
            </w:pPr>
            <w:r w:rsidRPr="003A457D">
              <w:rPr>
                <w:rFonts w:ascii="Garamond" w:eastAsia="Cambria" w:hAnsi="Garamond"/>
                <w:color w:val="000000"/>
                <w:sz w:val="24"/>
                <w:szCs w:val="24"/>
                <w:lang w:val="en-US"/>
              </w:rPr>
              <w:lastRenderedPageBreak/>
              <w:t>Cluster</w:t>
            </w:r>
            <w:r w:rsidRPr="003A457D">
              <w:rPr>
                <w:rFonts w:ascii="Garamond" w:eastAsia="Cambria" w:hAnsi="Garamond"/>
                <w:color w:val="000000"/>
                <w:sz w:val="24"/>
                <w:szCs w:val="24"/>
              </w:rPr>
              <w:t xml:space="preserve"> 4</w:t>
            </w:r>
          </w:p>
        </w:tc>
        <w:tc>
          <w:tcPr>
            <w:tcW w:w="5507" w:type="dxa"/>
            <w:vAlign w:val="center"/>
          </w:tcPr>
          <w:p w14:paraId="41341439"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lang w:val="en-US"/>
              </w:rPr>
            </w:pPr>
            <w:r w:rsidRPr="003A457D">
              <w:rPr>
                <w:rFonts w:ascii="Garamond" w:eastAsia="Cambria" w:hAnsi="Garamond"/>
                <w:color w:val="000000"/>
                <w:sz w:val="24"/>
                <w:szCs w:val="24"/>
                <w:lang w:val="en-US"/>
              </w:rPr>
              <w:t xml:space="preserve">Advantage, deep learning model, training, transfer learning, transfer learning method, </w:t>
            </w:r>
          </w:p>
        </w:tc>
        <w:tc>
          <w:tcPr>
            <w:tcW w:w="1287" w:type="dxa"/>
            <w:vAlign w:val="center"/>
          </w:tcPr>
          <w:p w14:paraId="05F8B297" w14:textId="77777777" w:rsidR="003A457D" w:rsidRPr="003A457D" w:rsidRDefault="003A457D" w:rsidP="00EF571C">
            <w:pPr>
              <w:pBdr>
                <w:top w:val="nil"/>
                <w:left w:val="nil"/>
                <w:bottom w:val="nil"/>
                <w:right w:val="nil"/>
                <w:between w:val="nil"/>
              </w:pBdr>
              <w:tabs>
                <w:tab w:val="left" w:pos="709"/>
              </w:tabs>
              <w:spacing w:after="120"/>
              <w:jc w:val="center"/>
              <w:rPr>
                <w:rFonts w:ascii="Garamond" w:eastAsia="Cambria" w:hAnsi="Garamond" w:cs="Tahoma"/>
                <w:color w:val="000000"/>
                <w:sz w:val="24"/>
                <w:szCs w:val="24"/>
                <w:lang w:val="en-US"/>
              </w:rPr>
            </w:pPr>
            <w:r w:rsidRPr="003A457D">
              <w:rPr>
                <w:rFonts w:ascii="Garamond" w:eastAsia="Cambria" w:hAnsi="Garamond" w:cs="Tahoma"/>
                <w:color w:val="000000"/>
                <w:sz w:val="24"/>
                <w:szCs w:val="24"/>
                <w:lang w:val="en-US"/>
              </w:rPr>
              <w:t>5</w:t>
            </w:r>
          </w:p>
        </w:tc>
      </w:tr>
      <w:tr w:rsidR="003A457D" w:rsidRPr="003A457D" w14:paraId="0105D428" w14:textId="77777777" w:rsidTr="00132335">
        <w:tc>
          <w:tcPr>
            <w:tcW w:w="2245" w:type="dxa"/>
            <w:vAlign w:val="center"/>
          </w:tcPr>
          <w:p w14:paraId="4FCFAC25"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rPr>
            </w:pPr>
            <w:r w:rsidRPr="003A457D">
              <w:rPr>
                <w:rFonts w:ascii="Garamond" w:eastAsia="Cambria" w:hAnsi="Garamond"/>
                <w:color w:val="000000"/>
                <w:sz w:val="24"/>
                <w:szCs w:val="24"/>
                <w:lang w:val="en-US"/>
              </w:rPr>
              <w:t>Cluster</w:t>
            </w:r>
            <w:r w:rsidRPr="003A457D">
              <w:rPr>
                <w:rFonts w:ascii="Garamond" w:eastAsia="Cambria" w:hAnsi="Garamond"/>
                <w:color w:val="000000"/>
                <w:sz w:val="24"/>
                <w:szCs w:val="24"/>
              </w:rPr>
              <w:t xml:space="preserve"> 5</w:t>
            </w:r>
          </w:p>
        </w:tc>
        <w:tc>
          <w:tcPr>
            <w:tcW w:w="5507" w:type="dxa"/>
            <w:vAlign w:val="center"/>
          </w:tcPr>
          <w:p w14:paraId="6D0BE181" w14:textId="77777777" w:rsidR="003A457D" w:rsidRPr="003A457D" w:rsidRDefault="003A457D" w:rsidP="003A457D">
            <w:pPr>
              <w:pBdr>
                <w:top w:val="nil"/>
                <w:left w:val="nil"/>
                <w:bottom w:val="nil"/>
                <w:right w:val="nil"/>
                <w:between w:val="nil"/>
              </w:pBdr>
              <w:tabs>
                <w:tab w:val="left" w:pos="709"/>
              </w:tabs>
              <w:spacing w:after="120"/>
              <w:jc w:val="both"/>
              <w:rPr>
                <w:rFonts w:ascii="Garamond" w:eastAsia="Cambria" w:hAnsi="Garamond"/>
                <w:color w:val="000000"/>
                <w:sz w:val="24"/>
                <w:szCs w:val="24"/>
                <w:lang w:val="en-US"/>
              </w:rPr>
            </w:pPr>
            <w:r w:rsidRPr="003A457D">
              <w:rPr>
                <w:rFonts w:ascii="Garamond" w:eastAsia="Cambria" w:hAnsi="Garamond"/>
                <w:color w:val="000000"/>
                <w:sz w:val="24"/>
                <w:szCs w:val="24"/>
                <w:lang w:val="en-US"/>
              </w:rPr>
              <w:t>The effect, group, process, student</w:t>
            </w:r>
          </w:p>
        </w:tc>
        <w:tc>
          <w:tcPr>
            <w:tcW w:w="1287" w:type="dxa"/>
            <w:vAlign w:val="center"/>
          </w:tcPr>
          <w:p w14:paraId="7BD6F870" w14:textId="77777777" w:rsidR="003A457D" w:rsidRPr="003A457D" w:rsidRDefault="003A457D" w:rsidP="00EF571C">
            <w:pPr>
              <w:pBdr>
                <w:top w:val="nil"/>
                <w:left w:val="nil"/>
                <w:bottom w:val="nil"/>
                <w:right w:val="nil"/>
                <w:between w:val="nil"/>
              </w:pBdr>
              <w:tabs>
                <w:tab w:val="left" w:pos="709"/>
              </w:tabs>
              <w:spacing w:after="120"/>
              <w:jc w:val="center"/>
              <w:rPr>
                <w:rFonts w:ascii="Garamond" w:eastAsia="Cambria" w:hAnsi="Garamond" w:cs="Tahoma"/>
                <w:color w:val="000000"/>
                <w:sz w:val="24"/>
                <w:szCs w:val="24"/>
                <w:lang w:val="en-US"/>
              </w:rPr>
            </w:pPr>
            <w:r w:rsidRPr="003A457D">
              <w:rPr>
                <w:rFonts w:ascii="Garamond" w:eastAsia="Cambria" w:hAnsi="Garamond" w:cs="Tahoma"/>
                <w:color w:val="000000"/>
                <w:sz w:val="24"/>
                <w:szCs w:val="24"/>
                <w:lang w:val="en-US"/>
              </w:rPr>
              <w:t>4</w:t>
            </w:r>
          </w:p>
        </w:tc>
      </w:tr>
    </w:tbl>
    <w:p w14:paraId="57A8B28F" w14:textId="77777777" w:rsidR="003A457D" w:rsidRPr="003A457D" w:rsidRDefault="003A457D" w:rsidP="003A457D">
      <w:pPr>
        <w:jc w:val="both"/>
        <w:rPr>
          <w:rFonts w:ascii="Garamond" w:hAnsi="Garamond"/>
          <w:sz w:val="24"/>
          <w:szCs w:val="24"/>
        </w:rPr>
      </w:pPr>
    </w:p>
    <w:p w14:paraId="7DD70258"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lang w:val="en-US"/>
        </w:rPr>
      </w:pPr>
      <w:r w:rsidRPr="003A457D">
        <w:rPr>
          <w:rFonts w:ascii="Garamond" w:hAnsi="Garamond"/>
          <w:sz w:val="24"/>
          <w:szCs w:val="24"/>
          <w:lang w:val="en-US"/>
        </w:rPr>
        <w:t xml:space="preserve">Figure </w:t>
      </w:r>
      <w:r w:rsidRPr="003A457D">
        <w:rPr>
          <w:rFonts w:ascii="Garamond" w:hAnsi="Garamond"/>
          <w:sz w:val="24"/>
          <w:szCs w:val="24"/>
        </w:rPr>
        <w:t xml:space="preserve">3. The </w:t>
      </w:r>
      <w:r w:rsidRPr="003A457D">
        <w:rPr>
          <w:rFonts w:ascii="Garamond" w:hAnsi="Garamond"/>
          <w:sz w:val="24"/>
          <w:szCs w:val="24"/>
          <w:lang w:val="en-US"/>
        </w:rPr>
        <w:t>hazing publishes or perish</w:t>
      </w:r>
      <w:r w:rsidRPr="003A457D">
        <w:rPr>
          <w:rFonts w:ascii="Garamond" w:hAnsi="Garamond"/>
          <w:sz w:val="24"/>
          <w:szCs w:val="24"/>
        </w:rPr>
        <w:t>es the phases of the systematic process in</w:t>
      </w:r>
      <w:r w:rsidRPr="003A457D">
        <w:rPr>
          <w:rFonts w:ascii="Garamond" w:hAnsi="Garamond"/>
          <w:sz w:val="24"/>
          <w:szCs w:val="24"/>
          <w:lang w:val="en-US"/>
        </w:rPr>
        <w:t xml:space="preserve"> the learning method.</w:t>
      </w:r>
    </w:p>
    <w:p w14:paraId="3C81F2F0"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rPr>
      </w:pPr>
      <w:r w:rsidRPr="003A457D">
        <w:rPr>
          <w:rFonts w:ascii="Garamond" w:hAnsi="Garamond"/>
          <w:noProof/>
          <w:sz w:val="24"/>
          <w:szCs w:val="24"/>
        </w:rPr>
        <w:drawing>
          <wp:inline distT="0" distB="0" distL="0" distR="0" wp14:anchorId="353D365B" wp14:editId="085B229E">
            <wp:extent cx="5505450" cy="3011805"/>
            <wp:effectExtent l="152400" t="152400" r="361950" b="3600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505450" cy="301180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BA4AA1" w14:textId="146F7D5C" w:rsidR="003A457D" w:rsidRDefault="003A457D" w:rsidP="00EF571C">
      <w:pPr>
        <w:shd w:val="clear" w:color="auto" w:fill="FFFFFF"/>
        <w:spacing w:before="100" w:beforeAutospacing="1" w:after="100" w:afterAutospacing="1"/>
        <w:jc w:val="both"/>
        <w:outlineLvl w:val="0"/>
        <w:rPr>
          <w:rFonts w:ascii="Garamond" w:hAnsi="Garamond"/>
          <w:sz w:val="24"/>
          <w:szCs w:val="24"/>
          <w:lang w:val="en-US"/>
        </w:rPr>
      </w:pPr>
      <w:r w:rsidRPr="003A457D">
        <w:rPr>
          <w:rFonts w:ascii="Garamond" w:hAnsi="Garamond"/>
          <w:sz w:val="24"/>
          <w:szCs w:val="24"/>
        </w:rPr>
        <w:t xml:space="preserve">According to </w:t>
      </w:r>
      <w:proofErr w:type="gramStart"/>
      <w:r w:rsidRPr="003A457D">
        <w:rPr>
          <w:rFonts w:ascii="Garamond" w:hAnsi="Garamond"/>
          <w:sz w:val="24"/>
          <w:szCs w:val="24"/>
          <w:lang w:val="en-US"/>
        </w:rPr>
        <w:t xml:space="preserve">Figure </w:t>
      </w:r>
      <w:r w:rsidRPr="003A457D">
        <w:rPr>
          <w:rFonts w:ascii="Garamond" w:hAnsi="Garamond"/>
          <w:sz w:val="24"/>
          <w:szCs w:val="24"/>
        </w:rPr>
        <w:t xml:space="preserve"> </w:t>
      </w:r>
      <w:r w:rsidRPr="003A457D">
        <w:rPr>
          <w:rFonts w:ascii="Garamond" w:hAnsi="Garamond"/>
          <w:sz w:val="24"/>
          <w:szCs w:val="24"/>
          <w:lang w:val="en-US"/>
        </w:rPr>
        <w:t>4</w:t>
      </w:r>
      <w:proofErr w:type="gramEnd"/>
      <w:r w:rsidRPr="003A457D">
        <w:rPr>
          <w:rFonts w:ascii="Garamond" w:hAnsi="Garamond"/>
          <w:sz w:val="24"/>
          <w:szCs w:val="24"/>
        </w:rPr>
        <w:t xml:space="preserve">, The actual search results generated </w:t>
      </w:r>
      <w:r w:rsidRPr="003A457D">
        <w:rPr>
          <w:rFonts w:ascii="Garamond" w:hAnsi="Garamond"/>
          <w:sz w:val="24"/>
          <w:szCs w:val="24"/>
          <w:lang w:val="en-US"/>
        </w:rPr>
        <w:t>999</w:t>
      </w:r>
      <w:r w:rsidRPr="003A457D">
        <w:rPr>
          <w:rFonts w:ascii="Garamond" w:hAnsi="Garamond"/>
          <w:sz w:val="24"/>
          <w:szCs w:val="24"/>
        </w:rPr>
        <w:t xml:space="preserve"> bibliographies, filtered into </w:t>
      </w:r>
      <w:r w:rsidRPr="003A457D">
        <w:rPr>
          <w:rFonts w:ascii="Garamond" w:hAnsi="Garamond"/>
          <w:sz w:val="24"/>
          <w:szCs w:val="24"/>
          <w:lang w:val="en-US"/>
        </w:rPr>
        <w:t>242</w:t>
      </w:r>
      <w:r w:rsidRPr="003A457D">
        <w:rPr>
          <w:rFonts w:ascii="Garamond" w:hAnsi="Garamond"/>
          <w:sz w:val="24"/>
          <w:szCs w:val="24"/>
        </w:rPr>
        <w:t xml:space="preserve"> chosen bibliographies using the publish or perish tool. Seven hundred fifty-seven bibliographies were not chosen because they did not match the set criteria. Table 1 shows the total number of bibliographies generated by the publishing or perishes application for each year. Citation </w:t>
      </w:r>
      <w:r w:rsidRPr="003A457D">
        <w:rPr>
          <w:rFonts w:ascii="Garamond" w:hAnsi="Garamond"/>
          <w:sz w:val="24"/>
          <w:szCs w:val="24"/>
          <w:lang w:val="en-US"/>
        </w:rPr>
        <w:t>38375</w:t>
      </w:r>
      <w:r w:rsidRPr="003A457D">
        <w:rPr>
          <w:rFonts w:ascii="Garamond" w:hAnsi="Garamond"/>
          <w:sz w:val="24"/>
          <w:szCs w:val="24"/>
        </w:rPr>
        <w:t xml:space="preserve">, h-index </w:t>
      </w:r>
      <w:r w:rsidRPr="003A457D">
        <w:rPr>
          <w:rFonts w:ascii="Garamond" w:hAnsi="Garamond"/>
          <w:sz w:val="24"/>
          <w:szCs w:val="24"/>
          <w:lang w:val="en-US"/>
        </w:rPr>
        <w:t>88</w:t>
      </w:r>
      <w:r w:rsidRPr="003A457D">
        <w:rPr>
          <w:rFonts w:ascii="Garamond" w:hAnsi="Garamond"/>
          <w:sz w:val="24"/>
          <w:szCs w:val="24"/>
        </w:rPr>
        <w:t xml:space="preserve">, g-index </w:t>
      </w:r>
      <w:r w:rsidRPr="003A457D">
        <w:rPr>
          <w:rFonts w:ascii="Garamond" w:hAnsi="Garamond"/>
          <w:sz w:val="24"/>
          <w:szCs w:val="24"/>
          <w:lang w:val="en-US"/>
        </w:rPr>
        <w:t>141</w:t>
      </w:r>
      <w:r w:rsidRPr="003A457D">
        <w:rPr>
          <w:rFonts w:ascii="Garamond" w:hAnsi="Garamond"/>
          <w:sz w:val="24"/>
          <w:szCs w:val="24"/>
        </w:rPr>
        <w:t xml:space="preserve">, and </w:t>
      </w:r>
      <w:proofErr w:type="spellStart"/>
      <w:r w:rsidRPr="003A457D">
        <w:rPr>
          <w:rFonts w:ascii="Garamond" w:hAnsi="Garamond"/>
          <w:sz w:val="24"/>
          <w:szCs w:val="24"/>
        </w:rPr>
        <w:t>hA</w:t>
      </w:r>
      <w:proofErr w:type="spellEnd"/>
      <w:r w:rsidRPr="003A457D">
        <w:rPr>
          <w:rFonts w:ascii="Garamond" w:hAnsi="Garamond"/>
          <w:sz w:val="24"/>
          <w:szCs w:val="24"/>
        </w:rPr>
        <w:t xml:space="preserve"> index </w:t>
      </w:r>
      <w:r w:rsidRPr="003A457D">
        <w:rPr>
          <w:rFonts w:ascii="Garamond" w:hAnsi="Garamond"/>
          <w:sz w:val="24"/>
          <w:szCs w:val="24"/>
          <w:lang w:val="en-US"/>
        </w:rPr>
        <w:t xml:space="preserve">36, </w:t>
      </w:r>
      <w:proofErr w:type="spellStart"/>
      <w:r w:rsidRPr="003A457D">
        <w:rPr>
          <w:rFonts w:ascii="Garamond" w:hAnsi="Garamond"/>
          <w:sz w:val="24"/>
          <w:szCs w:val="24"/>
          <w:lang w:val="en-US"/>
        </w:rPr>
        <w:t>hI</w:t>
      </w:r>
      <w:proofErr w:type="spellEnd"/>
      <w:r w:rsidRPr="003A457D">
        <w:rPr>
          <w:rFonts w:ascii="Garamond" w:hAnsi="Garamond"/>
          <w:sz w:val="24"/>
          <w:szCs w:val="24"/>
          <w:lang w:val="en-US"/>
        </w:rPr>
        <w:t xml:space="preserve">, </w:t>
      </w:r>
      <w:proofErr w:type="gramStart"/>
      <w:r w:rsidRPr="003A457D">
        <w:rPr>
          <w:rFonts w:ascii="Garamond" w:hAnsi="Garamond"/>
          <w:sz w:val="24"/>
          <w:szCs w:val="24"/>
          <w:lang w:val="en-US"/>
        </w:rPr>
        <w:t>norm;46.</w:t>
      </w:r>
      <w:r w:rsidRPr="003A457D">
        <w:rPr>
          <w:rFonts w:ascii="Garamond" w:hAnsi="Garamond"/>
          <w:sz w:val="24"/>
          <w:szCs w:val="24"/>
        </w:rPr>
        <w:t>.</w:t>
      </w:r>
      <w:proofErr w:type="gramEnd"/>
      <w:r w:rsidRPr="003A457D">
        <w:rPr>
          <w:rFonts w:ascii="Garamond" w:hAnsi="Garamond"/>
          <w:sz w:val="24"/>
          <w:szCs w:val="24"/>
        </w:rPr>
        <w:t xml:space="preserve"> The most publication occurred in 202</w:t>
      </w:r>
      <w:r w:rsidRPr="003A457D">
        <w:rPr>
          <w:rFonts w:ascii="Garamond" w:hAnsi="Garamond"/>
          <w:sz w:val="24"/>
          <w:szCs w:val="24"/>
          <w:lang w:val="en-US"/>
        </w:rPr>
        <w:t xml:space="preserve">2- 2022 </w:t>
      </w:r>
      <w:r w:rsidRPr="003A457D">
        <w:rPr>
          <w:rFonts w:ascii="Garamond" w:hAnsi="Garamond"/>
          <w:sz w:val="24"/>
          <w:szCs w:val="24"/>
        </w:rPr>
        <w:t xml:space="preserve">about </w:t>
      </w:r>
      <w:r w:rsidRPr="003A457D">
        <w:rPr>
          <w:rFonts w:ascii="Garamond" w:hAnsi="Garamond"/>
          <w:color w:val="2E2E2E"/>
          <w:sz w:val="24"/>
          <w:szCs w:val="24"/>
        </w:rPr>
        <w:t>the phases of the systematic process</w:t>
      </w:r>
      <w:r w:rsidRPr="003A457D">
        <w:rPr>
          <w:rFonts w:ascii="Garamond" w:hAnsi="Garamond"/>
          <w:sz w:val="24"/>
          <w:szCs w:val="24"/>
          <w:lang w:val="en-US"/>
        </w:rPr>
        <w:t xml:space="preserve"> of the learning method</w:t>
      </w:r>
      <w:r w:rsidRPr="003A457D">
        <w:rPr>
          <w:rFonts w:ascii="Garamond" w:hAnsi="Garamond"/>
          <w:sz w:val="24"/>
          <w:szCs w:val="24"/>
        </w:rPr>
        <w:t>.</w:t>
      </w:r>
      <w:r w:rsidRPr="003A457D">
        <w:rPr>
          <w:rFonts w:ascii="Garamond" w:hAnsi="Garamond"/>
          <w:sz w:val="24"/>
          <w:szCs w:val="24"/>
          <w:lang w:val="en-US"/>
        </w:rPr>
        <w:t xml:space="preserve"> </w:t>
      </w:r>
    </w:p>
    <w:p w14:paraId="1428E959" w14:textId="008CB448" w:rsidR="00EF571C" w:rsidRDefault="00EF571C" w:rsidP="00EF571C">
      <w:pPr>
        <w:shd w:val="clear" w:color="auto" w:fill="FFFFFF"/>
        <w:spacing w:before="100" w:beforeAutospacing="1" w:after="100" w:afterAutospacing="1"/>
        <w:jc w:val="both"/>
        <w:outlineLvl w:val="0"/>
        <w:rPr>
          <w:rFonts w:ascii="Garamond" w:hAnsi="Garamond"/>
          <w:sz w:val="24"/>
          <w:szCs w:val="24"/>
          <w:lang w:val="en-US"/>
        </w:rPr>
      </w:pPr>
    </w:p>
    <w:p w14:paraId="30ECE36E" w14:textId="0ADDD26D" w:rsidR="00EF571C" w:rsidRDefault="00EF571C" w:rsidP="00EF571C">
      <w:pPr>
        <w:shd w:val="clear" w:color="auto" w:fill="FFFFFF"/>
        <w:spacing w:before="100" w:beforeAutospacing="1" w:after="100" w:afterAutospacing="1"/>
        <w:jc w:val="both"/>
        <w:outlineLvl w:val="0"/>
        <w:rPr>
          <w:rFonts w:ascii="Garamond" w:hAnsi="Garamond"/>
          <w:sz w:val="24"/>
          <w:szCs w:val="24"/>
          <w:lang w:val="en-US"/>
        </w:rPr>
      </w:pPr>
    </w:p>
    <w:p w14:paraId="7ADE47F1" w14:textId="3C7AF4C8" w:rsidR="00EF571C" w:rsidRDefault="00EF571C" w:rsidP="00EF571C">
      <w:pPr>
        <w:shd w:val="clear" w:color="auto" w:fill="FFFFFF"/>
        <w:spacing w:before="100" w:beforeAutospacing="1" w:after="100" w:afterAutospacing="1"/>
        <w:jc w:val="both"/>
        <w:outlineLvl w:val="0"/>
        <w:rPr>
          <w:rFonts w:ascii="Garamond" w:hAnsi="Garamond"/>
          <w:sz w:val="24"/>
          <w:szCs w:val="24"/>
          <w:lang w:val="en-US"/>
        </w:rPr>
      </w:pPr>
    </w:p>
    <w:p w14:paraId="540D6111" w14:textId="20519CCC" w:rsidR="00EF571C" w:rsidRDefault="00EF571C" w:rsidP="00EF571C">
      <w:pPr>
        <w:shd w:val="clear" w:color="auto" w:fill="FFFFFF"/>
        <w:spacing w:before="100" w:beforeAutospacing="1" w:after="100" w:afterAutospacing="1"/>
        <w:jc w:val="both"/>
        <w:outlineLvl w:val="0"/>
        <w:rPr>
          <w:rFonts w:ascii="Garamond" w:hAnsi="Garamond"/>
          <w:sz w:val="24"/>
          <w:szCs w:val="24"/>
          <w:lang w:val="en-US"/>
        </w:rPr>
      </w:pPr>
    </w:p>
    <w:p w14:paraId="75F90CDB" w14:textId="77777777" w:rsidR="00EF571C" w:rsidRPr="00EF571C" w:rsidRDefault="00EF571C" w:rsidP="00EF571C">
      <w:pPr>
        <w:shd w:val="clear" w:color="auto" w:fill="FFFFFF"/>
        <w:spacing w:before="100" w:beforeAutospacing="1" w:after="100" w:afterAutospacing="1"/>
        <w:jc w:val="both"/>
        <w:outlineLvl w:val="0"/>
        <w:rPr>
          <w:rFonts w:ascii="Garamond" w:hAnsi="Garamond"/>
          <w:sz w:val="24"/>
          <w:szCs w:val="24"/>
          <w:lang w:val="en-US"/>
        </w:rPr>
      </w:pPr>
    </w:p>
    <w:p w14:paraId="17CDD630" w14:textId="77777777" w:rsidR="003A457D" w:rsidRPr="003A457D" w:rsidRDefault="003A457D" w:rsidP="003A457D">
      <w:pPr>
        <w:autoSpaceDE w:val="0"/>
        <w:autoSpaceDN w:val="0"/>
        <w:adjustRightInd w:val="0"/>
        <w:jc w:val="both"/>
        <w:rPr>
          <w:rFonts w:ascii="Garamond" w:hAnsi="Garamond"/>
          <w:kern w:val="36"/>
          <w:sz w:val="24"/>
          <w:szCs w:val="24"/>
          <w:lang w:val="en-US"/>
        </w:rPr>
      </w:pPr>
      <w:r w:rsidRPr="003A457D">
        <w:rPr>
          <w:rFonts w:ascii="Garamond" w:hAnsi="Garamond"/>
          <w:sz w:val="24"/>
          <w:szCs w:val="24"/>
        </w:rPr>
        <w:lastRenderedPageBreak/>
        <w:t xml:space="preserve">Table 2. The Most Widely Published Journal Article of the term "the term of the phases of the systematic process in the </w:t>
      </w:r>
      <w:r w:rsidRPr="003A457D">
        <w:rPr>
          <w:rStyle w:val="Emphasis"/>
          <w:rFonts w:ascii="Garamond" w:hAnsi="Garamond"/>
          <w:sz w:val="24"/>
          <w:szCs w:val="24"/>
          <w:lang w:val="en-US"/>
        </w:rPr>
        <w:t>learning method</w:t>
      </w:r>
      <w:r w:rsidRPr="003A457D">
        <w:rPr>
          <w:rFonts w:ascii="Garamond" w:hAnsi="Garamond"/>
          <w:kern w:val="36"/>
          <w:sz w:val="24"/>
          <w:szCs w:val="24"/>
          <w:lang w:val="en-US"/>
        </w:rPr>
        <w:t>.</w:t>
      </w:r>
    </w:p>
    <w:p w14:paraId="4E9E9ECB" w14:textId="77777777" w:rsidR="003A457D" w:rsidRPr="003A457D" w:rsidRDefault="003A457D" w:rsidP="003A457D">
      <w:pPr>
        <w:autoSpaceDE w:val="0"/>
        <w:autoSpaceDN w:val="0"/>
        <w:adjustRightInd w:val="0"/>
        <w:jc w:val="both"/>
        <w:rPr>
          <w:rFonts w:ascii="Garamond" w:hAnsi="Garamond"/>
          <w:color w:val="2E2E2E"/>
          <w:kern w:val="36"/>
          <w:sz w:val="24"/>
          <w:szCs w:val="24"/>
        </w:rPr>
      </w:pPr>
    </w:p>
    <w:tbl>
      <w:tblPr>
        <w:tblStyle w:val="PlainTable4"/>
        <w:tblW w:w="8966" w:type="dxa"/>
        <w:tblLayout w:type="fixed"/>
        <w:tblLook w:val="04A0" w:firstRow="1" w:lastRow="0" w:firstColumn="1" w:lastColumn="0" w:noHBand="0" w:noVBand="1"/>
      </w:tblPr>
      <w:tblGrid>
        <w:gridCol w:w="879"/>
        <w:gridCol w:w="3049"/>
        <w:gridCol w:w="1524"/>
        <w:gridCol w:w="3514"/>
      </w:tblGrid>
      <w:tr w:rsidR="003A457D" w:rsidRPr="003A457D" w14:paraId="3CF03FC9" w14:textId="77777777" w:rsidTr="00132335">
        <w:trPr>
          <w:cnfStyle w:val="100000000000" w:firstRow="1" w:lastRow="0" w:firstColumn="0" w:lastColumn="0" w:oddVBand="0" w:evenVBand="0" w:oddHBand="0"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879" w:type="dxa"/>
          </w:tcPr>
          <w:p w14:paraId="363EA3CB" w14:textId="77777777" w:rsidR="003A457D" w:rsidRPr="003A457D" w:rsidRDefault="003A457D" w:rsidP="003A457D">
            <w:pPr>
              <w:outlineLvl w:val="0"/>
              <w:rPr>
                <w:rFonts w:ascii="Garamond" w:hAnsi="Garamond"/>
              </w:rPr>
            </w:pPr>
            <w:r w:rsidRPr="003A457D">
              <w:rPr>
                <w:rFonts w:ascii="Garamond" w:hAnsi="Garamond"/>
              </w:rPr>
              <w:t xml:space="preserve">No. </w:t>
            </w:r>
          </w:p>
        </w:tc>
        <w:tc>
          <w:tcPr>
            <w:tcW w:w="3049" w:type="dxa"/>
          </w:tcPr>
          <w:p w14:paraId="1C1E789E" w14:textId="77777777" w:rsidR="003A457D" w:rsidRPr="003A457D" w:rsidRDefault="003A457D" w:rsidP="003A457D">
            <w:pPr>
              <w:outlineLvl w:val="0"/>
              <w:cnfStyle w:val="100000000000" w:firstRow="1"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Journal Name</w:t>
            </w:r>
          </w:p>
        </w:tc>
        <w:tc>
          <w:tcPr>
            <w:tcW w:w="1524" w:type="dxa"/>
          </w:tcPr>
          <w:p w14:paraId="5805FF04" w14:textId="77777777" w:rsidR="003A457D" w:rsidRPr="003A457D" w:rsidRDefault="003A457D" w:rsidP="003A457D">
            <w:pPr>
              <w:outlineLvl w:val="0"/>
              <w:cnfStyle w:val="100000000000" w:firstRow="1"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 xml:space="preserve">Number of Articles </w:t>
            </w:r>
          </w:p>
        </w:tc>
        <w:tc>
          <w:tcPr>
            <w:tcW w:w="3514" w:type="dxa"/>
          </w:tcPr>
          <w:p w14:paraId="79153070" w14:textId="77777777" w:rsidR="003A457D" w:rsidRPr="003A457D" w:rsidRDefault="003A457D" w:rsidP="003A457D">
            <w:pPr>
              <w:outlineLvl w:val="0"/>
              <w:cnfStyle w:val="100000000000" w:firstRow="1"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 xml:space="preserve">Link </w:t>
            </w:r>
          </w:p>
        </w:tc>
      </w:tr>
      <w:tr w:rsidR="003A457D" w:rsidRPr="003A457D" w14:paraId="4BE0F2D8" w14:textId="77777777" w:rsidTr="0013233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79" w:type="dxa"/>
          </w:tcPr>
          <w:p w14:paraId="67CBC8AD" w14:textId="77777777" w:rsidR="003A457D" w:rsidRPr="003A457D" w:rsidRDefault="003A457D" w:rsidP="003A457D">
            <w:pPr>
              <w:outlineLvl w:val="0"/>
              <w:rPr>
                <w:rFonts w:ascii="Garamond" w:hAnsi="Garamond"/>
              </w:rPr>
            </w:pPr>
            <w:r w:rsidRPr="003A457D">
              <w:rPr>
                <w:rFonts w:ascii="Garamond" w:hAnsi="Garamond"/>
              </w:rPr>
              <w:t>1</w:t>
            </w:r>
          </w:p>
        </w:tc>
        <w:tc>
          <w:tcPr>
            <w:tcW w:w="3049" w:type="dxa"/>
          </w:tcPr>
          <w:p w14:paraId="0FDE79B4"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Psychology and Education Journal</w:t>
            </w:r>
          </w:p>
        </w:tc>
        <w:tc>
          <w:tcPr>
            <w:tcW w:w="1524" w:type="dxa"/>
          </w:tcPr>
          <w:p w14:paraId="64EFB49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15</w:t>
            </w:r>
          </w:p>
        </w:tc>
        <w:tc>
          <w:tcPr>
            <w:tcW w:w="3514" w:type="dxa"/>
          </w:tcPr>
          <w:p w14:paraId="5AF032FD"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psychologyandeducation.net</w:t>
            </w:r>
          </w:p>
        </w:tc>
      </w:tr>
      <w:tr w:rsidR="003A457D" w:rsidRPr="003A457D" w14:paraId="5EDAD564" w14:textId="77777777" w:rsidTr="00132335">
        <w:trPr>
          <w:trHeight w:val="596"/>
        </w:trPr>
        <w:tc>
          <w:tcPr>
            <w:cnfStyle w:val="001000000000" w:firstRow="0" w:lastRow="0" w:firstColumn="1" w:lastColumn="0" w:oddVBand="0" w:evenVBand="0" w:oddHBand="0" w:evenHBand="0" w:firstRowFirstColumn="0" w:firstRowLastColumn="0" w:lastRowFirstColumn="0" w:lastRowLastColumn="0"/>
            <w:tcW w:w="879" w:type="dxa"/>
          </w:tcPr>
          <w:p w14:paraId="0FD127A2" w14:textId="77777777" w:rsidR="003A457D" w:rsidRPr="003A457D" w:rsidRDefault="003A457D" w:rsidP="003A457D">
            <w:pPr>
              <w:outlineLvl w:val="0"/>
              <w:rPr>
                <w:rFonts w:ascii="Garamond" w:hAnsi="Garamond"/>
              </w:rPr>
            </w:pPr>
            <w:r w:rsidRPr="003A457D">
              <w:rPr>
                <w:rFonts w:ascii="Garamond" w:hAnsi="Garamond"/>
              </w:rPr>
              <w:t>2</w:t>
            </w:r>
          </w:p>
        </w:tc>
        <w:tc>
          <w:tcPr>
            <w:tcW w:w="3049" w:type="dxa"/>
          </w:tcPr>
          <w:p w14:paraId="65EA1930"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Journal of Ethics and Society</w:t>
            </w:r>
          </w:p>
        </w:tc>
        <w:tc>
          <w:tcPr>
            <w:tcW w:w="1524" w:type="dxa"/>
          </w:tcPr>
          <w:p w14:paraId="60D52E23"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2</w:t>
            </w:r>
          </w:p>
        </w:tc>
        <w:tc>
          <w:tcPr>
            <w:tcW w:w="3514" w:type="dxa"/>
          </w:tcPr>
          <w:p w14:paraId="6D57DD89"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ijethics.com</w:t>
            </w:r>
          </w:p>
        </w:tc>
      </w:tr>
      <w:tr w:rsidR="003A457D" w:rsidRPr="003A457D" w14:paraId="5E7761BE" w14:textId="77777777" w:rsidTr="00132335">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879" w:type="dxa"/>
          </w:tcPr>
          <w:p w14:paraId="0C394AA7" w14:textId="77777777" w:rsidR="003A457D" w:rsidRPr="003A457D" w:rsidRDefault="003A457D" w:rsidP="003A457D">
            <w:pPr>
              <w:outlineLvl w:val="0"/>
              <w:rPr>
                <w:rFonts w:ascii="Garamond" w:hAnsi="Garamond"/>
              </w:rPr>
            </w:pPr>
            <w:r w:rsidRPr="003A457D">
              <w:rPr>
                <w:rFonts w:ascii="Garamond" w:hAnsi="Garamond"/>
              </w:rPr>
              <w:t>3</w:t>
            </w:r>
          </w:p>
        </w:tc>
        <w:tc>
          <w:tcPr>
            <w:tcW w:w="3049" w:type="dxa"/>
          </w:tcPr>
          <w:p w14:paraId="0CF19CAC"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European Journal of Molecular &amp; Clinical Medicine</w:t>
            </w:r>
          </w:p>
        </w:tc>
        <w:tc>
          <w:tcPr>
            <w:tcW w:w="1524" w:type="dxa"/>
          </w:tcPr>
          <w:p w14:paraId="2C142836"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3</w:t>
            </w:r>
          </w:p>
        </w:tc>
        <w:tc>
          <w:tcPr>
            <w:tcW w:w="3514" w:type="dxa"/>
          </w:tcPr>
          <w:p w14:paraId="1C575C2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https://www.ejmcm.com/</w:t>
            </w:r>
          </w:p>
        </w:tc>
      </w:tr>
      <w:tr w:rsidR="003A457D" w:rsidRPr="003A457D" w14:paraId="5C247847" w14:textId="77777777" w:rsidTr="00132335">
        <w:trPr>
          <w:trHeight w:val="596"/>
        </w:trPr>
        <w:tc>
          <w:tcPr>
            <w:cnfStyle w:val="001000000000" w:firstRow="0" w:lastRow="0" w:firstColumn="1" w:lastColumn="0" w:oddVBand="0" w:evenVBand="0" w:oddHBand="0" w:evenHBand="0" w:firstRowFirstColumn="0" w:firstRowLastColumn="0" w:lastRowFirstColumn="0" w:lastRowLastColumn="0"/>
            <w:tcW w:w="879" w:type="dxa"/>
          </w:tcPr>
          <w:p w14:paraId="24ED8F7D" w14:textId="77777777" w:rsidR="003A457D" w:rsidRPr="003A457D" w:rsidRDefault="003A457D" w:rsidP="003A457D">
            <w:pPr>
              <w:outlineLvl w:val="0"/>
              <w:rPr>
                <w:rFonts w:ascii="Garamond" w:hAnsi="Garamond"/>
              </w:rPr>
            </w:pPr>
            <w:r w:rsidRPr="003A457D">
              <w:rPr>
                <w:rFonts w:ascii="Garamond" w:hAnsi="Garamond"/>
              </w:rPr>
              <w:t>4</w:t>
            </w:r>
          </w:p>
        </w:tc>
        <w:tc>
          <w:tcPr>
            <w:tcW w:w="3049" w:type="dxa"/>
          </w:tcPr>
          <w:p w14:paraId="48A6839A"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Anatolian Journal of Education</w:t>
            </w:r>
          </w:p>
        </w:tc>
        <w:tc>
          <w:tcPr>
            <w:tcW w:w="1524" w:type="dxa"/>
          </w:tcPr>
          <w:p w14:paraId="371398F1"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05DF21E8"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https://e-aje.net/index.php?lang=en</w:t>
            </w:r>
          </w:p>
        </w:tc>
      </w:tr>
      <w:tr w:rsidR="003A457D" w:rsidRPr="003A457D" w14:paraId="597CCD35" w14:textId="77777777" w:rsidTr="00132335">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879" w:type="dxa"/>
          </w:tcPr>
          <w:p w14:paraId="7E272211" w14:textId="77777777" w:rsidR="003A457D" w:rsidRPr="003A457D" w:rsidRDefault="003A457D" w:rsidP="003A457D">
            <w:pPr>
              <w:outlineLvl w:val="0"/>
              <w:rPr>
                <w:rFonts w:ascii="Garamond" w:hAnsi="Garamond"/>
              </w:rPr>
            </w:pPr>
            <w:r w:rsidRPr="003A457D">
              <w:rPr>
                <w:rFonts w:ascii="Garamond" w:hAnsi="Garamond"/>
              </w:rPr>
              <w:t>5</w:t>
            </w:r>
          </w:p>
        </w:tc>
        <w:tc>
          <w:tcPr>
            <w:tcW w:w="3049" w:type="dxa"/>
          </w:tcPr>
          <w:p w14:paraId="3E52E40E"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Journal of Applied Issues in Islamic Education</w:t>
            </w:r>
          </w:p>
        </w:tc>
        <w:tc>
          <w:tcPr>
            <w:tcW w:w="1524" w:type="dxa"/>
          </w:tcPr>
          <w:p w14:paraId="0D03CCEC"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65D9396C"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http://qaiie.ir</w:t>
            </w:r>
          </w:p>
        </w:tc>
      </w:tr>
      <w:tr w:rsidR="003A457D" w:rsidRPr="003A457D" w14:paraId="7608ABB1" w14:textId="77777777" w:rsidTr="00132335">
        <w:trPr>
          <w:trHeight w:val="190"/>
        </w:trPr>
        <w:tc>
          <w:tcPr>
            <w:cnfStyle w:val="001000000000" w:firstRow="0" w:lastRow="0" w:firstColumn="1" w:lastColumn="0" w:oddVBand="0" w:evenVBand="0" w:oddHBand="0" w:evenHBand="0" w:firstRowFirstColumn="0" w:firstRowLastColumn="0" w:lastRowFirstColumn="0" w:lastRowLastColumn="0"/>
            <w:tcW w:w="879" w:type="dxa"/>
          </w:tcPr>
          <w:p w14:paraId="23D95674" w14:textId="77777777" w:rsidR="003A457D" w:rsidRPr="003A457D" w:rsidRDefault="003A457D" w:rsidP="003A457D">
            <w:pPr>
              <w:outlineLvl w:val="0"/>
              <w:rPr>
                <w:rFonts w:ascii="Garamond" w:hAnsi="Garamond"/>
              </w:rPr>
            </w:pPr>
            <w:r w:rsidRPr="003A457D">
              <w:rPr>
                <w:rFonts w:ascii="Garamond" w:hAnsi="Garamond"/>
              </w:rPr>
              <w:t>6</w:t>
            </w:r>
          </w:p>
        </w:tc>
        <w:tc>
          <w:tcPr>
            <w:tcW w:w="3049" w:type="dxa"/>
          </w:tcPr>
          <w:p w14:paraId="63D65EB4"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Dinasti International Journal of Education Management And Social Science</w:t>
            </w:r>
          </w:p>
        </w:tc>
        <w:tc>
          <w:tcPr>
            <w:tcW w:w="1524" w:type="dxa"/>
          </w:tcPr>
          <w:p w14:paraId="31FC12EE"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2E6F11C0"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"https://dinastipub.org/DIJEMSS/article/view/344" </w:instrText>
            </w:r>
            <w:r w:rsidRPr="003A457D">
              <w:rPr>
                <w:rFonts w:ascii="Garamond" w:hAnsi="Garamond"/>
              </w:rPr>
              <w:fldChar w:fldCharType="separate"/>
            </w:r>
            <w:r w:rsidRPr="003A457D">
              <w:rPr>
                <w:rStyle w:val="Hyperlink"/>
                <w:rFonts w:ascii="Garamond" w:hAnsi="Garamond"/>
                <w:color w:val="4472C4"/>
              </w:rPr>
              <w:t>https://dinastipub.org</w:t>
            </w:r>
            <w:r w:rsidRPr="003A457D">
              <w:rPr>
                <w:rStyle w:val="Hyperlink"/>
                <w:rFonts w:ascii="Garamond" w:hAnsi="Garamond"/>
                <w:color w:val="4472C4"/>
                <w:u w:val="none"/>
              </w:rPr>
              <w:fldChar w:fldCharType="end"/>
            </w:r>
          </w:p>
        </w:tc>
      </w:tr>
      <w:tr w:rsidR="003A457D" w:rsidRPr="003A457D" w14:paraId="5B5794D0" w14:textId="77777777" w:rsidTr="001323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879" w:type="dxa"/>
          </w:tcPr>
          <w:p w14:paraId="45AFA74D" w14:textId="77777777" w:rsidR="003A457D" w:rsidRPr="003A457D" w:rsidRDefault="003A457D" w:rsidP="003A457D">
            <w:pPr>
              <w:outlineLvl w:val="0"/>
              <w:rPr>
                <w:rFonts w:ascii="Garamond" w:hAnsi="Garamond"/>
              </w:rPr>
            </w:pPr>
            <w:r w:rsidRPr="003A457D">
              <w:rPr>
                <w:rFonts w:ascii="Garamond" w:hAnsi="Garamond"/>
              </w:rPr>
              <w:t>7</w:t>
            </w:r>
          </w:p>
        </w:tc>
        <w:tc>
          <w:tcPr>
            <w:tcW w:w="3049" w:type="dxa"/>
          </w:tcPr>
          <w:p w14:paraId="7EB21481"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Islamic Life Journal</w:t>
            </w:r>
          </w:p>
        </w:tc>
        <w:tc>
          <w:tcPr>
            <w:tcW w:w="1524" w:type="dxa"/>
          </w:tcPr>
          <w:p w14:paraId="10C9896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3</w:t>
            </w:r>
          </w:p>
        </w:tc>
        <w:tc>
          <w:tcPr>
            <w:tcW w:w="3514" w:type="dxa"/>
          </w:tcPr>
          <w:p w14:paraId="1EA92E07"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"http://mail.islamiclifej.com/article-1-489-en.html" </w:instrText>
            </w:r>
            <w:r w:rsidRPr="003A457D">
              <w:rPr>
                <w:rFonts w:ascii="Garamond" w:hAnsi="Garamond"/>
              </w:rPr>
              <w:fldChar w:fldCharType="separate"/>
            </w:r>
            <w:r w:rsidRPr="003A457D">
              <w:rPr>
                <w:rStyle w:val="Hyperlink"/>
                <w:rFonts w:ascii="Garamond" w:hAnsi="Garamond"/>
                <w:color w:val="4472C4"/>
              </w:rPr>
              <w:t>http://mail.islamiclifej.com</w:t>
            </w:r>
            <w:r w:rsidRPr="003A457D">
              <w:rPr>
                <w:rStyle w:val="Hyperlink"/>
                <w:rFonts w:ascii="Garamond" w:hAnsi="Garamond"/>
                <w:color w:val="4472C4"/>
                <w:u w:val="none"/>
              </w:rPr>
              <w:fldChar w:fldCharType="end"/>
            </w:r>
          </w:p>
        </w:tc>
      </w:tr>
      <w:tr w:rsidR="003A457D" w:rsidRPr="003A457D" w14:paraId="60934E2E" w14:textId="77777777" w:rsidTr="00132335">
        <w:trPr>
          <w:trHeight w:val="569"/>
        </w:trPr>
        <w:tc>
          <w:tcPr>
            <w:cnfStyle w:val="001000000000" w:firstRow="0" w:lastRow="0" w:firstColumn="1" w:lastColumn="0" w:oddVBand="0" w:evenVBand="0" w:oddHBand="0" w:evenHBand="0" w:firstRowFirstColumn="0" w:firstRowLastColumn="0" w:lastRowFirstColumn="0" w:lastRowLastColumn="0"/>
            <w:tcW w:w="879" w:type="dxa"/>
          </w:tcPr>
          <w:p w14:paraId="49F4DA56" w14:textId="77777777" w:rsidR="003A457D" w:rsidRPr="003A457D" w:rsidRDefault="003A457D" w:rsidP="003A457D">
            <w:pPr>
              <w:outlineLvl w:val="0"/>
              <w:rPr>
                <w:rFonts w:ascii="Garamond" w:hAnsi="Garamond"/>
              </w:rPr>
            </w:pPr>
            <w:r w:rsidRPr="003A457D">
              <w:rPr>
                <w:rFonts w:ascii="Garamond" w:hAnsi="Garamond"/>
              </w:rPr>
              <w:t>8</w:t>
            </w:r>
          </w:p>
        </w:tc>
        <w:tc>
          <w:tcPr>
            <w:tcW w:w="3049" w:type="dxa"/>
          </w:tcPr>
          <w:p w14:paraId="5168E8DD"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color w:val="222222"/>
                <w:shd w:val="clear" w:color="auto" w:fill="FFFFFF"/>
              </w:rPr>
              <w:t>Universal Journal of Educational Research</w:t>
            </w:r>
          </w:p>
        </w:tc>
        <w:tc>
          <w:tcPr>
            <w:tcW w:w="1524" w:type="dxa"/>
          </w:tcPr>
          <w:p w14:paraId="40BA3509"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9</w:t>
            </w:r>
          </w:p>
        </w:tc>
        <w:tc>
          <w:tcPr>
            <w:tcW w:w="3514" w:type="dxa"/>
          </w:tcPr>
          <w:p w14:paraId="42917070"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 xml:space="preserve"> http://www.hrpub.org </w:t>
            </w:r>
          </w:p>
        </w:tc>
      </w:tr>
      <w:tr w:rsidR="003A457D" w:rsidRPr="003A457D" w14:paraId="5EB61E6A" w14:textId="77777777" w:rsidTr="0013233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79" w:type="dxa"/>
          </w:tcPr>
          <w:p w14:paraId="0E2B1E38" w14:textId="77777777" w:rsidR="003A457D" w:rsidRPr="003A457D" w:rsidRDefault="003A457D" w:rsidP="003A457D">
            <w:pPr>
              <w:outlineLvl w:val="0"/>
              <w:rPr>
                <w:rFonts w:ascii="Garamond" w:hAnsi="Garamond"/>
              </w:rPr>
            </w:pPr>
            <w:r w:rsidRPr="003A457D">
              <w:rPr>
                <w:rFonts w:ascii="Garamond" w:hAnsi="Garamond"/>
              </w:rPr>
              <w:t>9</w:t>
            </w:r>
          </w:p>
        </w:tc>
        <w:tc>
          <w:tcPr>
            <w:tcW w:w="3049" w:type="dxa"/>
          </w:tcPr>
          <w:p w14:paraId="27330637"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Journal for Multicultural Education</w:t>
            </w:r>
          </w:p>
        </w:tc>
        <w:tc>
          <w:tcPr>
            <w:tcW w:w="1524" w:type="dxa"/>
          </w:tcPr>
          <w:p w14:paraId="6B82247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7ABE3482"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"https://www.emerald" </w:instrText>
            </w:r>
            <w:r w:rsidRPr="003A457D">
              <w:rPr>
                <w:rFonts w:ascii="Garamond" w:hAnsi="Garamond"/>
              </w:rPr>
              <w:fldChar w:fldCharType="separate"/>
            </w:r>
            <w:r w:rsidRPr="003A457D">
              <w:rPr>
                <w:rStyle w:val="Hyperlink"/>
                <w:rFonts w:ascii="Garamond" w:hAnsi="Garamond"/>
              </w:rPr>
              <w:t>https://www.emerald</w:t>
            </w:r>
            <w:r w:rsidRPr="003A457D">
              <w:rPr>
                <w:rStyle w:val="Hyperlink"/>
                <w:rFonts w:ascii="Garamond" w:hAnsi="Garamond"/>
                <w:u w:val="none"/>
              </w:rPr>
              <w:fldChar w:fldCharType="end"/>
            </w:r>
          </w:p>
          <w:p w14:paraId="6DF1577C"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grouppublishing.com</w:t>
            </w:r>
          </w:p>
        </w:tc>
      </w:tr>
      <w:tr w:rsidR="003A457D" w:rsidRPr="003A457D" w14:paraId="4D73C688" w14:textId="77777777" w:rsidTr="00132335">
        <w:trPr>
          <w:trHeight w:val="596"/>
        </w:trPr>
        <w:tc>
          <w:tcPr>
            <w:cnfStyle w:val="001000000000" w:firstRow="0" w:lastRow="0" w:firstColumn="1" w:lastColumn="0" w:oddVBand="0" w:evenVBand="0" w:oddHBand="0" w:evenHBand="0" w:firstRowFirstColumn="0" w:firstRowLastColumn="0" w:lastRowFirstColumn="0" w:lastRowLastColumn="0"/>
            <w:tcW w:w="879" w:type="dxa"/>
          </w:tcPr>
          <w:p w14:paraId="0BB9B7C8" w14:textId="77777777" w:rsidR="003A457D" w:rsidRPr="003A457D" w:rsidRDefault="003A457D" w:rsidP="003A457D">
            <w:pPr>
              <w:outlineLvl w:val="0"/>
              <w:rPr>
                <w:rFonts w:ascii="Garamond" w:hAnsi="Garamond"/>
              </w:rPr>
            </w:pPr>
            <w:r w:rsidRPr="003A457D">
              <w:rPr>
                <w:rFonts w:ascii="Garamond" w:hAnsi="Garamond"/>
              </w:rPr>
              <w:t>10</w:t>
            </w:r>
          </w:p>
        </w:tc>
        <w:tc>
          <w:tcPr>
            <w:tcW w:w="3049" w:type="dxa"/>
          </w:tcPr>
          <w:p w14:paraId="6ECC1D04"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Journal of Islamic Studies</w:t>
            </w:r>
          </w:p>
        </w:tc>
        <w:tc>
          <w:tcPr>
            <w:tcW w:w="1524" w:type="dxa"/>
          </w:tcPr>
          <w:p w14:paraId="2782067C"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4</w:t>
            </w:r>
          </w:p>
        </w:tc>
        <w:tc>
          <w:tcPr>
            <w:tcW w:w="3514" w:type="dxa"/>
          </w:tcPr>
          <w:p w14:paraId="423F8968"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http://journal.</w:t>
            </w:r>
          </w:p>
          <w:p w14:paraId="1A8723C4"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iainbukittinggi.ac.id</w:t>
            </w:r>
          </w:p>
        </w:tc>
      </w:tr>
      <w:tr w:rsidR="003A457D" w:rsidRPr="003A457D" w14:paraId="1149E3F5" w14:textId="77777777" w:rsidTr="0013233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79" w:type="dxa"/>
          </w:tcPr>
          <w:p w14:paraId="6D942F50" w14:textId="77777777" w:rsidR="003A457D" w:rsidRPr="003A457D" w:rsidRDefault="003A457D" w:rsidP="003A457D">
            <w:pPr>
              <w:outlineLvl w:val="0"/>
              <w:rPr>
                <w:rFonts w:ascii="Garamond" w:hAnsi="Garamond"/>
              </w:rPr>
            </w:pPr>
            <w:r w:rsidRPr="003A457D">
              <w:rPr>
                <w:rFonts w:ascii="Garamond" w:hAnsi="Garamond"/>
              </w:rPr>
              <w:t>11</w:t>
            </w:r>
          </w:p>
        </w:tc>
        <w:tc>
          <w:tcPr>
            <w:tcW w:w="3049" w:type="dxa"/>
          </w:tcPr>
          <w:p w14:paraId="68E7FD15"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Journal of Education and Scientific Studies</w:t>
            </w:r>
          </w:p>
        </w:tc>
        <w:tc>
          <w:tcPr>
            <w:tcW w:w="1524" w:type="dxa"/>
          </w:tcPr>
          <w:p w14:paraId="26E4F38F"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38608220"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"https://www.iasj.net/iasj/download/679c25a9d3130447" </w:instrText>
            </w:r>
            <w:r w:rsidRPr="003A457D">
              <w:rPr>
                <w:rFonts w:ascii="Garamond" w:hAnsi="Garamond"/>
              </w:rPr>
              <w:fldChar w:fldCharType="separate"/>
            </w:r>
            <w:r w:rsidRPr="003A457D">
              <w:rPr>
                <w:rStyle w:val="Hyperlink"/>
                <w:rFonts w:ascii="Garamond" w:hAnsi="Garamond"/>
                <w:color w:val="4472C4"/>
              </w:rPr>
              <w:t>https://www.iasj.net/iasj</w:t>
            </w:r>
            <w:r w:rsidRPr="003A457D">
              <w:rPr>
                <w:rStyle w:val="Hyperlink"/>
                <w:rFonts w:ascii="Garamond" w:hAnsi="Garamond"/>
                <w:color w:val="4472C4"/>
                <w:u w:val="none"/>
              </w:rPr>
              <w:fldChar w:fldCharType="end"/>
            </w:r>
          </w:p>
          <w:p w14:paraId="696CE2E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p>
        </w:tc>
      </w:tr>
      <w:tr w:rsidR="003A457D" w:rsidRPr="003A457D" w14:paraId="779311F8" w14:textId="77777777" w:rsidTr="00132335">
        <w:trPr>
          <w:trHeight w:val="596"/>
        </w:trPr>
        <w:tc>
          <w:tcPr>
            <w:cnfStyle w:val="001000000000" w:firstRow="0" w:lastRow="0" w:firstColumn="1" w:lastColumn="0" w:oddVBand="0" w:evenVBand="0" w:oddHBand="0" w:evenHBand="0" w:firstRowFirstColumn="0" w:firstRowLastColumn="0" w:lastRowFirstColumn="0" w:lastRowLastColumn="0"/>
            <w:tcW w:w="879" w:type="dxa"/>
          </w:tcPr>
          <w:p w14:paraId="5ABAE347" w14:textId="77777777" w:rsidR="003A457D" w:rsidRPr="003A457D" w:rsidRDefault="003A457D" w:rsidP="003A457D">
            <w:pPr>
              <w:outlineLvl w:val="0"/>
              <w:rPr>
                <w:rFonts w:ascii="Garamond" w:hAnsi="Garamond"/>
              </w:rPr>
            </w:pPr>
            <w:r w:rsidRPr="003A457D">
              <w:rPr>
                <w:rFonts w:ascii="Garamond" w:hAnsi="Garamond"/>
              </w:rPr>
              <w:t>12</w:t>
            </w:r>
          </w:p>
        </w:tc>
        <w:tc>
          <w:tcPr>
            <w:tcW w:w="3049" w:type="dxa"/>
          </w:tcPr>
          <w:p w14:paraId="4EADFA40"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International Journal of Ethics and Society</w:t>
            </w:r>
          </w:p>
        </w:tc>
        <w:tc>
          <w:tcPr>
            <w:tcW w:w="1524" w:type="dxa"/>
          </w:tcPr>
          <w:p w14:paraId="036652D4"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07843FDF"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https://ijethics.com.</w:t>
            </w:r>
          </w:p>
        </w:tc>
      </w:tr>
      <w:tr w:rsidR="003A457D" w:rsidRPr="003A457D" w14:paraId="03FC41A1" w14:textId="77777777" w:rsidTr="00132335">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879" w:type="dxa"/>
          </w:tcPr>
          <w:p w14:paraId="60254DA1" w14:textId="77777777" w:rsidR="003A457D" w:rsidRPr="003A457D" w:rsidRDefault="003A457D" w:rsidP="003A457D">
            <w:pPr>
              <w:outlineLvl w:val="0"/>
              <w:rPr>
                <w:rFonts w:ascii="Garamond" w:hAnsi="Garamond"/>
              </w:rPr>
            </w:pPr>
            <w:r w:rsidRPr="003A457D">
              <w:rPr>
                <w:rFonts w:ascii="Garamond" w:hAnsi="Garamond"/>
              </w:rPr>
              <w:t>13</w:t>
            </w:r>
          </w:p>
        </w:tc>
        <w:tc>
          <w:tcPr>
            <w:tcW w:w="3049" w:type="dxa"/>
          </w:tcPr>
          <w:p w14:paraId="1220011E"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Journal of Indonesian Student Assessment and Evaluation</w:t>
            </w:r>
          </w:p>
        </w:tc>
        <w:tc>
          <w:tcPr>
            <w:tcW w:w="1524" w:type="dxa"/>
          </w:tcPr>
          <w:p w14:paraId="70D79764"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19D7B9B6"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http://journal.unj.ac.id</w:t>
            </w:r>
          </w:p>
        </w:tc>
      </w:tr>
      <w:tr w:rsidR="003A457D" w:rsidRPr="003A457D" w14:paraId="471783DA" w14:textId="77777777" w:rsidTr="00132335">
        <w:trPr>
          <w:trHeight w:val="889"/>
        </w:trPr>
        <w:tc>
          <w:tcPr>
            <w:cnfStyle w:val="001000000000" w:firstRow="0" w:lastRow="0" w:firstColumn="1" w:lastColumn="0" w:oddVBand="0" w:evenVBand="0" w:oddHBand="0" w:evenHBand="0" w:firstRowFirstColumn="0" w:firstRowLastColumn="0" w:lastRowFirstColumn="0" w:lastRowLastColumn="0"/>
            <w:tcW w:w="879" w:type="dxa"/>
          </w:tcPr>
          <w:p w14:paraId="7F6E6E0A" w14:textId="77777777" w:rsidR="003A457D" w:rsidRPr="003A457D" w:rsidRDefault="003A457D" w:rsidP="003A457D">
            <w:pPr>
              <w:outlineLvl w:val="0"/>
              <w:rPr>
                <w:rFonts w:ascii="Garamond" w:hAnsi="Garamond"/>
              </w:rPr>
            </w:pPr>
            <w:r w:rsidRPr="003A457D">
              <w:rPr>
                <w:rFonts w:ascii="Garamond" w:hAnsi="Garamond"/>
              </w:rPr>
              <w:t>14</w:t>
            </w:r>
          </w:p>
        </w:tc>
        <w:tc>
          <w:tcPr>
            <w:tcW w:w="3049" w:type="dxa"/>
          </w:tcPr>
          <w:p w14:paraId="4A806A72"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Journal of Islamic Accounting and Business Research</w:t>
            </w:r>
          </w:p>
        </w:tc>
        <w:tc>
          <w:tcPr>
            <w:tcW w:w="1524" w:type="dxa"/>
          </w:tcPr>
          <w:p w14:paraId="3B807826"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4A8E1063"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https://www.emerald.com.</w:t>
            </w:r>
          </w:p>
        </w:tc>
      </w:tr>
      <w:tr w:rsidR="003A457D" w:rsidRPr="003A457D" w14:paraId="4FD5158E" w14:textId="77777777" w:rsidTr="0013233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79" w:type="dxa"/>
          </w:tcPr>
          <w:p w14:paraId="6C2A0C86" w14:textId="77777777" w:rsidR="003A457D" w:rsidRPr="003A457D" w:rsidRDefault="003A457D" w:rsidP="003A457D">
            <w:pPr>
              <w:outlineLvl w:val="0"/>
              <w:rPr>
                <w:rFonts w:ascii="Garamond" w:hAnsi="Garamond"/>
              </w:rPr>
            </w:pPr>
            <w:r w:rsidRPr="003A457D">
              <w:rPr>
                <w:rFonts w:ascii="Garamond" w:hAnsi="Garamond"/>
              </w:rPr>
              <w:t>15</w:t>
            </w:r>
          </w:p>
        </w:tc>
        <w:tc>
          <w:tcPr>
            <w:tcW w:w="3049" w:type="dxa"/>
          </w:tcPr>
          <w:p w14:paraId="242F51B7"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Journal of Physics: Conference Series</w:t>
            </w:r>
          </w:p>
        </w:tc>
        <w:tc>
          <w:tcPr>
            <w:tcW w:w="1524" w:type="dxa"/>
          </w:tcPr>
          <w:p w14:paraId="465E95A6"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8</w:t>
            </w:r>
          </w:p>
        </w:tc>
        <w:tc>
          <w:tcPr>
            <w:tcW w:w="3514" w:type="dxa"/>
          </w:tcPr>
          <w:p w14:paraId="359FD5AD"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https://iopscience.iop.org</w:t>
            </w:r>
          </w:p>
        </w:tc>
      </w:tr>
      <w:tr w:rsidR="003A457D" w:rsidRPr="003A457D" w14:paraId="07CBB396" w14:textId="77777777" w:rsidTr="00132335">
        <w:trPr>
          <w:trHeight w:val="596"/>
        </w:trPr>
        <w:tc>
          <w:tcPr>
            <w:cnfStyle w:val="001000000000" w:firstRow="0" w:lastRow="0" w:firstColumn="1" w:lastColumn="0" w:oddVBand="0" w:evenVBand="0" w:oddHBand="0" w:evenHBand="0" w:firstRowFirstColumn="0" w:firstRowLastColumn="0" w:lastRowFirstColumn="0" w:lastRowLastColumn="0"/>
            <w:tcW w:w="879" w:type="dxa"/>
          </w:tcPr>
          <w:p w14:paraId="3CA8BBE8" w14:textId="77777777" w:rsidR="003A457D" w:rsidRPr="003A457D" w:rsidRDefault="003A457D" w:rsidP="003A457D">
            <w:pPr>
              <w:outlineLvl w:val="0"/>
              <w:rPr>
                <w:rFonts w:ascii="Garamond" w:hAnsi="Garamond"/>
              </w:rPr>
            </w:pPr>
            <w:r w:rsidRPr="003A457D">
              <w:rPr>
                <w:rFonts w:ascii="Garamond" w:hAnsi="Garamond"/>
              </w:rPr>
              <w:t>16</w:t>
            </w:r>
          </w:p>
        </w:tc>
        <w:tc>
          <w:tcPr>
            <w:tcW w:w="3049" w:type="dxa"/>
          </w:tcPr>
          <w:p w14:paraId="303D8C86"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Journal of Arak University of Medical Sciences</w:t>
            </w:r>
          </w:p>
        </w:tc>
        <w:tc>
          <w:tcPr>
            <w:tcW w:w="1524" w:type="dxa"/>
          </w:tcPr>
          <w:p w14:paraId="4444B0F8"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1A45EE17"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http://jams.arakmu.ac.ir</w:t>
            </w:r>
          </w:p>
        </w:tc>
      </w:tr>
      <w:tr w:rsidR="003A457D" w:rsidRPr="003A457D" w14:paraId="41B27E8A" w14:textId="77777777" w:rsidTr="00132335">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879" w:type="dxa"/>
          </w:tcPr>
          <w:p w14:paraId="2CB5430E" w14:textId="77777777" w:rsidR="003A457D" w:rsidRPr="003A457D" w:rsidRDefault="003A457D" w:rsidP="003A457D">
            <w:pPr>
              <w:outlineLvl w:val="0"/>
              <w:rPr>
                <w:rFonts w:ascii="Garamond" w:hAnsi="Garamond"/>
              </w:rPr>
            </w:pPr>
            <w:r w:rsidRPr="003A457D">
              <w:rPr>
                <w:rFonts w:ascii="Garamond" w:hAnsi="Garamond"/>
              </w:rPr>
              <w:lastRenderedPageBreak/>
              <w:t>17</w:t>
            </w:r>
          </w:p>
        </w:tc>
        <w:tc>
          <w:tcPr>
            <w:tcW w:w="3049" w:type="dxa"/>
          </w:tcPr>
          <w:p w14:paraId="40DA4774"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Journal of Strategic Management Studies</w:t>
            </w:r>
          </w:p>
        </w:tc>
        <w:tc>
          <w:tcPr>
            <w:tcW w:w="1524" w:type="dxa"/>
          </w:tcPr>
          <w:p w14:paraId="10F3FF0A"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7B8BEA90"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http://www.smsjournal.ir</w:t>
            </w:r>
          </w:p>
        </w:tc>
      </w:tr>
      <w:tr w:rsidR="003A457D" w:rsidRPr="003A457D" w14:paraId="0831AD07" w14:textId="77777777" w:rsidTr="00132335">
        <w:trPr>
          <w:trHeight w:val="877"/>
        </w:trPr>
        <w:tc>
          <w:tcPr>
            <w:cnfStyle w:val="001000000000" w:firstRow="0" w:lastRow="0" w:firstColumn="1" w:lastColumn="0" w:oddVBand="0" w:evenVBand="0" w:oddHBand="0" w:evenHBand="0" w:firstRowFirstColumn="0" w:firstRowLastColumn="0" w:lastRowFirstColumn="0" w:lastRowLastColumn="0"/>
            <w:tcW w:w="879" w:type="dxa"/>
          </w:tcPr>
          <w:p w14:paraId="77AD4115" w14:textId="77777777" w:rsidR="003A457D" w:rsidRPr="003A457D" w:rsidRDefault="003A457D" w:rsidP="003A457D">
            <w:pPr>
              <w:outlineLvl w:val="0"/>
              <w:rPr>
                <w:rFonts w:ascii="Garamond" w:hAnsi="Garamond"/>
              </w:rPr>
            </w:pPr>
            <w:r w:rsidRPr="003A457D">
              <w:rPr>
                <w:rFonts w:ascii="Garamond" w:hAnsi="Garamond"/>
              </w:rPr>
              <w:t>18</w:t>
            </w:r>
          </w:p>
        </w:tc>
        <w:tc>
          <w:tcPr>
            <w:tcW w:w="3049" w:type="dxa"/>
          </w:tcPr>
          <w:p w14:paraId="4CA6B15F"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color w:val="222222"/>
                <w:shd w:val="clear" w:color="auto" w:fill="FFFFFF"/>
              </w:rPr>
              <w:t>The International Journal of Language and Cultural (TIJOLAC)</w:t>
            </w:r>
          </w:p>
        </w:tc>
        <w:tc>
          <w:tcPr>
            <w:tcW w:w="1524" w:type="dxa"/>
          </w:tcPr>
          <w:p w14:paraId="31EF7556"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4A752654"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"https://www.growingscholar.or" </w:instrText>
            </w:r>
            <w:r w:rsidRPr="003A457D">
              <w:rPr>
                <w:rFonts w:ascii="Garamond" w:hAnsi="Garamond"/>
              </w:rPr>
              <w:fldChar w:fldCharType="separate"/>
            </w:r>
            <w:r w:rsidRPr="003A457D">
              <w:rPr>
                <w:rStyle w:val="Hyperlink"/>
                <w:rFonts w:ascii="Garamond" w:hAnsi="Garamond"/>
              </w:rPr>
              <w:t>https://www.growingscholar.or</w:t>
            </w:r>
            <w:r w:rsidRPr="003A457D">
              <w:rPr>
                <w:rStyle w:val="Hyperlink"/>
                <w:rFonts w:ascii="Garamond" w:hAnsi="Garamond"/>
                <w:u w:val="none"/>
              </w:rPr>
              <w:fldChar w:fldCharType="end"/>
            </w:r>
          </w:p>
          <w:p w14:paraId="0B4C464D"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p>
        </w:tc>
      </w:tr>
      <w:tr w:rsidR="003A457D" w:rsidRPr="003A457D" w14:paraId="2A059A20" w14:textId="77777777" w:rsidTr="00132335">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879" w:type="dxa"/>
          </w:tcPr>
          <w:p w14:paraId="74C789BB" w14:textId="77777777" w:rsidR="003A457D" w:rsidRPr="003A457D" w:rsidRDefault="003A457D" w:rsidP="003A457D">
            <w:pPr>
              <w:outlineLvl w:val="0"/>
              <w:rPr>
                <w:rFonts w:ascii="Garamond" w:hAnsi="Garamond"/>
              </w:rPr>
            </w:pPr>
            <w:r w:rsidRPr="003A457D">
              <w:rPr>
                <w:rFonts w:ascii="Garamond" w:hAnsi="Garamond"/>
              </w:rPr>
              <w:t>19</w:t>
            </w:r>
          </w:p>
        </w:tc>
        <w:tc>
          <w:tcPr>
            <w:tcW w:w="3049" w:type="dxa"/>
          </w:tcPr>
          <w:p w14:paraId="25FBC0DF"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IEEE: Journal of Islamic Education at Elementary School</w:t>
            </w:r>
          </w:p>
        </w:tc>
        <w:tc>
          <w:tcPr>
            <w:tcW w:w="1524" w:type="dxa"/>
          </w:tcPr>
          <w:p w14:paraId="46230141"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47F3F713"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"http://jiees" </w:instrText>
            </w:r>
            <w:r w:rsidRPr="003A457D">
              <w:rPr>
                <w:rFonts w:ascii="Garamond" w:hAnsi="Garamond"/>
              </w:rPr>
              <w:fldChar w:fldCharType="separate"/>
            </w:r>
            <w:r w:rsidRPr="003A457D">
              <w:rPr>
                <w:rStyle w:val="Hyperlink"/>
                <w:rFonts w:ascii="Garamond" w:hAnsi="Garamond"/>
              </w:rPr>
              <w:t>http://jiees</w:t>
            </w:r>
            <w:r w:rsidRPr="003A457D">
              <w:rPr>
                <w:rStyle w:val="Hyperlink"/>
                <w:rFonts w:ascii="Garamond" w:hAnsi="Garamond"/>
                <w:u w:val="none"/>
              </w:rPr>
              <w:fldChar w:fldCharType="end"/>
            </w:r>
            <w:r w:rsidRPr="003A457D">
              <w:rPr>
                <w:rFonts w:ascii="Garamond" w:hAnsi="Garamond"/>
                <w:color w:val="4472C4"/>
              </w:rPr>
              <w:t>.</w:t>
            </w:r>
          </w:p>
          <w:p w14:paraId="755A7348"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alkhoziny.ac.id</w:t>
            </w:r>
          </w:p>
        </w:tc>
      </w:tr>
      <w:tr w:rsidR="003A457D" w:rsidRPr="003A457D" w14:paraId="61C0CC4D" w14:textId="77777777" w:rsidTr="00132335">
        <w:trPr>
          <w:trHeight w:val="596"/>
        </w:trPr>
        <w:tc>
          <w:tcPr>
            <w:cnfStyle w:val="001000000000" w:firstRow="0" w:lastRow="0" w:firstColumn="1" w:lastColumn="0" w:oddVBand="0" w:evenVBand="0" w:oddHBand="0" w:evenHBand="0" w:firstRowFirstColumn="0" w:firstRowLastColumn="0" w:lastRowFirstColumn="0" w:lastRowLastColumn="0"/>
            <w:tcW w:w="879" w:type="dxa"/>
          </w:tcPr>
          <w:p w14:paraId="33F698F7" w14:textId="77777777" w:rsidR="003A457D" w:rsidRPr="003A457D" w:rsidRDefault="003A457D" w:rsidP="003A457D">
            <w:pPr>
              <w:outlineLvl w:val="0"/>
              <w:rPr>
                <w:rFonts w:ascii="Garamond" w:hAnsi="Garamond"/>
              </w:rPr>
            </w:pPr>
            <w:r w:rsidRPr="003A457D">
              <w:rPr>
                <w:rFonts w:ascii="Garamond" w:hAnsi="Garamond"/>
              </w:rPr>
              <w:t>20</w:t>
            </w:r>
          </w:p>
        </w:tc>
        <w:tc>
          <w:tcPr>
            <w:tcW w:w="3049" w:type="dxa"/>
          </w:tcPr>
          <w:p w14:paraId="1656FF52"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color w:val="222222"/>
                <w:shd w:val="clear" w:color="auto" w:fill="FFFFFF"/>
              </w:rPr>
              <w:t>Aesthetic surgery journal</w:t>
            </w:r>
          </w:p>
        </w:tc>
        <w:tc>
          <w:tcPr>
            <w:tcW w:w="1524" w:type="dxa"/>
          </w:tcPr>
          <w:p w14:paraId="228D9A1F"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2D5E6CFB"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"https://academic" </w:instrText>
            </w:r>
            <w:r w:rsidRPr="003A457D">
              <w:rPr>
                <w:rFonts w:ascii="Garamond" w:hAnsi="Garamond"/>
              </w:rPr>
              <w:fldChar w:fldCharType="separate"/>
            </w:r>
            <w:r w:rsidRPr="003A457D">
              <w:rPr>
                <w:rStyle w:val="Hyperlink"/>
                <w:rFonts w:ascii="Garamond" w:hAnsi="Garamond"/>
              </w:rPr>
              <w:t>https://academic</w:t>
            </w:r>
            <w:r w:rsidRPr="003A457D">
              <w:rPr>
                <w:rStyle w:val="Hyperlink"/>
                <w:rFonts w:ascii="Garamond" w:hAnsi="Garamond"/>
                <w:u w:val="none"/>
              </w:rPr>
              <w:fldChar w:fldCharType="end"/>
            </w:r>
            <w:r w:rsidRPr="003A457D">
              <w:rPr>
                <w:rFonts w:ascii="Garamond" w:hAnsi="Garamond"/>
                <w:color w:val="4472C4"/>
              </w:rPr>
              <w:t>.</w:t>
            </w:r>
          </w:p>
          <w:p w14:paraId="1A87AB3C"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color w:val="4472C4"/>
              </w:rPr>
              <w:t>.com</w:t>
            </w:r>
          </w:p>
        </w:tc>
      </w:tr>
      <w:tr w:rsidR="003A457D" w:rsidRPr="003A457D" w14:paraId="4E3853C4" w14:textId="77777777" w:rsidTr="00132335">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879" w:type="dxa"/>
          </w:tcPr>
          <w:p w14:paraId="3C6A85F5" w14:textId="77777777" w:rsidR="003A457D" w:rsidRPr="003A457D" w:rsidRDefault="003A457D" w:rsidP="003A457D">
            <w:pPr>
              <w:outlineLvl w:val="0"/>
              <w:rPr>
                <w:rFonts w:ascii="Garamond" w:hAnsi="Garamond"/>
              </w:rPr>
            </w:pPr>
            <w:r w:rsidRPr="003A457D">
              <w:rPr>
                <w:rFonts w:ascii="Garamond" w:hAnsi="Garamond"/>
              </w:rPr>
              <w:t>21</w:t>
            </w:r>
          </w:p>
        </w:tc>
        <w:tc>
          <w:tcPr>
            <w:tcW w:w="3049" w:type="dxa"/>
          </w:tcPr>
          <w:p w14:paraId="5DA1D5A1"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International Journal of Islamic Economics and Finance Studies</w:t>
            </w:r>
          </w:p>
        </w:tc>
        <w:tc>
          <w:tcPr>
            <w:tcW w:w="1524" w:type="dxa"/>
          </w:tcPr>
          <w:p w14:paraId="248D623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5EFDEB4A"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https://dergipark.org</w:t>
            </w:r>
          </w:p>
        </w:tc>
      </w:tr>
      <w:tr w:rsidR="003A457D" w:rsidRPr="003A457D" w14:paraId="5D998986" w14:textId="77777777" w:rsidTr="00132335">
        <w:trPr>
          <w:trHeight w:val="1181"/>
        </w:trPr>
        <w:tc>
          <w:tcPr>
            <w:cnfStyle w:val="001000000000" w:firstRow="0" w:lastRow="0" w:firstColumn="1" w:lastColumn="0" w:oddVBand="0" w:evenVBand="0" w:oddHBand="0" w:evenHBand="0" w:firstRowFirstColumn="0" w:firstRowLastColumn="0" w:lastRowFirstColumn="0" w:lastRowLastColumn="0"/>
            <w:tcW w:w="879" w:type="dxa"/>
          </w:tcPr>
          <w:p w14:paraId="61F276E5" w14:textId="77777777" w:rsidR="003A457D" w:rsidRPr="003A457D" w:rsidRDefault="003A457D" w:rsidP="003A457D">
            <w:pPr>
              <w:outlineLvl w:val="0"/>
              <w:rPr>
                <w:rFonts w:ascii="Garamond" w:hAnsi="Garamond"/>
              </w:rPr>
            </w:pPr>
            <w:r w:rsidRPr="003A457D">
              <w:rPr>
                <w:rFonts w:ascii="Garamond" w:hAnsi="Garamond"/>
              </w:rPr>
              <w:t>22</w:t>
            </w:r>
          </w:p>
        </w:tc>
        <w:tc>
          <w:tcPr>
            <w:tcW w:w="3049" w:type="dxa"/>
          </w:tcPr>
          <w:p w14:paraId="2DC8103A"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color w:val="222222"/>
                <w:shd w:val="clear" w:color="auto" w:fill="FFFFFF"/>
              </w:rPr>
              <w:t xml:space="preserve">VITARA International Journal of Civilizational Studies and Human Sciences </w:t>
            </w:r>
          </w:p>
        </w:tc>
        <w:tc>
          <w:tcPr>
            <w:tcW w:w="1524" w:type="dxa"/>
          </w:tcPr>
          <w:p w14:paraId="6F233D29"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35EE41A9"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"https://bitarajournal.com/" </w:instrText>
            </w:r>
            <w:r w:rsidRPr="003A457D">
              <w:rPr>
                <w:rFonts w:ascii="Garamond" w:hAnsi="Garamond"/>
              </w:rPr>
              <w:fldChar w:fldCharType="separate"/>
            </w:r>
            <w:r w:rsidRPr="003A457D">
              <w:rPr>
                <w:rStyle w:val="Hyperlink"/>
                <w:rFonts w:ascii="Garamond" w:hAnsi="Garamond"/>
              </w:rPr>
              <w:t>https://bitarajournal.com</w:t>
            </w:r>
            <w:r w:rsidRPr="003A457D">
              <w:rPr>
                <w:rStyle w:val="Hyperlink"/>
                <w:rFonts w:ascii="Garamond" w:hAnsi="Garamond"/>
                <w:u w:val="none"/>
              </w:rPr>
              <w:fldChar w:fldCharType="end"/>
            </w:r>
          </w:p>
          <w:p w14:paraId="1059BC4D"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4472C4"/>
              </w:rPr>
            </w:pPr>
          </w:p>
        </w:tc>
      </w:tr>
      <w:tr w:rsidR="003A457D" w:rsidRPr="003A457D" w14:paraId="1752A4A2" w14:textId="77777777" w:rsidTr="00132335">
        <w:trPr>
          <w:cnfStyle w:val="000000100000" w:firstRow="0" w:lastRow="0" w:firstColumn="0" w:lastColumn="0" w:oddVBand="0" w:evenVBand="0" w:oddHBand="1" w:evenHBand="0" w:firstRowFirstColumn="0" w:firstRowLastColumn="0" w:lastRowFirstColumn="0" w:lastRowLastColumn="0"/>
          <w:trHeight w:val="1181"/>
        </w:trPr>
        <w:tc>
          <w:tcPr>
            <w:cnfStyle w:val="001000000000" w:firstRow="0" w:lastRow="0" w:firstColumn="1" w:lastColumn="0" w:oddVBand="0" w:evenVBand="0" w:oddHBand="0" w:evenHBand="0" w:firstRowFirstColumn="0" w:firstRowLastColumn="0" w:lastRowFirstColumn="0" w:lastRowLastColumn="0"/>
            <w:tcW w:w="879" w:type="dxa"/>
          </w:tcPr>
          <w:p w14:paraId="663DB251" w14:textId="77777777" w:rsidR="003A457D" w:rsidRPr="003A457D" w:rsidRDefault="003A457D" w:rsidP="003A457D">
            <w:pPr>
              <w:outlineLvl w:val="0"/>
              <w:rPr>
                <w:rFonts w:ascii="Garamond" w:hAnsi="Garamond"/>
              </w:rPr>
            </w:pPr>
            <w:r w:rsidRPr="003A457D">
              <w:rPr>
                <w:rFonts w:ascii="Garamond" w:hAnsi="Garamond"/>
              </w:rPr>
              <w:t>23</w:t>
            </w:r>
          </w:p>
        </w:tc>
        <w:tc>
          <w:tcPr>
            <w:tcW w:w="3049" w:type="dxa"/>
          </w:tcPr>
          <w:p w14:paraId="67EEC90E"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International Journal of Multicultural and Multireligious Understanding</w:t>
            </w:r>
          </w:p>
        </w:tc>
        <w:tc>
          <w:tcPr>
            <w:tcW w:w="1524" w:type="dxa"/>
          </w:tcPr>
          <w:p w14:paraId="4EA4130C"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077BA1F5"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"https://ijmmu.com" </w:instrText>
            </w:r>
            <w:r w:rsidRPr="003A457D">
              <w:rPr>
                <w:rFonts w:ascii="Garamond" w:hAnsi="Garamond"/>
              </w:rPr>
              <w:fldChar w:fldCharType="separate"/>
            </w:r>
            <w:r w:rsidRPr="003A457D">
              <w:rPr>
                <w:rStyle w:val="Hyperlink"/>
                <w:rFonts w:ascii="Garamond" w:hAnsi="Garamond"/>
              </w:rPr>
              <w:t>https://ijmmu.com</w:t>
            </w:r>
            <w:r w:rsidRPr="003A457D">
              <w:rPr>
                <w:rStyle w:val="Hyperlink"/>
                <w:rFonts w:ascii="Garamond" w:hAnsi="Garamond"/>
                <w:u w:val="none"/>
              </w:rPr>
              <w:fldChar w:fldCharType="end"/>
            </w:r>
          </w:p>
          <w:p w14:paraId="2D00EB61"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p>
        </w:tc>
      </w:tr>
      <w:tr w:rsidR="003A457D" w:rsidRPr="003A457D" w14:paraId="02213F93" w14:textId="77777777" w:rsidTr="00132335">
        <w:trPr>
          <w:trHeight w:val="643"/>
        </w:trPr>
        <w:tc>
          <w:tcPr>
            <w:cnfStyle w:val="001000000000" w:firstRow="0" w:lastRow="0" w:firstColumn="1" w:lastColumn="0" w:oddVBand="0" w:evenVBand="0" w:oddHBand="0" w:evenHBand="0" w:firstRowFirstColumn="0" w:firstRowLastColumn="0" w:lastRowFirstColumn="0" w:lastRowLastColumn="0"/>
            <w:tcW w:w="879" w:type="dxa"/>
          </w:tcPr>
          <w:p w14:paraId="58829DC3" w14:textId="77777777" w:rsidR="003A457D" w:rsidRPr="003A457D" w:rsidRDefault="003A457D" w:rsidP="003A457D">
            <w:pPr>
              <w:outlineLvl w:val="0"/>
              <w:rPr>
                <w:rFonts w:ascii="Garamond" w:hAnsi="Garamond"/>
                <w:lang w:val="en-US"/>
              </w:rPr>
            </w:pPr>
            <w:r w:rsidRPr="003A457D">
              <w:rPr>
                <w:rFonts w:ascii="Garamond" w:hAnsi="Garamond"/>
                <w:lang w:val="en-US"/>
              </w:rPr>
              <w:t>24</w:t>
            </w:r>
          </w:p>
        </w:tc>
        <w:tc>
          <w:tcPr>
            <w:tcW w:w="3049" w:type="dxa"/>
          </w:tcPr>
          <w:p w14:paraId="25EB238C"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222222"/>
                <w:shd w:val="clear" w:color="auto" w:fill="FFFFFF"/>
              </w:rPr>
            </w:pPr>
            <w:r w:rsidRPr="003A457D">
              <w:rPr>
                <w:rFonts w:ascii="Garamond" w:hAnsi="Garamond"/>
                <w:color w:val="222222"/>
                <w:shd w:val="clear" w:color="auto" w:fill="FFFFFF"/>
              </w:rPr>
              <w:t>Universal journal of educational Research</w:t>
            </w:r>
          </w:p>
        </w:tc>
        <w:tc>
          <w:tcPr>
            <w:tcW w:w="1524" w:type="dxa"/>
          </w:tcPr>
          <w:p w14:paraId="48BF864E"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3A457D">
              <w:rPr>
                <w:rFonts w:ascii="Garamond" w:hAnsi="Garamond"/>
                <w:lang w:val="en-US"/>
              </w:rPr>
              <w:t>3</w:t>
            </w:r>
          </w:p>
        </w:tc>
        <w:tc>
          <w:tcPr>
            <w:tcW w:w="3514" w:type="dxa"/>
          </w:tcPr>
          <w:p w14:paraId="76902D02"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lang w:val="en-US"/>
              </w:rPr>
            </w:pPr>
            <w:hyperlink r:id="rId11" w:history="1">
              <w:r w:rsidRPr="003A457D">
                <w:rPr>
                  <w:rStyle w:val="Hyperlink"/>
                  <w:rFonts w:ascii="Garamond" w:hAnsi="Garamond"/>
                </w:rPr>
                <w:t>https://www.hrpub.org/</w:t>
              </w:r>
            </w:hyperlink>
          </w:p>
          <w:p w14:paraId="141B9B4B"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r>
      <w:tr w:rsidR="003A457D" w:rsidRPr="003A457D" w14:paraId="6A503F40" w14:textId="77777777" w:rsidTr="00132335">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879" w:type="dxa"/>
          </w:tcPr>
          <w:p w14:paraId="5090AE23" w14:textId="77777777" w:rsidR="003A457D" w:rsidRPr="003A457D" w:rsidRDefault="003A457D" w:rsidP="003A457D">
            <w:pPr>
              <w:outlineLvl w:val="0"/>
              <w:rPr>
                <w:rFonts w:ascii="Garamond" w:hAnsi="Garamond"/>
              </w:rPr>
            </w:pPr>
            <w:r w:rsidRPr="003A457D">
              <w:rPr>
                <w:rFonts w:ascii="Garamond" w:hAnsi="Garamond"/>
              </w:rPr>
              <w:t>24</w:t>
            </w:r>
          </w:p>
        </w:tc>
        <w:tc>
          <w:tcPr>
            <w:tcW w:w="3049" w:type="dxa"/>
          </w:tcPr>
          <w:p w14:paraId="59755659"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color w:val="222222"/>
                <w:shd w:val="clear" w:color="auto" w:fill="FFFFFF"/>
              </w:rPr>
              <w:t>Systematic Reviews in Pharmacy</w:t>
            </w:r>
          </w:p>
        </w:tc>
        <w:tc>
          <w:tcPr>
            <w:tcW w:w="1524" w:type="dxa"/>
          </w:tcPr>
          <w:p w14:paraId="057E78D1"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r w:rsidRPr="003A457D">
              <w:rPr>
                <w:rFonts w:ascii="Garamond" w:hAnsi="Garamond"/>
              </w:rPr>
              <w:t>1</w:t>
            </w:r>
          </w:p>
        </w:tc>
        <w:tc>
          <w:tcPr>
            <w:tcW w:w="3514" w:type="dxa"/>
          </w:tcPr>
          <w:p w14:paraId="5FED8D4A"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rPr>
              <w:fldChar w:fldCharType="begin"/>
            </w:r>
            <w:r w:rsidRPr="003A457D">
              <w:rPr>
                <w:rFonts w:ascii="Garamond" w:hAnsi="Garamond"/>
              </w:rPr>
              <w:instrText xml:space="preserve"> HYPERLINK "https://www.sysrevpharm" </w:instrText>
            </w:r>
            <w:r w:rsidRPr="003A457D">
              <w:rPr>
                <w:rFonts w:ascii="Garamond" w:hAnsi="Garamond"/>
              </w:rPr>
              <w:fldChar w:fldCharType="separate"/>
            </w:r>
            <w:r w:rsidRPr="003A457D">
              <w:rPr>
                <w:rStyle w:val="Hyperlink"/>
                <w:rFonts w:ascii="Garamond" w:hAnsi="Garamond"/>
              </w:rPr>
              <w:t>https://www. rm</w:t>
            </w:r>
            <w:r w:rsidRPr="003A457D">
              <w:rPr>
                <w:rStyle w:val="Hyperlink"/>
                <w:rFonts w:ascii="Garamond" w:hAnsi="Garamond"/>
                <w:u w:val="none"/>
              </w:rPr>
              <w:fldChar w:fldCharType="end"/>
            </w:r>
          </w:p>
          <w:p w14:paraId="375245E5"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4472C4"/>
              </w:rPr>
            </w:pPr>
            <w:r w:rsidRPr="003A457D">
              <w:rPr>
                <w:rFonts w:ascii="Garamond" w:hAnsi="Garamond"/>
                <w:color w:val="4472C4"/>
              </w:rPr>
              <w:t>sysrevpha.org</w:t>
            </w:r>
          </w:p>
        </w:tc>
      </w:tr>
      <w:tr w:rsidR="003A457D" w:rsidRPr="003A457D" w14:paraId="3456BC63" w14:textId="77777777" w:rsidTr="00132335">
        <w:trPr>
          <w:trHeight w:val="725"/>
        </w:trPr>
        <w:tc>
          <w:tcPr>
            <w:cnfStyle w:val="001000000000" w:firstRow="0" w:lastRow="0" w:firstColumn="1" w:lastColumn="0" w:oddVBand="0" w:evenVBand="0" w:oddHBand="0" w:evenHBand="0" w:firstRowFirstColumn="0" w:firstRowLastColumn="0" w:lastRowFirstColumn="0" w:lastRowLastColumn="0"/>
            <w:tcW w:w="879" w:type="dxa"/>
          </w:tcPr>
          <w:p w14:paraId="23976B05" w14:textId="77777777" w:rsidR="003A457D" w:rsidRPr="003A457D" w:rsidRDefault="003A457D" w:rsidP="003A457D">
            <w:pPr>
              <w:outlineLvl w:val="0"/>
              <w:rPr>
                <w:rFonts w:ascii="Garamond" w:hAnsi="Garamond"/>
                <w:lang w:val="en-US"/>
              </w:rPr>
            </w:pPr>
            <w:r w:rsidRPr="003A457D">
              <w:rPr>
                <w:rFonts w:ascii="Garamond" w:hAnsi="Garamond"/>
                <w:lang w:val="en-US"/>
              </w:rPr>
              <w:t>25</w:t>
            </w:r>
          </w:p>
        </w:tc>
        <w:tc>
          <w:tcPr>
            <w:tcW w:w="3049" w:type="dxa"/>
          </w:tcPr>
          <w:p w14:paraId="02F16075"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color w:val="222222"/>
                <w:shd w:val="clear" w:color="auto" w:fill="FFFFFF"/>
              </w:rPr>
            </w:pPr>
            <w:r w:rsidRPr="003A457D">
              <w:rPr>
                <w:rFonts w:ascii="Garamond" w:hAnsi="Garamond"/>
                <w:color w:val="222222"/>
                <w:shd w:val="clear" w:color="auto" w:fill="FFFFFF"/>
              </w:rPr>
              <w:t>Applied Soft Computing</w:t>
            </w:r>
          </w:p>
        </w:tc>
        <w:tc>
          <w:tcPr>
            <w:tcW w:w="1524" w:type="dxa"/>
          </w:tcPr>
          <w:p w14:paraId="010E207B"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3A457D">
              <w:rPr>
                <w:rFonts w:ascii="Garamond" w:hAnsi="Garamond"/>
                <w:lang w:val="en-US"/>
              </w:rPr>
              <w:t>6</w:t>
            </w:r>
          </w:p>
        </w:tc>
        <w:tc>
          <w:tcPr>
            <w:tcW w:w="3514" w:type="dxa"/>
          </w:tcPr>
          <w:p w14:paraId="1600B61A" w14:textId="77777777" w:rsidR="003A457D" w:rsidRPr="003A457D" w:rsidRDefault="003A457D" w:rsidP="003A457D">
            <w:pPr>
              <w:outlineLvl w:val="0"/>
              <w:cnfStyle w:val="000000000000" w:firstRow="0" w:lastRow="0" w:firstColumn="0" w:lastColumn="0" w:oddVBand="0" w:evenVBand="0" w:oddHBand="0" w:evenHBand="0" w:firstRowFirstColumn="0" w:firstRowLastColumn="0" w:lastRowFirstColumn="0" w:lastRowLastColumn="0"/>
              <w:rPr>
                <w:rFonts w:ascii="Garamond" w:hAnsi="Garamond"/>
                <w:lang w:val="en-US"/>
              </w:rPr>
            </w:pPr>
            <w:hyperlink r:id="rId12" w:history="1">
              <w:r w:rsidRPr="003A457D">
                <w:rPr>
                  <w:rStyle w:val="Hyperlink"/>
                  <w:rFonts w:ascii="Garamond" w:hAnsi="Garamond"/>
                </w:rPr>
                <w:t>https://journals.elsevier.com/applied-soft-computing</w:t>
              </w:r>
            </w:hyperlink>
            <w:r w:rsidRPr="003A457D">
              <w:rPr>
                <w:rFonts w:ascii="Garamond" w:hAnsi="Garamond"/>
                <w:lang w:val="en-US"/>
              </w:rPr>
              <w:t>.</w:t>
            </w:r>
          </w:p>
        </w:tc>
      </w:tr>
      <w:tr w:rsidR="003A457D" w:rsidRPr="003A457D" w14:paraId="61E40A55" w14:textId="77777777" w:rsidTr="00132335">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879" w:type="dxa"/>
          </w:tcPr>
          <w:p w14:paraId="7E85EA79" w14:textId="77777777" w:rsidR="003A457D" w:rsidRPr="003A457D" w:rsidRDefault="003A457D" w:rsidP="003A457D">
            <w:pPr>
              <w:outlineLvl w:val="0"/>
              <w:rPr>
                <w:rFonts w:ascii="Garamond" w:hAnsi="Garamond"/>
                <w:lang w:val="en-US"/>
              </w:rPr>
            </w:pPr>
            <w:r w:rsidRPr="003A457D">
              <w:rPr>
                <w:rFonts w:ascii="Garamond" w:hAnsi="Garamond"/>
                <w:lang w:val="en-US"/>
              </w:rPr>
              <w:t>26</w:t>
            </w:r>
          </w:p>
        </w:tc>
        <w:tc>
          <w:tcPr>
            <w:tcW w:w="3049" w:type="dxa"/>
          </w:tcPr>
          <w:p w14:paraId="7281256E"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color w:val="222222"/>
                <w:shd w:val="clear" w:color="auto" w:fill="FFFFFF"/>
              </w:rPr>
            </w:pPr>
            <w:r w:rsidRPr="003A457D">
              <w:rPr>
                <w:rFonts w:ascii="Garamond" w:hAnsi="Garamond"/>
                <w:color w:val="222222"/>
                <w:shd w:val="clear" w:color="auto" w:fill="FFFFFF"/>
              </w:rPr>
              <w:t>Journal of Social Sciences</w:t>
            </w:r>
          </w:p>
        </w:tc>
        <w:tc>
          <w:tcPr>
            <w:tcW w:w="1524" w:type="dxa"/>
          </w:tcPr>
          <w:p w14:paraId="5F85E85E"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3A457D">
              <w:rPr>
                <w:rFonts w:ascii="Garamond" w:hAnsi="Garamond"/>
                <w:lang w:val="en-US"/>
              </w:rPr>
              <w:t>1</w:t>
            </w:r>
          </w:p>
        </w:tc>
        <w:tc>
          <w:tcPr>
            <w:tcW w:w="3514" w:type="dxa"/>
          </w:tcPr>
          <w:p w14:paraId="2F303E48"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hyperlink r:id="rId13" w:history="1">
              <w:r w:rsidRPr="003A457D">
                <w:rPr>
                  <w:rStyle w:val="Hyperlink"/>
                  <w:rFonts w:ascii="Garamond" w:hAnsi="Garamond"/>
                </w:rPr>
                <w:t>https://thescipub.com/jss</w:t>
              </w:r>
            </w:hyperlink>
          </w:p>
          <w:p w14:paraId="68D22BB7" w14:textId="77777777" w:rsidR="003A457D" w:rsidRPr="003A457D" w:rsidRDefault="003A457D" w:rsidP="003A457D">
            <w:pPr>
              <w:outlineLvl w:val="0"/>
              <w:cnfStyle w:val="000000100000" w:firstRow="0" w:lastRow="0" w:firstColumn="0" w:lastColumn="0" w:oddVBand="0" w:evenVBand="0" w:oddHBand="1" w:evenHBand="0" w:firstRowFirstColumn="0" w:firstRowLastColumn="0" w:lastRowFirstColumn="0" w:lastRowLastColumn="0"/>
              <w:rPr>
                <w:rFonts w:ascii="Garamond" w:hAnsi="Garamond"/>
              </w:rPr>
            </w:pPr>
          </w:p>
        </w:tc>
      </w:tr>
    </w:tbl>
    <w:p w14:paraId="046D4C94" w14:textId="77777777" w:rsidR="003A457D" w:rsidRPr="003A457D" w:rsidRDefault="003A457D" w:rsidP="003A457D">
      <w:pPr>
        <w:autoSpaceDE w:val="0"/>
        <w:autoSpaceDN w:val="0"/>
        <w:adjustRightInd w:val="0"/>
        <w:jc w:val="both"/>
        <w:rPr>
          <w:rFonts w:ascii="Garamond" w:hAnsi="Garamond"/>
          <w:sz w:val="24"/>
          <w:szCs w:val="24"/>
        </w:rPr>
      </w:pPr>
    </w:p>
    <w:p w14:paraId="701F7A3E" w14:textId="77777777" w:rsidR="003A457D" w:rsidRPr="003A457D" w:rsidRDefault="003A457D" w:rsidP="003A457D">
      <w:pPr>
        <w:autoSpaceDE w:val="0"/>
        <w:autoSpaceDN w:val="0"/>
        <w:adjustRightInd w:val="0"/>
        <w:jc w:val="both"/>
        <w:rPr>
          <w:rFonts w:ascii="Garamond" w:hAnsi="Garamond"/>
          <w:sz w:val="24"/>
          <w:szCs w:val="24"/>
        </w:rPr>
      </w:pPr>
      <w:r w:rsidRPr="003A457D">
        <w:rPr>
          <w:rFonts w:ascii="Garamond" w:hAnsi="Garamond"/>
          <w:sz w:val="24"/>
          <w:szCs w:val="24"/>
        </w:rPr>
        <w:t xml:space="preserve">Table 2 above shows that some journals listed in number 1 published numbers of papers (15 papers) in the Psychology and Education Journal. Then, each journal listed in number 2 was published (9 papers) by the </w:t>
      </w:r>
      <w:r w:rsidRPr="003A457D">
        <w:rPr>
          <w:rFonts w:ascii="Garamond" w:hAnsi="Garamond"/>
          <w:i/>
          <w:iCs/>
          <w:sz w:val="24"/>
          <w:szCs w:val="24"/>
          <w:shd w:val="clear" w:color="auto" w:fill="FFFFFF"/>
        </w:rPr>
        <w:t>Universal Journal of Educational Research</w:t>
      </w:r>
      <w:r w:rsidRPr="003A457D">
        <w:rPr>
          <w:rFonts w:ascii="Garamond" w:hAnsi="Garamond"/>
          <w:sz w:val="24"/>
          <w:szCs w:val="24"/>
        </w:rPr>
        <w:t xml:space="preserve">. </w:t>
      </w:r>
    </w:p>
    <w:p w14:paraId="02A18A5F" w14:textId="77777777" w:rsidR="003A457D" w:rsidRPr="003A457D" w:rsidRDefault="003A457D" w:rsidP="003A457D">
      <w:pPr>
        <w:autoSpaceDE w:val="0"/>
        <w:autoSpaceDN w:val="0"/>
        <w:adjustRightInd w:val="0"/>
        <w:jc w:val="both"/>
        <w:rPr>
          <w:rFonts w:ascii="Garamond" w:hAnsi="Garamond"/>
          <w:sz w:val="24"/>
          <w:szCs w:val="24"/>
        </w:rPr>
      </w:pPr>
    </w:p>
    <w:p w14:paraId="0A461D15" w14:textId="77777777" w:rsidR="003A457D" w:rsidRPr="003A457D" w:rsidRDefault="003A457D" w:rsidP="003A457D">
      <w:pPr>
        <w:autoSpaceDE w:val="0"/>
        <w:autoSpaceDN w:val="0"/>
        <w:adjustRightInd w:val="0"/>
        <w:jc w:val="both"/>
        <w:rPr>
          <w:rFonts w:ascii="Garamond" w:hAnsi="Garamond"/>
          <w:sz w:val="24"/>
          <w:szCs w:val="24"/>
        </w:rPr>
      </w:pPr>
      <w:r w:rsidRPr="003A457D">
        <w:rPr>
          <w:rFonts w:ascii="Garamond" w:hAnsi="Garamond"/>
          <w:i/>
          <w:iCs/>
          <w:sz w:val="24"/>
          <w:szCs w:val="24"/>
        </w:rPr>
        <w:t xml:space="preserve">Citation Amount-based Analysis (Citations Rates per Year) </w:t>
      </w:r>
    </w:p>
    <w:p w14:paraId="3ED65572" w14:textId="77777777" w:rsidR="003A457D" w:rsidRPr="003A457D" w:rsidRDefault="003A457D" w:rsidP="003A457D">
      <w:pPr>
        <w:autoSpaceDE w:val="0"/>
        <w:autoSpaceDN w:val="0"/>
        <w:adjustRightInd w:val="0"/>
        <w:jc w:val="both"/>
        <w:rPr>
          <w:rFonts w:ascii="Garamond" w:hAnsi="Garamond"/>
          <w:sz w:val="24"/>
          <w:szCs w:val="24"/>
        </w:rPr>
      </w:pPr>
      <w:r w:rsidRPr="003A457D">
        <w:rPr>
          <w:rFonts w:ascii="Garamond" w:hAnsi="Garamond"/>
          <w:sz w:val="24"/>
          <w:szCs w:val="24"/>
        </w:rPr>
        <w:t>Figure 2 depicts the citation numbers of articles in the flipped classroom. The citation pattern showed from 20</w:t>
      </w:r>
      <w:r w:rsidRPr="003A457D">
        <w:rPr>
          <w:rFonts w:ascii="Garamond" w:hAnsi="Garamond"/>
          <w:sz w:val="24"/>
          <w:szCs w:val="24"/>
          <w:lang w:val="en-US"/>
        </w:rPr>
        <w:t>12</w:t>
      </w:r>
      <w:r w:rsidRPr="003A457D">
        <w:rPr>
          <w:rFonts w:ascii="Garamond" w:hAnsi="Garamond"/>
          <w:sz w:val="24"/>
          <w:szCs w:val="24"/>
        </w:rPr>
        <w:t xml:space="preserve"> to 202</w:t>
      </w:r>
      <w:r w:rsidRPr="003A457D">
        <w:rPr>
          <w:rFonts w:ascii="Garamond" w:hAnsi="Garamond"/>
          <w:sz w:val="24"/>
          <w:szCs w:val="24"/>
          <w:lang w:val="en-US"/>
        </w:rPr>
        <w:t>2</w:t>
      </w:r>
      <w:r w:rsidRPr="003A457D">
        <w:rPr>
          <w:rFonts w:ascii="Garamond" w:hAnsi="Garamond"/>
          <w:sz w:val="24"/>
          <w:szCs w:val="24"/>
        </w:rPr>
        <w:t xml:space="preserve"> as follows: </w:t>
      </w:r>
    </w:p>
    <w:p w14:paraId="3F98C455" w14:textId="77777777" w:rsidR="003A457D" w:rsidRPr="003A457D" w:rsidRDefault="003A457D" w:rsidP="003A457D">
      <w:pPr>
        <w:autoSpaceDE w:val="0"/>
        <w:autoSpaceDN w:val="0"/>
        <w:adjustRightInd w:val="0"/>
        <w:jc w:val="both"/>
        <w:rPr>
          <w:rFonts w:ascii="Garamond" w:hAnsi="Garamond"/>
          <w:sz w:val="24"/>
          <w:szCs w:val="24"/>
        </w:rPr>
      </w:pPr>
    </w:p>
    <w:p w14:paraId="224552E6" w14:textId="39AE8A00" w:rsidR="003A457D" w:rsidRPr="003A457D" w:rsidRDefault="003A457D" w:rsidP="003A457D">
      <w:pPr>
        <w:autoSpaceDE w:val="0"/>
        <w:autoSpaceDN w:val="0"/>
        <w:adjustRightInd w:val="0"/>
        <w:jc w:val="both"/>
        <w:rPr>
          <w:rFonts w:ascii="Garamond" w:hAnsi="Garamond"/>
          <w:sz w:val="24"/>
          <w:szCs w:val="24"/>
        </w:rPr>
      </w:pPr>
      <w:r w:rsidRPr="003A457D">
        <w:rPr>
          <w:rFonts w:ascii="Garamond" w:hAnsi="Garamond"/>
          <w:noProof/>
          <w:sz w:val="24"/>
          <w:szCs w:val="24"/>
        </w:rPr>
        <w:lastRenderedPageBreak/>
        <w:drawing>
          <wp:inline distT="0" distB="0" distL="0" distR="0" wp14:anchorId="2B4BCDE8" wp14:editId="16271433">
            <wp:extent cx="5568950" cy="4502150"/>
            <wp:effectExtent l="0" t="0" r="0" b="0"/>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F72D4B" w14:textId="6E6F2A16" w:rsidR="003A457D" w:rsidRPr="003A457D" w:rsidRDefault="003A457D" w:rsidP="003A457D">
      <w:pPr>
        <w:autoSpaceDE w:val="0"/>
        <w:autoSpaceDN w:val="0"/>
        <w:adjustRightInd w:val="0"/>
        <w:jc w:val="both"/>
        <w:rPr>
          <w:rFonts w:ascii="Garamond" w:hAnsi="Garamond"/>
          <w:noProof/>
          <w:sz w:val="24"/>
          <w:szCs w:val="24"/>
        </w:rPr>
      </w:pPr>
      <w:r w:rsidRPr="003A457D">
        <w:rPr>
          <w:rFonts w:ascii="Garamond" w:hAnsi="Garamond"/>
          <w:noProof/>
          <w:sz w:val="24"/>
          <w:szCs w:val="24"/>
        </w:rPr>
        <w:t xml:space="preserve">Figure </w:t>
      </w:r>
      <w:r w:rsidRPr="003A457D">
        <w:rPr>
          <w:rFonts w:ascii="Garamond" w:hAnsi="Garamond"/>
          <w:noProof/>
          <w:sz w:val="24"/>
          <w:szCs w:val="24"/>
          <w:lang w:val="en-US"/>
        </w:rPr>
        <w:t>4</w:t>
      </w:r>
      <w:r w:rsidRPr="003A457D">
        <w:rPr>
          <w:rFonts w:ascii="Garamond" w:hAnsi="Garamond"/>
          <w:noProof/>
          <w:sz w:val="24"/>
          <w:szCs w:val="24"/>
        </w:rPr>
        <w:t>. Citation amount-based analysis</w:t>
      </w:r>
    </w:p>
    <w:p w14:paraId="71915DE0" w14:textId="77777777" w:rsidR="003A457D" w:rsidRPr="003A457D" w:rsidRDefault="003A457D" w:rsidP="003A457D">
      <w:pPr>
        <w:autoSpaceDE w:val="0"/>
        <w:autoSpaceDN w:val="0"/>
        <w:adjustRightInd w:val="0"/>
        <w:jc w:val="both"/>
        <w:rPr>
          <w:rFonts w:ascii="Garamond" w:hAnsi="Garamond"/>
          <w:sz w:val="24"/>
          <w:szCs w:val="24"/>
        </w:rPr>
      </w:pPr>
      <w:r w:rsidRPr="003A457D">
        <w:rPr>
          <w:rFonts w:ascii="Garamond" w:hAnsi="Garamond"/>
          <w:i/>
          <w:iCs/>
          <w:sz w:val="24"/>
          <w:szCs w:val="24"/>
        </w:rPr>
        <w:t xml:space="preserve">Top Ten Most Cited Articles </w:t>
      </w:r>
    </w:p>
    <w:p w14:paraId="70CB4D16" w14:textId="77777777" w:rsidR="003A457D" w:rsidRPr="003A457D" w:rsidRDefault="003A457D" w:rsidP="003A457D">
      <w:pPr>
        <w:autoSpaceDE w:val="0"/>
        <w:autoSpaceDN w:val="0"/>
        <w:adjustRightInd w:val="0"/>
        <w:jc w:val="both"/>
        <w:rPr>
          <w:rFonts w:ascii="Garamond" w:hAnsi="Garamond"/>
          <w:sz w:val="24"/>
          <w:szCs w:val="24"/>
        </w:rPr>
      </w:pPr>
      <w:r w:rsidRPr="003A457D">
        <w:rPr>
          <w:rFonts w:ascii="Garamond" w:hAnsi="Garamond"/>
          <w:sz w:val="24"/>
          <w:szCs w:val="24"/>
        </w:rPr>
        <w:t>Figure 4 shows the most frequently cited teaching and teacher education papers from 2012 to 2022. J Allen, L Rowan, P Singh's publications, which were published in 2020, received the most citations in the first series, with 115, followed by J Allen, L Rowan, P Singh, who received 315. Because they were greater than 200 and less than 300, the third and fourth sequences each earned significant citations. Meanwhile, the citations in the fifth through tenth places were similarly sufficient, more significant than 170 and fewer than 220.</w:t>
      </w:r>
    </w:p>
    <w:p w14:paraId="425948CB" w14:textId="77777777" w:rsidR="003A457D" w:rsidRPr="003A457D" w:rsidRDefault="003A457D" w:rsidP="003A457D">
      <w:pPr>
        <w:autoSpaceDE w:val="0"/>
        <w:autoSpaceDN w:val="0"/>
        <w:adjustRightInd w:val="0"/>
        <w:jc w:val="both"/>
        <w:rPr>
          <w:rFonts w:ascii="Garamond" w:hAnsi="Garamond"/>
          <w:sz w:val="24"/>
          <w:szCs w:val="24"/>
        </w:rPr>
      </w:pPr>
    </w:p>
    <w:p w14:paraId="764A5AB3" w14:textId="126F76E0" w:rsidR="003A457D" w:rsidRPr="003A457D" w:rsidRDefault="003A457D" w:rsidP="003A457D">
      <w:pPr>
        <w:autoSpaceDE w:val="0"/>
        <w:autoSpaceDN w:val="0"/>
        <w:adjustRightInd w:val="0"/>
        <w:jc w:val="both"/>
        <w:rPr>
          <w:rFonts w:ascii="Garamond" w:hAnsi="Garamond"/>
          <w:sz w:val="24"/>
          <w:szCs w:val="24"/>
          <w:lang w:val="en-US"/>
        </w:rPr>
      </w:pPr>
      <w:r w:rsidRPr="003A457D">
        <w:rPr>
          <w:rFonts w:ascii="Garamond" w:hAnsi="Garamond"/>
          <w:sz w:val="24"/>
          <w:szCs w:val="24"/>
        </w:rPr>
        <w:t xml:space="preserve">Table 3. The Top Most Cited Articles of the term of the phases of the systematic process </w:t>
      </w:r>
      <w:r w:rsidRPr="003A457D">
        <w:rPr>
          <w:rFonts w:ascii="Garamond" w:hAnsi="Garamond"/>
          <w:sz w:val="24"/>
          <w:szCs w:val="24"/>
          <w:lang w:val="en-US"/>
        </w:rPr>
        <w:t>of ‘</w:t>
      </w:r>
      <w:r w:rsidRPr="003A457D">
        <w:rPr>
          <w:rFonts w:ascii="Garamond" w:hAnsi="Garamond"/>
          <w:i/>
          <w:iCs/>
          <w:sz w:val="24"/>
          <w:szCs w:val="24"/>
          <w:lang w:val="en-US"/>
        </w:rPr>
        <w:t xml:space="preserve">learning </w:t>
      </w:r>
      <w:r w:rsidR="00EF571C" w:rsidRPr="003A457D">
        <w:rPr>
          <w:rFonts w:ascii="Garamond" w:hAnsi="Garamond"/>
          <w:i/>
          <w:iCs/>
          <w:sz w:val="24"/>
          <w:szCs w:val="24"/>
          <w:lang w:val="en-US"/>
        </w:rPr>
        <w:t xml:space="preserve">method” </w:t>
      </w:r>
      <w:r w:rsidR="00EF571C" w:rsidRPr="003A457D">
        <w:rPr>
          <w:rFonts w:ascii="Garamond" w:hAnsi="Garamond"/>
          <w:sz w:val="24"/>
          <w:szCs w:val="24"/>
          <w:lang w:val="en-US"/>
        </w:rPr>
        <w:t>in</w:t>
      </w:r>
      <w:r w:rsidRPr="003A457D">
        <w:rPr>
          <w:rFonts w:ascii="Garamond" w:hAnsi="Garamond"/>
          <w:sz w:val="24"/>
          <w:szCs w:val="24"/>
          <w:lang w:val="en-US"/>
        </w:rPr>
        <w:t xml:space="preserve"> the year 2012-2022. </w:t>
      </w:r>
    </w:p>
    <w:p w14:paraId="1D8685C2" w14:textId="77777777" w:rsidR="003A457D" w:rsidRPr="003A457D" w:rsidRDefault="003A457D" w:rsidP="003A457D">
      <w:pPr>
        <w:autoSpaceDE w:val="0"/>
        <w:autoSpaceDN w:val="0"/>
        <w:adjustRightInd w:val="0"/>
        <w:jc w:val="both"/>
        <w:rPr>
          <w:rFonts w:ascii="Garamond" w:hAnsi="Garamond"/>
          <w:color w:val="000000"/>
          <w:sz w:val="24"/>
          <w:szCs w:val="24"/>
        </w:rPr>
      </w:pPr>
    </w:p>
    <w:p w14:paraId="4CC61959" w14:textId="77777777" w:rsidR="003A457D" w:rsidRPr="003A457D" w:rsidRDefault="003A457D" w:rsidP="003A457D">
      <w:pPr>
        <w:autoSpaceDE w:val="0"/>
        <w:autoSpaceDN w:val="0"/>
        <w:adjustRightInd w:val="0"/>
        <w:ind w:left="-270"/>
        <w:jc w:val="both"/>
        <w:rPr>
          <w:rFonts w:ascii="Garamond" w:hAnsi="Garamond"/>
          <w:color w:val="000000"/>
          <w:sz w:val="24"/>
          <w:szCs w:val="24"/>
        </w:rPr>
      </w:pPr>
      <w:r w:rsidRPr="003A457D">
        <w:rPr>
          <w:rFonts w:ascii="Garamond" w:hAnsi="Garamond"/>
          <w:noProof/>
          <w:sz w:val="24"/>
          <w:szCs w:val="24"/>
        </w:rPr>
        <w:lastRenderedPageBreak/>
        <w:drawing>
          <wp:inline distT="0" distB="0" distL="0" distR="0" wp14:anchorId="743EB6F9" wp14:editId="24FE757B">
            <wp:extent cx="5900420" cy="3523129"/>
            <wp:effectExtent l="152400" t="152400" r="367030" b="3632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06285" cy="3526631"/>
                    </a:xfrm>
                    <a:prstGeom prst="rect">
                      <a:avLst/>
                    </a:prstGeom>
                    <a:ln>
                      <a:noFill/>
                    </a:ln>
                    <a:effectLst>
                      <a:outerShdw blurRad="292100" dist="139700" dir="2700000" algn="tl" rotWithShape="0">
                        <a:srgbClr val="333333">
                          <a:alpha val="65000"/>
                        </a:srgbClr>
                      </a:outerShdw>
                    </a:effectLst>
                  </pic:spPr>
                </pic:pic>
              </a:graphicData>
            </a:graphic>
          </wp:inline>
        </w:drawing>
      </w:r>
    </w:p>
    <w:p w14:paraId="66C75C2C" w14:textId="77777777" w:rsidR="003A457D" w:rsidRPr="003A457D" w:rsidRDefault="003A457D" w:rsidP="003A457D">
      <w:pPr>
        <w:autoSpaceDE w:val="0"/>
        <w:autoSpaceDN w:val="0"/>
        <w:adjustRightInd w:val="0"/>
        <w:jc w:val="both"/>
        <w:rPr>
          <w:rFonts w:ascii="Garamond" w:hAnsi="Garamond"/>
          <w:i/>
          <w:iCs/>
          <w:color w:val="000000"/>
          <w:sz w:val="24"/>
          <w:szCs w:val="24"/>
        </w:rPr>
      </w:pPr>
    </w:p>
    <w:p w14:paraId="0927F2F5" w14:textId="77777777" w:rsidR="003A457D" w:rsidRPr="003A457D" w:rsidRDefault="003A457D" w:rsidP="003A457D">
      <w:pPr>
        <w:autoSpaceDE w:val="0"/>
        <w:autoSpaceDN w:val="0"/>
        <w:adjustRightInd w:val="0"/>
        <w:jc w:val="both"/>
        <w:rPr>
          <w:rFonts w:ascii="Garamond" w:hAnsi="Garamond"/>
          <w:sz w:val="24"/>
          <w:szCs w:val="24"/>
          <w:lang w:val="en-US"/>
        </w:rPr>
      </w:pPr>
      <w:r w:rsidRPr="003A457D">
        <w:rPr>
          <w:rFonts w:ascii="Garamond" w:hAnsi="Garamond"/>
          <w:sz w:val="24"/>
          <w:szCs w:val="24"/>
        </w:rPr>
        <w:t xml:space="preserve">Table 3 shows that Zheng published two papers with significant impact </w:t>
      </w:r>
      <w:r w:rsidRPr="003A457D">
        <w:rPr>
          <w:rFonts w:ascii="Garamond" w:hAnsi="Garamond"/>
          <w:sz w:val="24"/>
          <w:szCs w:val="24"/>
          <w:lang w:val="en-US"/>
        </w:rPr>
        <w:t xml:space="preserve">in 2017 as Top citations (1566).  </w:t>
      </w:r>
    </w:p>
    <w:p w14:paraId="5CA054DA" w14:textId="77777777" w:rsidR="003A457D" w:rsidRPr="003A457D" w:rsidRDefault="003A457D" w:rsidP="003A457D">
      <w:pPr>
        <w:autoSpaceDE w:val="0"/>
        <w:autoSpaceDN w:val="0"/>
        <w:adjustRightInd w:val="0"/>
        <w:jc w:val="both"/>
        <w:rPr>
          <w:rFonts w:ascii="Garamond" w:hAnsi="Garamond"/>
          <w:sz w:val="24"/>
          <w:szCs w:val="24"/>
        </w:rPr>
      </w:pPr>
    </w:p>
    <w:p w14:paraId="0DE423B6" w14:textId="77777777" w:rsidR="003A457D" w:rsidRPr="003A457D" w:rsidRDefault="003A457D" w:rsidP="003A457D">
      <w:pPr>
        <w:autoSpaceDE w:val="0"/>
        <w:autoSpaceDN w:val="0"/>
        <w:adjustRightInd w:val="0"/>
        <w:jc w:val="both"/>
        <w:rPr>
          <w:rFonts w:ascii="Garamond" w:hAnsi="Garamond"/>
          <w:color w:val="000000"/>
          <w:sz w:val="24"/>
          <w:szCs w:val="24"/>
        </w:rPr>
      </w:pPr>
      <w:r w:rsidRPr="003A457D">
        <w:rPr>
          <w:rFonts w:ascii="Garamond" w:hAnsi="Garamond"/>
          <w:i/>
          <w:iCs/>
          <w:color w:val="000000"/>
          <w:sz w:val="24"/>
          <w:szCs w:val="24"/>
        </w:rPr>
        <w:t xml:space="preserve">Author Keyword-based Analysis </w:t>
      </w:r>
    </w:p>
    <w:p w14:paraId="043AC1E8" w14:textId="77777777" w:rsidR="003A457D" w:rsidRPr="003A457D" w:rsidRDefault="003A457D" w:rsidP="003A457D">
      <w:pPr>
        <w:shd w:val="clear" w:color="auto" w:fill="FFFFFF"/>
        <w:spacing w:before="100" w:beforeAutospacing="1" w:after="100" w:afterAutospacing="1"/>
        <w:jc w:val="both"/>
        <w:outlineLvl w:val="0"/>
        <w:rPr>
          <w:rFonts w:ascii="Garamond" w:hAnsi="Garamond"/>
          <w:color w:val="000000"/>
          <w:sz w:val="24"/>
          <w:szCs w:val="24"/>
        </w:rPr>
      </w:pPr>
      <w:r w:rsidRPr="003A457D">
        <w:rPr>
          <w:rFonts w:ascii="Garamond" w:hAnsi="Garamond"/>
          <w:sz w:val="24"/>
          <w:szCs w:val="24"/>
        </w:rPr>
        <w:t>The author keyword analysis was performed using the VOS viewer program for the phases of the systematic process in establishing a successful Learning Method</w:t>
      </w:r>
      <w:r w:rsidRPr="003A457D">
        <w:rPr>
          <w:rFonts w:ascii="Garamond" w:hAnsi="Garamond"/>
          <w:sz w:val="24"/>
          <w:szCs w:val="24"/>
          <w:lang w:val="en-US"/>
        </w:rPr>
        <w:t>”</w:t>
      </w:r>
      <w:r w:rsidRPr="003A457D">
        <w:rPr>
          <w:rFonts w:ascii="Garamond" w:hAnsi="Garamond"/>
          <w:sz w:val="24"/>
          <w:szCs w:val="24"/>
        </w:rPr>
        <w:t>. The 3</w:t>
      </w:r>
      <w:r w:rsidRPr="003A457D">
        <w:rPr>
          <w:rFonts w:ascii="Garamond" w:hAnsi="Garamond"/>
          <w:sz w:val="24"/>
          <w:szCs w:val="24"/>
          <w:lang w:val="en-US"/>
        </w:rPr>
        <w:t>25</w:t>
      </w:r>
      <w:r w:rsidRPr="003A457D">
        <w:rPr>
          <w:rFonts w:ascii="Garamond" w:hAnsi="Garamond"/>
          <w:sz w:val="24"/>
          <w:szCs w:val="24"/>
        </w:rPr>
        <w:t xml:space="preserve"> author keywords were grouped into 12 clusters, each with a distinct hue.</w:t>
      </w:r>
      <w:r w:rsidRPr="003A457D">
        <w:rPr>
          <w:rFonts w:ascii="Garamond" w:hAnsi="Garamond"/>
          <w:color w:val="000000"/>
          <w:sz w:val="24"/>
          <w:szCs w:val="24"/>
        </w:rPr>
        <w:t xml:space="preserve"> Cluster 1 (red) consists of 27 items, cluster 2 (green) consists of 15 items, cluster 3 (blue) consists of 12 items, cluster 4 (yellow) consists of 16 items, cluster 5 (purple) consists of 1</w:t>
      </w:r>
      <w:r w:rsidRPr="003A457D">
        <w:rPr>
          <w:rFonts w:ascii="Garamond" w:hAnsi="Garamond"/>
          <w:color w:val="000000"/>
          <w:sz w:val="24"/>
          <w:szCs w:val="24"/>
          <w:lang w:val="en-US"/>
        </w:rPr>
        <w:t>9</w:t>
      </w:r>
      <w:r w:rsidRPr="003A457D">
        <w:rPr>
          <w:rFonts w:ascii="Garamond" w:hAnsi="Garamond"/>
          <w:color w:val="000000"/>
          <w:sz w:val="24"/>
          <w:szCs w:val="24"/>
        </w:rPr>
        <w:t xml:space="preserve"> items, cluster 6 (aqua) consists of 1</w:t>
      </w:r>
      <w:r w:rsidRPr="003A457D">
        <w:rPr>
          <w:rFonts w:ascii="Garamond" w:hAnsi="Garamond"/>
          <w:color w:val="000000"/>
          <w:sz w:val="24"/>
          <w:szCs w:val="24"/>
          <w:lang w:val="en-US"/>
        </w:rPr>
        <w:t>8</w:t>
      </w:r>
      <w:r w:rsidRPr="003A457D">
        <w:rPr>
          <w:rFonts w:ascii="Garamond" w:hAnsi="Garamond"/>
          <w:color w:val="000000"/>
          <w:sz w:val="24"/>
          <w:szCs w:val="24"/>
        </w:rPr>
        <w:t xml:space="preserve"> items, cluster 7 (orange) consists of 14 items, cluster </w:t>
      </w:r>
      <w:r w:rsidRPr="003A457D">
        <w:rPr>
          <w:rFonts w:ascii="Garamond" w:hAnsi="Garamond"/>
          <w:color w:val="000000"/>
          <w:sz w:val="24"/>
          <w:szCs w:val="24"/>
          <w:lang w:val="en-US"/>
        </w:rPr>
        <w:t>9</w:t>
      </w:r>
      <w:r w:rsidRPr="003A457D">
        <w:rPr>
          <w:rFonts w:ascii="Garamond" w:hAnsi="Garamond"/>
          <w:color w:val="000000"/>
          <w:sz w:val="24"/>
          <w:szCs w:val="24"/>
        </w:rPr>
        <w:t xml:space="preserve"> (brown) consists of 1</w:t>
      </w:r>
      <w:r w:rsidRPr="003A457D">
        <w:rPr>
          <w:rFonts w:ascii="Garamond" w:hAnsi="Garamond"/>
          <w:color w:val="000000"/>
          <w:sz w:val="24"/>
          <w:szCs w:val="24"/>
          <w:lang w:val="en-US"/>
        </w:rPr>
        <w:t>9</w:t>
      </w:r>
      <w:r w:rsidRPr="003A457D">
        <w:rPr>
          <w:rFonts w:ascii="Garamond" w:hAnsi="Garamond"/>
          <w:color w:val="000000"/>
          <w:sz w:val="24"/>
          <w:szCs w:val="24"/>
        </w:rPr>
        <w:t xml:space="preserve"> items, cluster 9 (pink) consists of 1</w:t>
      </w:r>
      <w:r w:rsidRPr="003A457D">
        <w:rPr>
          <w:rFonts w:ascii="Garamond" w:hAnsi="Garamond"/>
          <w:color w:val="000000"/>
          <w:sz w:val="24"/>
          <w:szCs w:val="24"/>
          <w:lang w:val="en-US"/>
        </w:rPr>
        <w:t>3</w:t>
      </w:r>
      <w:r w:rsidRPr="003A457D">
        <w:rPr>
          <w:rFonts w:ascii="Garamond" w:hAnsi="Garamond"/>
          <w:color w:val="000000"/>
          <w:sz w:val="24"/>
          <w:szCs w:val="24"/>
        </w:rPr>
        <w:t xml:space="preserve"> items, cluster 13 (salmon) consists of 15 items, cluster 11 (lime) consists of 15 item, and cluster 10 (</w:t>
      </w:r>
      <w:proofErr w:type="spellStart"/>
      <w:r w:rsidRPr="003A457D">
        <w:rPr>
          <w:rFonts w:ascii="Garamond" w:hAnsi="Garamond"/>
          <w:color w:val="000000"/>
          <w:sz w:val="24"/>
          <w:szCs w:val="24"/>
        </w:rPr>
        <w:t>gray</w:t>
      </w:r>
      <w:proofErr w:type="spellEnd"/>
      <w:r w:rsidRPr="003A457D">
        <w:rPr>
          <w:rFonts w:ascii="Garamond" w:hAnsi="Garamond"/>
          <w:color w:val="000000"/>
          <w:sz w:val="24"/>
          <w:szCs w:val="24"/>
        </w:rPr>
        <w:t>) consists of 8 items.</w:t>
      </w:r>
    </w:p>
    <w:p w14:paraId="5D2D8B04"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73AF8F6"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C6DCD68"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4B6DF907"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54F77143"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3C0EA83" w14:textId="77777777" w:rsidR="003A457D" w:rsidRPr="003A457D" w:rsidRDefault="003A457D" w:rsidP="003A457D">
      <w:pPr>
        <w:shd w:val="clear" w:color="auto" w:fill="FFFFFF"/>
        <w:spacing w:before="100" w:beforeAutospacing="1" w:after="100" w:afterAutospacing="1"/>
        <w:jc w:val="both"/>
        <w:outlineLvl w:val="0"/>
        <w:rPr>
          <w:rFonts w:ascii="Garamond" w:hAnsi="Garamond"/>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0AF16EE5" w14:textId="77777777" w:rsidR="003A457D" w:rsidRPr="003A457D" w:rsidRDefault="003A457D" w:rsidP="003A457D">
      <w:pPr>
        <w:shd w:val="clear" w:color="auto" w:fill="FFFFFF"/>
        <w:spacing w:before="100" w:beforeAutospacing="1" w:after="100" w:afterAutospacing="1"/>
        <w:jc w:val="both"/>
        <w:outlineLvl w:val="0"/>
        <w:rPr>
          <w:rFonts w:ascii="Garamond" w:hAnsi="Garamond"/>
          <w:color w:val="000000"/>
          <w:sz w:val="24"/>
          <w:szCs w:val="24"/>
        </w:rPr>
      </w:pPr>
      <w:r w:rsidRPr="003A457D">
        <w:rPr>
          <w:rFonts w:ascii="Garamond" w:hAnsi="Garamond"/>
          <w:noProof/>
          <w:sz w:val="24"/>
          <w:szCs w:val="24"/>
        </w:rPr>
        <w:drawing>
          <wp:inline distT="0" distB="0" distL="0" distR="0" wp14:anchorId="50EDAF72" wp14:editId="4970985B">
            <wp:extent cx="5900420" cy="5571565"/>
            <wp:effectExtent l="76200" t="76200" r="138430" b="1244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02770" cy="55737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380FB8" w14:textId="77777777" w:rsidR="003A457D" w:rsidRPr="003A457D" w:rsidRDefault="003A457D" w:rsidP="003A457D">
      <w:pPr>
        <w:autoSpaceDE w:val="0"/>
        <w:autoSpaceDN w:val="0"/>
        <w:adjustRightInd w:val="0"/>
        <w:jc w:val="both"/>
        <w:rPr>
          <w:rFonts w:ascii="Garamond" w:hAnsi="Garamond"/>
          <w:color w:val="000000"/>
          <w:sz w:val="24"/>
          <w:szCs w:val="24"/>
        </w:rPr>
      </w:pPr>
      <w:r w:rsidRPr="003A457D">
        <w:rPr>
          <w:rFonts w:ascii="Garamond" w:hAnsi="Garamond"/>
          <w:noProof/>
          <w:sz w:val="24"/>
          <w:szCs w:val="24"/>
        </w:rPr>
        <w:t xml:space="preserve">Figure </w:t>
      </w:r>
      <w:r w:rsidRPr="003A457D">
        <w:rPr>
          <w:rFonts w:ascii="Garamond" w:hAnsi="Garamond"/>
          <w:noProof/>
          <w:sz w:val="24"/>
          <w:szCs w:val="24"/>
          <w:lang w:val="en-US"/>
        </w:rPr>
        <w:t>5</w:t>
      </w:r>
      <w:r w:rsidRPr="003A457D">
        <w:rPr>
          <w:rFonts w:ascii="Garamond" w:hAnsi="Garamond"/>
          <w:noProof/>
          <w:sz w:val="24"/>
          <w:szCs w:val="24"/>
        </w:rPr>
        <w:t xml:space="preserve">. </w:t>
      </w:r>
      <w:r w:rsidRPr="003A457D">
        <w:rPr>
          <w:rFonts w:ascii="Garamond" w:hAnsi="Garamond"/>
          <w:i/>
          <w:iCs/>
          <w:color w:val="000000"/>
          <w:sz w:val="24"/>
          <w:szCs w:val="24"/>
        </w:rPr>
        <w:t>Author Keyword-based Analysis</w:t>
      </w:r>
    </w:p>
    <w:p w14:paraId="60BFFF73" w14:textId="77777777" w:rsidR="003A457D" w:rsidRPr="003A457D" w:rsidRDefault="003A457D" w:rsidP="003A457D">
      <w:pPr>
        <w:autoSpaceDE w:val="0"/>
        <w:autoSpaceDN w:val="0"/>
        <w:adjustRightInd w:val="0"/>
        <w:jc w:val="both"/>
        <w:rPr>
          <w:rFonts w:ascii="Garamond" w:hAnsi="Garamond"/>
          <w:color w:val="000000"/>
          <w:sz w:val="24"/>
          <w:szCs w:val="24"/>
        </w:rPr>
      </w:pPr>
    </w:p>
    <w:p w14:paraId="40B7D77D" w14:textId="77777777" w:rsidR="003A457D" w:rsidRPr="003A457D" w:rsidRDefault="003A457D" w:rsidP="003A457D">
      <w:pPr>
        <w:autoSpaceDE w:val="0"/>
        <w:autoSpaceDN w:val="0"/>
        <w:adjustRightInd w:val="0"/>
        <w:jc w:val="both"/>
        <w:rPr>
          <w:rFonts w:ascii="Garamond" w:hAnsi="Garamond"/>
          <w:color w:val="000000"/>
          <w:sz w:val="24"/>
          <w:szCs w:val="24"/>
        </w:rPr>
      </w:pPr>
      <w:r w:rsidRPr="003A457D">
        <w:rPr>
          <w:rFonts w:ascii="Garamond" w:hAnsi="Garamond"/>
          <w:i/>
          <w:iCs/>
          <w:color w:val="000000"/>
          <w:sz w:val="24"/>
          <w:szCs w:val="24"/>
        </w:rPr>
        <w:t xml:space="preserve">Author Collaboration-based Analysis </w:t>
      </w:r>
    </w:p>
    <w:p w14:paraId="67D2A1C9" w14:textId="77777777" w:rsidR="003A457D" w:rsidRPr="003A457D" w:rsidRDefault="003A457D" w:rsidP="003A457D">
      <w:pPr>
        <w:jc w:val="both"/>
        <w:rPr>
          <w:rFonts w:ascii="Garamond" w:hAnsi="Garamond"/>
          <w:sz w:val="24"/>
          <w:szCs w:val="24"/>
        </w:rPr>
      </w:pPr>
      <w:r w:rsidRPr="003A457D">
        <w:rPr>
          <w:rFonts w:ascii="Garamond" w:hAnsi="Garamond"/>
          <w:color w:val="000000"/>
          <w:sz w:val="24"/>
          <w:szCs w:val="24"/>
        </w:rPr>
        <w:t xml:space="preserve">The findings of an author cooperation study utilizing </w:t>
      </w:r>
      <w:proofErr w:type="spellStart"/>
      <w:r w:rsidRPr="003A457D">
        <w:rPr>
          <w:rFonts w:ascii="Garamond" w:hAnsi="Garamond"/>
          <w:color w:val="000000"/>
          <w:sz w:val="24"/>
          <w:szCs w:val="24"/>
        </w:rPr>
        <w:t>VOSViewer</w:t>
      </w:r>
      <w:proofErr w:type="spellEnd"/>
      <w:r w:rsidRPr="003A457D">
        <w:rPr>
          <w:rFonts w:ascii="Garamond" w:hAnsi="Garamond"/>
          <w:color w:val="000000"/>
          <w:sz w:val="24"/>
          <w:szCs w:val="24"/>
        </w:rPr>
        <w:t xml:space="preserve"> with the number of instances of at least one document from 9</w:t>
      </w:r>
      <w:r w:rsidRPr="003A457D">
        <w:rPr>
          <w:rFonts w:ascii="Garamond" w:hAnsi="Garamond"/>
          <w:color w:val="000000"/>
          <w:sz w:val="24"/>
          <w:szCs w:val="24"/>
          <w:lang w:val="en-US"/>
        </w:rPr>
        <w:t>98</w:t>
      </w:r>
      <w:r w:rsidRPr="003A457D">
        <w:rPr>
          <w:rFonts w:ascii="Garamond" w:hAnsi="Garamond"/>
          <w:color w:val="000000"/>
          <w:sz w:val="24"/>
          <w:szCs w:val="24"/>
        </w:rPr>
        <w:t xml:space="preserve"> writers yielded six significantly related authors. Each </w:t>
      </w:r>
      <w:r w:rsidRPr="003A457D">
        <w:rPr>
          <w:rFonts w:ascii="Garamond" w:hAnsi="Garamond"/>
          <w:color w:val="000000"/>
          <w:sz w:val="24"/>
          <w:szCs w:val="24"/>
        </w:rPr>
        <w:lastRenderedPageBreak/>
        <w:t>contributor was given five links and one document. Author cooperation was organized into one cluster (red) of five entries. Figure 5 depicts the author's collaboration pattern.</w:t>
      </w:r>
      <w:r w:rsidRPr="003A457D">
        <w:rPr>
          <w:rFonts w:ascii="Garamond" w:hAnsi="Garamond"/>
          <w:color w:val="000000"/>
          <w:sz w:val="24"/>
          <w:szCs w:val="24"/>
          <w:lang w:val="en-US"/>
        </w:rPr>
        <w:t xml:space="preserve"> </w:t>
      </w:r>
      <w:r w:rsidRPr="003A457D">
        <w:rPr>
          <w:rFonts w:ascii="Garamond" w:hAnsi="Garamond"/>
          <w:sz w:val="24"/>
          <w:szCs w:val="24"/>
        </w:rPr>
        <w:t>Reference date: 2022-05-05 15:51:01 -0700</w:t>
      </w:r>
      <w:r w:rsidRPr="003A457D">
        <w:rPr>
          <w:rFonts w:ascii="Garamond" w:hAnsi="Garamond"/>
          <w:sz w:val="24"/>
          <w:szCs w:val="24"/>
          <w:lang w:val="en-US"/>
        </w:rPr>
        <w:t xml:space="preserve">, </w:t>
      </w:r>
      <w:r w:rsidRPr="003A457D">
        <w:rPr>
          <w:rFonts w:ascii="Garamond" w:hAnsi="Garamond"/>
          <w:sz w:val="24"/>
          <w:szCs w:val="24"/>
        </w:rPr>
        <w:t>Publication years: 2012-2022</w:t>
      </w:r>
      <w:r w:rsidRPr="003A457D">
        <w:rPr>
          <w:rFonts w:ascii="Garamond" w:hAnsi="Garamond"/>
          <w:sz w:val="24"/>
          <w:szCs w:val="24"/>
          <w:lang w:val="en-US"/>
        </w:rPr>
        <w:t>,</w:t>
      </w:r>
      <w:r w:rsidRPr="003A457D">
        <w:rPr>
          <w:rFonts w:ascii="Garamond" w:hAnsi="Garamond"/>
          <w:sz w:val="24"/>
          <w:szCs w:val="24"/>
        </w:rPr>
        <w:t>Citation years: 10 (2012-2022)</w:t>
      </w:r>
      <w:r w:rsidRPr="003A457D">
        <w:rPr>
          <w:rFonts w:ascii="Garamond" w:hAnsi="Garamond"/>
          <w:sz w:val="24"/>
          <w:szCs w:val="24"/>
          <w:lang w:val="en-US"/>
        </w:rPr>
        <w:t xml:space="preserve">, </w:t>
      </w:r>
      <w:r w:rsidRPr="003A457D">
        <w:rPr>
          <w:rFonts w:ascii="Garamond" w:hAnsi="Garamond"/>
          <w:sz w:val="24"/>
          <w:szCs w:val="24"/>
        </w:rPr>
        <w:t>Papers: 998</w:t>
      </w:r>
      <w:r w:rsidRPr="003A457D">
        <w:rPr>
          <w:rFonts w:ascii="Garamond" w:hAnsi="Garamond"/>
          <w:sz w:val="24"/>
          <w:szCs w:val="24"/>
          <w:lang w:val="en-US"/>
        </w:rPr>
        <w:t xml:space="preserve">, </w:t>
      </w:r>
      <w:r w:rsidRPr="003A457D">
        <w:rPr>
          <w:rFonts w:ascii="Garamond" w:hAnsi="Garamond"/>
          <w:sz w:val="24"/>
          <w:szCs w:val="24"/>
        </w:rPr>
        <w:t>Citations: 38375</w:t>
      </w:r>
      <w:r w:rsidRPr="003A457D">
        <w:rPr>
          <w:rFonts w:ascii="Garamond" w:hAnsi="Garamond"/>
          <w:sz w:val="24"/>
          <w:szCs w:val="24"/>
          <w:lang w:val="en-US"/>
        </w:rPr>
        <w:t xml:space="preserve">, </w:t>
      </w:r>
      <w:r w:rsidRPr="003A457D">
        <w:rPr>
          <w:rFonts w:ascii="Garamond" w:hAnsi="Garamond"/>
          <w:sz w:val="24"/>
          <w:szCs w:val="24"/>
        </w:rPr>
        <w:t>Citations/year: 3837.50 (acc1=996, acc2=977, acc5=717, acc10=368, acc20=138)</w:t>
      </w:r>
      <w:r w:rsidRPr="003A457D">
        <w:rPr>
          <w:rFonts w:ascii="Garamond" w:hAnsi="Garamond"/>
          <w:sz w:val="24"/>
          <w:szCs w:val="24"/>
          <w:lang w:val="en-US"/>
        </w:rPr>
        <w:t xml:space="preserve">, </w:t>
      </w:r>
      <w:r w:rsidRPr="003A457D">
        <w:rPr>
          <w:rFonts w:ascii="Garamond" w:hAnsi="Garamond"/>
          <w:sz w:val="24"/>
          <w:szCs w:val="24"/>
        </w:rPr>
        <w:t>Citations/paper: 38.45</w:t>
      </w:r>
      <w:r w:rsidRPr="003A457D">
        <w:rPr>
          <w:rFonts w:ascii="Garamond" w:hAnsi="Garamond"/>
          <w:sz w:val="24"/>
          <w:szCs w:val="24"/>
          <w:lang w:val="en-US"/>
        </w:rPr>
        <w:t xml:space="preserve">, </w:t>
      </w:r>
      <w:r w:rsidRPr="003A457D">
        <w:rPr>
          <w:rFonts w:ascii="Garamond" w:hAnsi="Garamond"/>
          <w:b/>
          <w:bCs/>
          <w:sz w:val="24"/>
          <w:szCs w:val="24"/>
        </w:rPr>
        <w:t>Authors/paper:</w:t>
      </w:r>
      <w:r w:rsidRPr="003A457D">
        <w:rPr>
          <w:rFonts w:ascii="Garamond" w:hAnsi="Garamond"/>
          <w:sz w:val="24"/>
          <w:szCs w:val="24"/>
        </w:rPr>
        <w:t xml:space="preserve"> 3.90/4.0/4 (mean/median/mode)</w:t>
      </w:r>
      <w:r w:rsidRPr="003A457D">
        <w:rPr>
          <w:rFonts w:ascii="Garamond" w:hAnsi="Garamond"/>
          <w:sz w:val="24"/>
          <w:szCs w:val="24"/>
          <w:lang w:val="en-US"/>
        </w:rPr>
        <w:t xml:space="preserve">, </w:t>
      </w:r>
      <w:r w:rsidRPr="003A457D">
        <w:rPr>
          <w:rFonts w:ascii="Garamond" w:hAnsi="Garamond"/>
          <w:sz w:val="24"/>
          <w:szCs w:val="24"/>
        </w:rPr>
        <w:t>Age-weighted citation rate: 11472.01 (sqrt=107.11), 3624.75/author</w:t>
      </w:r>
      <w:r w:rsidRPr="003A457D">
        <w:rPr>
          <w:rFonts w:ascii="Garamond" w:hAnsi="Garamond"/>
          <w:sz w:val="24"/>
          <w:szCs w:val="24"/>
          <w:lang w:val="en-US"/>
        </w:rPr>
        <w:t xml:space="preserve">, </w:t>
      </w:r>
      <w:r w:rsidRPr="003A457D">
        <w:rPr>
          <w:rFonts w:ascii="Garamond" w:hAnsi="Garamond"/>
          <w:sz w:val="24"/>
          <w:szCs w:val="24"/>
        </w:rPr>
        <w:t>Hirsch h-index: 87 (a=5.07, m=8.70, 15937 cites=41.5% coverage)</w:t>
      </w:r>
      <w:r w:rsidRPr="003A457D">
        <w:rPr>
          <w:rFonts w:ascii="Garamond" w:hAnsi="Garamond"/>
          <w:sz w:val="24"/>
          <w:szCs w:val="24"/>
          <w:lang w:val="en-US"/>
        </w:rPr>
        <w:t xml:space="preserve">, </w:t>
      </w:r>
      <w:proofErr w:type="spellStart"/>
      <w:r w:rsidRPr="003A457D">
        <w:rPr>
          <w:rFonts w:ascii="Garamond" w:hAnsi="Garamond"/>
          <w:sz w:val="24"/>
          <w:szCs w:val="24"/>
        </w:rPr>
        <w:t>Egghe</w:t>
      </w:r>
      <w:proofErr w:type="spellEnd"/>
      <w:r w:rsidRPr="003A457D">
        <w:rPr>
          <w:rFonts w:ascii="Garamond" w:hAnsi="Garamond"/>
          <w:sz w:val="24"/>
          <w:szCs w:val="24"/>
        </w:rPr>
        <w:t xml:space="preserve"> g-index: 141 (g/h=1.62, 20054 cites=52.3% coverage)</w:t>
      </w:r>
      <w:r w:rsidRPr="003A457D">
        <w:rPr>
          <w:rFonts w:ascii="Garamond" w:hAnsi="Garamond"/>
          <w:sz w:val="24"/>
          <w:szCs w:val="24"/>
          <w:lang w:val="en-US"/>
        </w:rPr>
        <w:t xml:space="preserve">, </w:t>
      </w:r>
      <w:proofErr w:type="spellStart"/>
      <w:r w:rsidRPr="003A457D">
        <w:rPr>
          <w:rFonts w:ascii="Garamond" w:hAnsi="Garamond"/>
          <w:sz w:val="24"/>
          <w:szCs w:val="24"/>
        </w:rPr>
        <w:t>PoP</w:t>
      </w:r>
      <w:proofErr w:type="spellEnd"/>
      <w:r w:rsidRPr="003A457D">
        <w:rPr>
          <w:rFonts w:ascii="Garamond" w:hAnsi="Garamond"/>
          <w:sz w:val="24"/>
          <w:szCs w:val="24"/>
        </w:rPr>
        <w:t xml:space="preserve"> </w:t>
      </w:r>
      <w:proofErr w:type="spellStart"/>
      <w:r w:rsidRPr="003A457D">
        <w:rPr>
          <w:rFonts w:ascii="Garamond" w:hAnsi="Garamond"/>
          <w:sz w:val="24"/>
          <w:szCs w:val="24"/>
        </w:rPr>
        <w:t>hI,norm</w:t>
      </w:r>
      <w:proofErr w:type="spellEnd"/>
      <w:r w:rsidRPr="003A457D">
        <w:rPr>
          <w:rFonts w:ascii="Garamond" w:hAnsi="Garamond"/>
          <w:sz w:val="24"/>
          <w:szCs w:val="24"/>
        </w:rPr>
        <w:t>: 46</w:t>
      </w:r>
      <w:r w:rsidRPr="003A457D">
        <w:rPr>
          <w:rFonts w:ascii="Garamond" w:hAnsi="Garamond"/>
          <w:sz w:val="24"/>
          <w:szCs w:val="24"/>
          <w:lang w:val="en-US"/>
        </w:rPr>
        <w:t xml:space="preserve">, </w:t>
      </w:r>
      <w:proofErr w:type="spellStart"/>
      <w:r w:rsidRPr="003A457D">
        <w:rPr>
          <w:rFonts w:ascii="Garamond" w:hAnsi="Garamond"/>
          <w:sz w:val="24"/>
          <w:szCs w:val="24"/>
        </w:rPr>
        <w:t>PoP</w:t>
      </w:r>
      <w:proofErr w:type="spellEnd"/>
      <w:r w:rsidRPr="003A457D">
        <w:rPr>
          <w:rFonts w:ascii="Garamond" w:hAnsi="Garamond"/>
          <w:sz w:val="24"/>
          <w:szCs w:val="24"/>
        </w:rPr>
        <w:t xml:space="preserve"> </w:t>
      </w:r>
      <w:proofErr w:type="spellStart"/>
      <w:r w:rsidRPr="003A457D">
        <w:rPr>
          <w:rFonts w:ascii="Garamond" w:hAnsi="Garamond"/>
          <w:sz w:val="24"/>
          <w:szCs w:val="24"/>
        </w:rPr>
        <w:t>hI,annual</w:t>
      </w:r>
      <w:proofErr w:type="spellEnd"/>
      <w:r w:rsidRPr="003A457D">
        <w:rPr>
          <w:rFonts w:ascii="Garamond" w:hAnsi="Garamond"/>
          <w:sz w:val="24"/>
          <w:szCs w:val="24"/>
        </w:rPr>
        <w:t>: 4.60</w:t>
      </w:r>
      <w:r w:rsidRPr="003A457D">
        <w:rPr>
          <w:rFonts w:ascii="Garamond" w:hAnsi="Garamond"/>
          <w:sz w:val="24"/>
          <w:szCs w:val="24"/>
          <w:lang w:val="en-US"/>
        </w:rPr>
        <w:t xml:space="preserve">, </w:t>
      </w:r>
      <w:proofErr w:type="spellStart"/>
      <w:r w:rsidRPr="003A457D">
        <w:rPr>
          <w:rFonts w:ascii="Garamond" w:hAnsi="Garamond"/>
          <w:sz w:val="24"/>
          <w:szCs w:val="24"/>
        </w:rPr>
        <w:t>Fassin</w:t>
      </w:r>
      <w:proofErr w:type="spellEnd"/>
      <w:r w:rsidRPr="003A457D">
        <w:rPr>
          <w:rFonts w:ascii="Garamond" w:hAnsi="Garamond"/>
          <w:sz w:val="24"/>
          <w:szCs w:val="24"/>
        </w:rPr>
        <w:t xml:space="preserve"> hA-index:36</w:t>
      </w:r>
      <w:r w:rsidRPr="003A457D">
        <w:rPr>
          <w:rFonts w:ascii="Garamond" w:hAnsi="Garamond"/>
          <w:sz w:val="24"/>
          <w:szCs w:val="24"/>
          <w:lang w:val="en-US"/>
        </w:rPr>
        <w:t xml:space="preserve">. </w:t>
      </w:r>
    </w:p>
    <w:p w14:paraId="169591E2" w14:textId="77777777" w:rsidR="003A457D" w:rsidRPr="003A457D" w:rsidRDefault="003A457D" w:rsidP="003A457D">
      <w:pPr>
        <w:jc w:val="both"/>
        <w:rPr>
          <w:rFonts w:ascii="Garamond" w:hAnsi="Garamond"/>
          <w:sz w:val="24"/>
          <w:szCs w:val="24"/>
        </w:rPr>
      </w:pPr>
    </w:p>
    <w:p w14:paraId="030A5A3B" w14:textId="77777777" w:rsidR="003A457D" w:rsidRPr="003A457D" w:rsidRDefault="003A457D" w:rsidP="003A457D">
      <w:pPr>
        <w:shd w:val="clear" w:color="auto" w:fill="FFFFFF"/>
        <w:spacing w:before="100" w:beforeAutospacing="1" w:after="100" w:afterAutospacing="1"/>
        <w:jc w:val="both"/>
        <w:outlineLvl w:val="0"/>
        <w:rPr>
          <w:rFonts w:ascii="Garamond" w:hAnsi="Garamond"/>
          <w:color w:val="000000"/>
          <w:sz w:val="24"/>
          <w:szCs w:val="24"/>
          <w:lang w:val="en-US"/>
        </w:rPr>
      </w:pPr>
      <w:r w:rsidRPr="003A457D">
        <w:rPr>
          <w:rFonts w:ascii="Garamond" w:hAnsi="Garamond"/>
          <w:noProof/>
          <w:sz w:val="24"/>
          <w:szCs w:val="24"/>
          <w:highlight w:val="magenta"/>
        </w:rPr>
        <w:drawing>
          <wp:inline distT="0" distB="0" distL="0" distR="0" wp14:anchorId="7F91C321" wp14:editId="15F7D4A8">
            <wp:extent cx="4692650" cy="3244850"/>
            <wp:effectExtent l="152400" t="171450" r="165100" b="1651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92650" cy="32448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3435B7" w14:textId="77777777" w:rsidR="003A457D" w:rsidRPr="003A457D" w:rsidRDefault="003A457D" w:rsidP="003A457D">
      <w:pPr>
        <w:autoSpaceDE w:val="0"/>
        <w:autoSpaceDN w:val="0"/>
        <w:adjustRightInd w:val="0"/>
        <w:jc w:val="both"/>
        <w:rPr>
          <w:rFonts w:ascii="Garamond" w:hAnsi="Garamond"/>
          <w:color w:val="000000"/>
          <w:sz w:val="24"/>
          <w:szCs w:val="24"/>
          <w:lang w:val="en-US"/>
        </w:rPr>
      </w:pPr>
      <w:r w:rsidRPr="003A457D">
        <w:rPr>
          <w:rFonts w:ascii="Garamond" w:hAnsi="Garamond"/>
          <w:noProof/>
          <w:sz w:val="24"/>
          <w:szCs w:val="24"/>
        </w:rPr>
        <w:t xml:space="preserve">Figure </w:t>
      </w:r>
      <w:r w:rsidRPr="003A457D">
        <w:rPr>
          <w:rFonts w:ascii="Garamond" w:hAnsi="Garamond"/>
          <w:noProof/>
          <w:sz w:val="24"/>
          <w:szCs w:val="24"/>
          <w:lang w:val="en-US"/>
        </w:rPr>
        <w:t>6</w:t>
      </w:r>
      <w:r w:rsidRPr="003A457D">
        <w:rPr>
          <w:rFonts w:ascii="Garamond" w:hAnsi="Garamond"/>
          <w:noProof/>
          <w:sz w:val="24"/>
          <w:szCs w:val="24"/>
        </w:rPr>
        <w:t xml:space="preserve">. </w:t>
      </w:r>
      <w:r w:rsidRPr="003A457D">
        <w:rPr>
          <w:rFonts w:ascii="Garamond" w:hAnsi="Garamond"/>
          <w:i/>
          <w:iCs/>
          <w:color w:val="000000"/>
          <w:sz w:val="24"/>
          <w:szCs w:val="24"/>
          <w:lang w:val="en-US"/>
        </w:rPr>
        <w:t>Authors (Connected papers)</w:t>
      </w:r>
    </w:p>
    <w:p w14:paraId="50FD94BC" w14:textId="77777777" w:rsidR="003A457D" w:rsidRPr="003A457D" w:rsidRDefault="003A457D" w:rsidP="003A457D">
      <w:pPr>
        <w:shd w:val="clear" w:color="auto" w:fill="FFFFFF"/>
        <w:spacing w:before="100" w:beforeAutospacing="1" w:after="100" w:afterAutospacing="1"/>
        <w:jc w:val="both"/>
        <w:outlineLvl w:val="0"/>
        <w:rPr>
          <w:rFonts w:ascii="Garamond" w:hAnsi="Garamond"/>
          <w:color w:val="000000"/>
          <w:sz w:val="24"/>
          <w:szCs w:val="24"/>
          <w:lang w:val="en-US"/>
        </w:rPr>
      </w:pPr>
      <w:r w:rsidRPr="003A457D">
        <w:rPr>
          <w:rFonts w:ascii="Garamond" w:hAnsi="Garamond"/>
          <w:color w:val="000000"/>
          <w:sz w:val="24"/>
          <w:szCs w:val="24"/>
          <w:lang w:val="en-US"/>
        </w:rPr>
        <w:t xml:space="preserve">Figure 5 shows that connected papers about learning method as we know that </w:t>
      </w:r>
      <w:r w:rsidRPr="003A457D">
        <w:rPr>
          <w:rFonts w:ascii="Garamond" w:hAnsi="Garamond"/>
          <w:color w:val="323232"/>
          <w:sz w:val="24"/>
          <w:szCs w:val="24"/>
          <w:lang w:val="en-US"/>
        </w:rPr>
        <w:t>t</w:t>
      </w:r>
      <w:r w:rsidRPr="003A457D">
        <w:rPr>
          <w:rFonts w:ascii="Garamond" w:hAnsi="Garamond"/>
          <w:color w:val="323232"/>
          <w:sz w:val="24"/>
          <w:szCs w:val="24"/>
        </w:rPr>
        <w:t>he program consists of two main components</w:t>
      </w:r>
      <w:r w:rsidRPr="003A457D">
        <w:rPr>
          <w:rFonts w:ascii="Garamond" w:hAnsi="Garamond"/>
          <w:color w:val="323232"/>
          <w:sz w:val="24"/>
          <w:szCs w:val="24"/>
          <w:lang w:val="en-US"/>
        </w:rPr>
        <w:t xml:space="preserve"> by </w:t>
      </w:r>
      <w:r w:rsidRPr="003A457D">
        <w:rPr>
          <w:rFonts w:ascii="Garamond" w:hAnsi="Garamond"/>
          <w:color w:val="000000"/>
          <w:sz w:val="24"/>
          <w:szCs w:val="24"/>
          <w:lang w:val="en-US"/>
        </w:rPr>
        <w:t>learning method</w:t>
      </w:r>
      <w:r w:rsidRPr="003A457D">
        <w:rPr>
          <w:rFonts w:ascii="Garamond" w:hAnsi="Garamond"/>
          <w:color w:val="323232"/>
          <w:sz w:val="24"/>
          <w:szCs w:val="24"/>
        </w:rPr>
        <w:t>: a pedagogy prototype with clearly defined principles to drive classroom and study skills and a set of materials to encourage instructors to engage in reflective thought and debate as they enhance their classroom and study abilities. The components of the program are outlined in full below. It is worth noting that research is being conducted in parallel with the campaign to see how effective the model is. Early evaluations indicate that it has the potential to improve both pedagogy and student outcomes.</w:t>
      </w:r>
      <w:r w:rsidRPr="003A457D">
        <w:rPr>
          <w:rFonts w:ascii="Garamond" w:hAnsi="Garamond"/>
          <w:sz w:val="24"/>
          <w:szCs w:val="24"/>
        </w:rPr>
        <w:t xml:space="preserve"> </w:t>
      </w:r>
      <w:r w:rsidRPr="003A457D">
        <w:rPr>
          <w:rFonts w:ascii="Garamond" w:hAnsi="Garamond"/>
          <w:color w:val="323232"/>
          <w:sz w:val="24"/>
          <w:szCs w:val="24"/>
        </w:rPr>
        <w:t xml:space="preserve">Learning outcomes and perceptions/evaluations of the learning environment are both affected by the quality of the learning environment. Perceptions/evaluations of the learning environment and study approach, as well as the relationship between study approach </w:t>
      </w:r>
      <w:r w:rsidRPr="003A457D">
        <w:rPr>
          <w:rFonts w:ascii="Garamond" w:hAnsi="Garamond"/>
          <w:color w:val="323232"/>
          <w:sz w:val="24"/>
          <w:szCs w:val="24"/>
        </w:rPr>
        <w:lastRenderedPageBreak/>
        <w:t>and learning outcome quality Deep, approaches to learning are more likely to produce higher quality learning than those that do not.</w:t>
      </w:r>
      <w:r w:rsidRPr="003A457D">
        <w:rPr>
          <w:rFonts w:ascii="Garamond" w:hAnsi="Garamond"/>
          <w:color w:val="323232"/>
          <w:sz w:val="24"/>
          <w:szCs w:val="24"/>
          <w:lang w:val="en-US"/>
        </w:rPr>
        <w:t xml:space="preserve"> </w:t>
      </w:r>
    </w:p>
    <w:p w14:paraId="2B3FC651" w14:textId="77777777" w:rsidR="003A457D" w:rsidRPr="003A457D" w:rsidRDefault="003A457D" w:rsidP="003A457D">
      <w:pPr>
        <w:ind w:firstLine="720"/>
        <w:jc w:val="both"/>
        <w:rPr>
          <w:rFonts w:ascii="Garamond" w:hAnsi="Garamond"/>
          <w:bCs/>
          <w:sz w:val="24"/>
          <w:szCs w:val="24"/>
          <w:lang w:val="en-US"/>
        </w:rPr>
      </w:pPr>
      <w:r w:rsidRPr="003A457D">
        <w:rPr>
          <w:rFonts w:ascii="Garamond" w:hAnsi="Garamond"/>
          <w:bCs/>
          <w:sz w:val="24"/>
          <w:szCs w:val="24"/>
          <w:lang w:val="en-US"/>
        </w:rPr>
        <w:t xml:space="preserve">An aspect of external education's arid religious and ethical ideals is the construction of an integrated Islamic-based primary school curriculum fused with public schools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{"citationID":"uFE4NTAg","properties":{"formattedCitation":"(Syakir, 2020)","plainCitation":"(Syakir, 2020)","noteIndex":0},"citationItems":[{"id":1240,"uris":["http://zotero.org/users/local/GmZiI9vO/items/DW4TXAQT"],"itemData":{"id":1240,"type":"article-journal","abstract":"The objective of this research was to know whether by using words games can improve students' vocabulary skills. Researchers used a pre-experimental research design. The sample of this study was selected using totally sampling. The research instrument used pre-test and post-test. This research was conducted in the elementary School. Data from the results of this study indicate that there is a significant increase in the amount of treatment given. In the experimental class, students' vocabulary skills improve. In the experimental class there was a treatment given, using a Words game. The improvement can be proven by the mean post-test score of 80.00 and it can be concluded that the use of words games can improve students' vocabulary skills.","title":"Developing Students Vocabulary at Elementary School by Using Words Game","URL":"https://www.semanticscholar.org/paper/7a1dd71e0ca61b767918fc29f31558bcec1beeba","author":[{"family":"Syakir","given":"Abdul"}],"issued":{"date-parts":[["2020"]]}}}],"schema":"https://github.com/citation-style-language/schema/raw/master/csl-citation.json"}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Syakir</w:t>
      </w:r>
      <w:proofErr w:type="spellEnd"/>
      <w:r w:rsidRPr="003A457D">
        <w:rPr>
          <w:rFonts w:ascii="Garamond" w:hAnsi="Garamond"/>
          <w:sz w:val="24"/>
          <w:szCs w:val="24"/>
        </w:rPr>
        <w:t>, 2020)</w:t>
      </w:r>
      <w:r w:rsidRPr="003A457D">
        <w:rPr>
          <w:rFonts w:ascii="Garamond" w:hAnsi="Garamond"/>
          <w:bCs/>
          <w:sz w:val="24"/>
          <w:szCs w:val="24"/>
          <w:lang w:val="en-US"/>
        </w:rPr>
        <w:fldChar w:fldCharType="end"/>
      </w:r>
      <w:r w:rsidRPr="003A457D">
        <w:rPr>
          <w:rFonts w:ascii="Garamond" w:hAnsi="Garamond"/>
          <w:bCs/>
          <w:sz w:val="24"/>
          <w:szCs w:val="24"/>
          <w:lang w:val="en-US"/>
        </w:rPr>
        <w:t>.</w:t>
      </w:r>
      <w:r w:rsidRPr="003A457D">
        <w:rPr>
          <w:rFonts w:ascii="Garamond" w:hAnsi="Garamond"/>
          <w:sz w:val="24"/>
          <w:szCs w:val="24"/>
        </w:rPr>
        <w:t xml:space="preserve"> </w:t>
      </w:r>
      <w:r w:rsidRPr="003A457D">
        <w:rPr>
          <w:rFonts w:ascii="Garamond" w:hAnsi="Garamond"/>
          <w:sz w:val="24"/>
          <w:szCs w:val="24"/>
          <w:lang w:val="en-US"/>
        </w:rPr>
        <w:t xml:space="preserve">Therefore, </w:t>
      </w:r>
      <w:r w:rsidRPr="003A457D">
        <w:rPr>
          <w:rFonts w:ascii="Garamond" w:hAnsi="Garamond"/>
          <w:bCs/>
          <w:sz w:val="24"/>
          <w:szCs w:val="24"/>
          <w:lang w:val="en-US"/>
        </w:rPr>
        <w:t xml:space="preserve">the results of the innovation of the teacher's role in student counseling guidance in elementary schools are changes in character values. Researchers implemented the steps of innovation in the role of religious teachers in elementary schools with the stages (1) Making a list of student bills for worship activities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{"citationID":"zerY5tdx","properties":{"formattedCitation":"(Elihami, 2020b)","plainCitation":"(Elihami, 2020b)","noteIndex":0},"citationItems":[{"id":1247,"uris":["http://zotero.org/users/local/GmZiI9vO/items/V2RMBWDE"],"itemData":{"id":1247,"type":"article-journal","abstract":"Learning of Al- Islam and Kemuhammadiyah in nonformal education takes place in STKIP Muhammadiyah Enrekang. The Quran encourages learning as in Surah 20 that says “Lord! Let my knowledge increase” and in the words of Rasullullah (pbuh) “Seek knowledge as far as China”. All these signify that learning, as a process of development and transformation, takes place with no realm of boundary to impede. The procedures include a survey questionnaire and interview to gather related data of the student’s first semester at STKIP Muhammadiyah Enrekang. The analysis hopes to provide learning management input in Al-Islam and Kemuhammadiyahan that promotes structured and relevant findings for future enhancement, understanding and awareness of adult learning in a local situation resulting from the perception, learning and perhaps changes that may result from the learning process.","title":"IMPROVING MANAGEMENT FOR LEARNING AL-ISLAM AND KEMUHAMMADIYAHAN IN NONFORMAL DEPARTMENT","URL":"https://www.semanticscholar.org/paper/10421450227701c474f8e54bb69264f001807886","author":[{"family":"Elihami","given":"Elihami"}],"issued":{"date-parts":[["2020"]]}}}],"schema":"https://github.com/citation-style-language/schema/raw/master/csl-citation.json"}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Elihami</w:t>
      </w:r>
      <w:proofErr w:type="spellEnd"/>
      <w:r w:rsidRPr="003A457D">
        <w:rPr>
          <w:rFonts w:ascii="Garamond" w:hAnsi="Garamond"/>
          <w:sz w:val="24"/>
          <w:szCs w:val="24"/>
        </w:rPr>
        <w:t>, 2020b)</w:t>
      </w:r>
      <w:r w:rsidRPr="003A457D">
        <w:rPr>
          <w:rFonts w:ascii="Garamond" w:hAnsi="Garamond"/>
          <w:bCs/>
          <w:sz w:val="24"/>
          <w:szCs w:val="24"/>
          <w:lang w:val="en-US"/>
        </w:rPr>
        <w:fldChar w:fldCharType="end"/>
      </w:r>
      <w:r w:rsidRPr="003A457D">
        <w:rPr>
          <w:rFonts w:ascii="Garamond" w:hAnsi="Garamond"/>
          <w:bCs/>
          <w:sz w:val="24"/>
          <w:szCs w:val="24"/>
          <w:lang w:val="en-US"/>
        </w:rPr>
        <w:t xml:space="preserve"> and (2) Making a rote schedule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{"citationID":"ArKDDNta","properties":{"formattedCitation":"(Syarif et al., 2021)","plainCitation":"(Syarif et al., 2021)","noteIndex":0},"citationItems":[{"id":1244,"uris":["http://zotero.org/users/local/GmZiI9vO/items/97ZKQQFE"],"itemData":{"id":1244,"type":"article-journal","abstract":"The use of distance learning technology in the organization of the educational process, as well as the rapid acquisition of new scientific knowledge, results in high effectiveness. Virtual training techniques make it possible to obtain additional knowledge about a topic easily. Any of the most significant science and technological topics are the incorporation of distance technology into the educational process and the investigation of strategies for their successful use, as well as the creation of distance learning courses. Based on the above, the use of Moodle in Teaching from distance learning to the E-learning 5.0 of new technology are complete enough to enable the user to work optimally on the assignment questions provided.","container-title":"Journal of Physics: Conference Series","DOI":"10.1088/1742-6596/1933/1/012124","title":"Using Moodle Learning Management System in Teaching from Distance Learning to the E-learning 5.0 of New Technology","URL":"https://www.semanticscholar.org/paper/e0fb3482f5222dac19e261d7ddc5332dbcc2ac67","volume":"1933","author":[{"family":"Syarif","given":"Irman"},{"family":"Mahyuddin","given":"Muhammad Junaedi"},{"family":"Sura","given":"Handayani"},{"family":"Baharuddin","given":"Elihami Elihami"}],"issued":{"date-parts":[["2021"]]}}}],"schema":"https://github.com/citation-style-language/schema/raw/master/csl-citation.json"}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Syarif</w:t>
      </w:r>
      <w:proofErr w:type="spellEnd"/>
      <w:r w:rsidRPr="003A457D">
        <w:rPr>
          <w:rFonts w:ascii="Garamond" w:hAnsi="Garamond"/>
          <w:sz w:val="24"/>
          <w:szCs w:val="24"/>
        </w:rPr>
        <w:t xml:space="preserve"> et al., 2021)</w:t>
      </w:r>
      <w:r w:rsidRPr="003A457D">
        <w:rPr>
          <w:rFonts w:ascii="Garamond" w:hAnsi="Garamond"/>
          <w:bCs/>
          <w:sz w:val="24"/>
          <w:szCs w:val="24"/>
          <w:lang w:val="en-US"/>
        </w:rPr>
        <w:fldChar w:fldCharType="end"/>
      </w:r>
      <w:r w:rsidRPr="003A457D">
        <w:rPr>
          <w:rFonts w:ascii="Garamond" w:hAnsi="Garamond"/>
          <w:bCs/>
          <w:sz w:val="24"/>
          <w:szCs w:val="24"/>
          <w:lang w:val="en-US"/>
        </w:rPr>
        <w:t xml:space="preserve"> (3) Motivating students through stories and shows inspiring stories and good stories, (4) Make a notebook about the activities that have been done every day which consists of commendable and uncommendable actions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{"citationID":"3SxNeVc0","properties":{"formattedCitation":"(Elihami, 2020a)","plainCitation":"(Elihami, 2020a)","noteIndex":0},"citationItems":[{"id":1248,"uris":["http://zotero.org/users/local/GmZiI9vO/items/SHBPYA35"],"itemData":{"id":1248,"type":"article-journal","abstract":"This research is motivated by three things: (1) The learning process in schools that prioritizes the cognitive aspects that lead to convergent patterns and thought processes, while the creative thought processes, affective and psychomotor aspects receive less attention. (2) Increasing technological progress and increasing population and decreasing supply of natural resources are very demanding of the ability to adapt creatively and expertise to find creative solutions. (3) There are very few creative Indonesians found, so many unemployed people are very dependent on the available employment. They are not able to create their own jobs. There are three classic problems faced by the world of education in Indonesia in the development of creativity that have not been resolved to date, namely: (1) Lack of clear vision, mission, and goals of implementing creativity education, (2) The preparation of the curriculum is not in accordance with the expectations and needs of students such as the preparation materials, learning methods, learning media, and evaluation systems, (3) Teaching staff and facilities are inadequate, both in terms of quality and quantity. To overcome the three problems above the quality of the learning process needs to be improved, both the quality of the program and the quality of its implementation. In an effort to improve this, the managers of educational institutions need to look for strategic steps that include the preparation of learning programs and efforts to increase the competence of lecturers in an effort to develop student creativity. Likewise lecturers need to design components of the learning process that can develop student creativity which includes the design of the learning environment, student activities, learning methods and media, and evaluation techniques of learning outcomes. The program that has been prepared must be implemented in accordance with the design. Then it is evaluated to determine the level of success, obstacles encountered and the steps to solve them. This qualitative research aims to examine and analyze the effectiveness of the implementation of the learning process in the development of creativity in Non-formal Education Study Program at the University of Muhammadiyah Enrekang. This study uses a case study approach, considering the object under study consists of one unit or one unit that is seen as a case. Data were collected by observation, interview and documentation study techniques. The population of this study was 9 lecturers and 72 non-formal education students, while the sample of this study was 5 lecturers and 42 fourth grade A students determined by purposive sampling with the consideration that class B had not been effective in the lecture process. The results of this study concluded that the implementation of class A class IV semester of Non-formal Education Study Program tends to experience positive development and has obtained good results in the effort to develop student creativity. The indicators are shown in: (1) increasing PNF students working, (2) increasing passing grade grades and lowest UAS assessed as odd semester, (3) increasing the average UAS value obtained by grade A students, (4) increasing growth and the development of educational facilities, (5) increasing the achievement of championship achievements in the extracurricular field. From the perspective of empowerment the results of this study have implications for the development of a broad learning process that is the emergence of a shared awareness among education managers and lecturers that the lecture process is not only for transferring knowledge, but also developing all the potential of students, including the creative potential of students. Specific implications for the development of student creativity are the emergence of awareness of education managers and lecturers to evaluate and reorganize their programs and performance in order to improve the quality of the learning process.","title":"DEVELOPING THE NONFORMAL EDUCATION OF LEARNING IN MUHAMMADIYAH UNIVERSITY OF ENREKANG","URL":"https://www.semanticscholar.org/paper/862e345ac913d3111a23415d544f949dc6060af9","author":[{"family":"Elihami","given":"Elihami"}],"issued":{"date-parts":[["2020"]]}}}],"schema":"https://github.com/citation-style-language/schema/raw/master/csl-citation.json"}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Elihami</w:t>
      </w:r>
      <w:proofErr w:type="spellEnd"/>
      <w:r w:rsidRPr="003A457D">
        <w:rPr>
          <w:rFonts w:ascii="Garamond" w:hAnsi="Garamond"/>
          <w:sz w:val="24"/>
          <w:szCs w:val="24"/>
        </w:rPr>
        <w:t>, 2020a)</w:t>
      </w:r>
      <w:r w:rsidRPr="003A457D">
        <w:rPr>
          <w:rFonts w:ascii="Garamond" w:hAnsi="Garamond"/>
          <w:bCs/>
          <w:sz w:val="24"/>
          <w:szCs w:val="24"/>
          <w:lang w:val="en-US"/>
        </w:rPr>
        <w:fldChar w:fldCharType="end"/>
      </w:r>
      <w:r w:rsidRPr="003A457D">
        <w:rPr>
          <w:rFonts w:ascii="Garamond" w:hAnsi="Garamond"/>
          <w:bCs/>
          <w:sz w:val="24"/>
          <w:szCs w:val="24"/>
          <w:lang w:val="en-US"/>
        </w:rPr>
        <w:t xml:space="preserve">. The design aims to assess students' character in terms of honesty, responsibility, discipline, independence, and obedient worship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{"citationID":"I0woEOTn","properties":{"formattedCitation":"(Assidiq et al., 2020)","plainCitation":"(Assidiq et al., 2020)","noteIndex":0},"citationItems":[{"id":1249,"uris":["http://zotero.org/users/local/GmZiI9vO/items/HHJSWJL9"],"itemData":{"id":1249,"type":"article-journal","abstract":"The goal of the research was to know how to enhance the learning outcome of Chemistry through an authentic evaluation. The topic of the study included 22 students. Data collection was rendered using an authentic assessment aspect involving the assignment of students, the student journal, the review and student actions during the learning process. The results of the analysis have shown that authentic evaluation and treatment could enhance the results of the study of chemistry","title":"Improving Learning Outcomes in Chemistry through Authentic Assessments of Students","URL":"https://www.semanticscholar.org/paper/84011dac46f68c04a36ab5dfbbdca9604dd25026","author":[{"family":"Assidiq","given":"I."},{"family":"Sulaiman","given":"Fitriyanti"},{"family":"Elihami","given":"Elihami"}],"issued":{"date-parts":[["2020"]]}}}],"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Assidiq</w:t>
      </w:r>
      <w:proofErr w:type="spellEnd"/>
      <w:r w:rsidRPr="003A457D">
        <w:rPr>
          <w:rFonts w:ascii="Garamond" w:hAnsi="Garamond"/>
          <w:sz w:val="24"/>
          <w:szCs w:val="24"/>
        </w:rPr>
        <w:t xml:space="preserve"> et al., 2020)</w:t>
      </w:r>
      <w:r w:rsidRPr="003A457D">
        <w:rPr>
          <w:rFonts w:ascii="Garamond" w:hAnsi="Garamond"/>
          <w:bCs/>
          <w:sz w:val="24"/>
          <w:szCs w:val="24"/>
          <w:lang w:val="en-US"/>
        </w:rPr>
        <w:fldChar w:fldCharType="end"/>
      </w:r>
      <w:r w:rsidRPr="003A457D">
        <w:rPr>
          <w:rFonts w:ascii="Garamond" w:hAnsi="Garamond"/>
          <w:bCs/>
          <w:sz w:val="24"/>
          <w:szCs w:val="24"/>
          <w:lang w:val="en-US"/>
        </w:rPr>
        <w:t xml:space="preserve">. This is in line with the research results showing that habituation innovation is very effective in increasing the fundamental values of Islamic education. Students form good cultures such as throwing garbage in its place, waiting in line, praying in congregation, reciting the Koran, memorizing daily prayers and short letters, and their morals improve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{"citationID":"DbGK6fNM","properties":{"formattedCitation":"(Syaparuddin &amp; Elihami, 2020)","plainCitation":"(Syaparuddin &amp; Elihami, 2020)","noteIndex":0},"citationItems":[{"id":1245,"uris":["http://zotero.org/users/local/GmZiI9vO/items/JDYHB5FW"],"itemData":{"id":1245,"type":"article-journal","abstract":"This research was motivated by the low learning motivation of class XI IPS.1 SMAN 6 Pinrang on Civics subjects. This can be seen from the behavior shown by students, students arriving late, not doing assignments, not paying attention to teacher explanations and being less active. Of the 36 students, only 3 students have high learning motivation. If calculated classically, the students' motivation to learn Civics subjects is 54.03%. This condition occurs as long as the PKn PBM teachers only use blackboards and worksheets. In order for student motivation to increase, teachers need to make a learning innovation. What the teacher can do is to use video as a learning medium. The acquisition of learning outcomes through the sense of sight is around 75%, through the sense of hearing about 13%, and through other senses around 12%. Formulation of the problem \"Can the use of video media in Citizenship Education subjects increase student motivation in class XI.IPS.1 SMAN 6 Pinrang?\". The research objective was to determine whether or not there was an increase in student motivation in Citizenship Education class XI IPS.1 SMAN 6 Pinrang through the use of video media. The benefit of this research is to provide input to increase student learning motivation through the use of video media, so that it can be used as a consideration in the use of learning media. This type of research is Classroom Action Research, with the research location at SMAN 6 Pinrang which is located at Jalan Poros Pinrang-Rappang. Research variables: input variables; student learning motivation before using video as a learning medium. Process variable: learning activities using video as a learning medium. Output variable: increasing student motivation after using video as a learning medium. The research results were obtained through two cycles, cycle I and cycle II. Pre-cycle student learning motivation is 54.03% (low) then in cycle I student learning motivation becomes 70.75% (moderate) and in cycle II increases to 75.73% (high). But at the end of the cycle there were still 2 students whose learning motivation was still low.","title":"IMPROVING STUDENT LEARNING MOTIVATION THROUGH THE UTILIZATION OF VIDEO MEDIA IN EDUCATION STUDENTS","URL":"https://www.semanticscholar.org/paper/ccceb1dde4d2fa81af7988ee9d772b51f9fb8c11","author":[{"family":"Syaparuddin","given":"Syaparuddin"},{"family":"Elihami","given":"Elihami"}],"issued":{"date-parts":[["2020"]]}}}],"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w:t>
      </w:r>
      <w:proofErr w:type="spellStart"/>
      <w:r w:rsidRPr="003A457D">
        <w:rPr>
          <w:rFonts w:ascii="Garamond" w:hAnsi="Garamond"/>
          <w:sz w:val="24"/>
          <w:szCs w:val="24"/>
        </w:rPr>
        <w:t>Syaparuddin</w:t>
      </w:r>
      <w:proofErr w:type="spellEnd"/>
      <w:r w:rsidRPr="003A457D">
        <w:rPr>
          <w:rFonts w:ascii="Garamond" w:hAnsi="Garamond"/>
          <w:sz w:val="24"/>
          <w:szCs w:val="24"/>
        </w:rPr>
        <w:t xml:space="preserve"> &amp; </w:t>
      </w:r>
      <w:proofErr w:type="spellStart"/>
      <w:r w:rsidRPr="003A457D">
        <w:rPr>
          <w:rFonts w:ascii="Garamond" w:hAnsi="Garamond"/>
          <w:sz w:val="24"/>
          <w:szCs w:val="24"/>
        </w:rPr>
        <w:t>Elihami</w:t>
      </w:r>
      <w:proofErr w:type="spellEnd"/>
      <w:r w:rsidRPr="003A457D">
        <w:rPr>
          <w:rFonts w:ascii="Garamond" w:hAnsi="Garamond"/>
          <w:sz w:val="24"/>
          <w:szCs w:val="24"/>
        </w:rPr>
        <w:t>, 2020)</w:t>
      </w:r>
      <w:r w:rsidRPr="003A457D">
        <w:rPr>
          <w:rFonts w:ascii="Garamond" w:hAnsi="Garamond"/>
          <w:bCs/>
          <w:sz w:val="24"/>
          <w:szCs w:val="24"/>
          <w:lang w:val="en-US"/>
        </w:rPr>
        <w:fldChar w:fldCharType="end"/>
      </w:r>
      <w:r w:rsidRPr="003A457D">
        <w:rPr>
          <w:rFonts w:ascii="Garamond" w:hAnsi="Garamond"/>
          <w:bCs/>
          <w:sz w:val="24"/>
          <w:szCs w:val="24"/>
          <w:lang w:val="en-US"/>
        </w:rPr>
        <w:t>.</w:t>
      </w:r>
    </w:p>
    <w:p w14:paraId="48A7D8FB" w14:textId="77777777" w:rsidR="003A457D" w:rsidRPr="003A457D" w:rsidRDefault="003A457D" w:rsidP="003A457D">
      <w:pPr>
        <w:jc w:val="both"/>
        <w:rPr>
          <w:rFonts w:ascii="Garamond" w:hAnsi="Garamond"/>
          <w:b/>
          <w:sz w:val="24"/>
          <w:szCs w:val="24"/>
          <w:highlight w:val="yellow"/>
          <w:lang w:val="en-US"/>
        </w:rPr>
      </w:pPr>
    </w:p>
    <w:p w14:paraId="6A3C00EE" w14:textId="77777777" w:rsidR="003A457D" w:rsidRPr="003A457D" w:rsidRDefault="003A457D" w:rsidP="003A457D">
      <w:pPr>
        <w:jc w:val="both"/>
        <w:rPr>
          <w:rFonts w:ascii="Garamond" w:hAnsi="Garamond"/>
          <w:b/>
          <w:sz w:val="24"/>
          <w:szCs w:val="24"/>
          <w:highlight w:val="yellow"/>
          <w:lang w:val="en-US"/>
        </w:rPr>
      </w:pPr>
      <w:r w:rsidRPr="003A457D">
        <w:rPr>
          <w:rFonts w:ascii="Garamond" w:hAnsi="Garamond"/>
          <w:noProof/>
          <w:sz w:val="24"/>
          <w:szCs w:val="24"/>
        </w:rPr>
        <w:drawing>
          <wp:inline distT="0" distB="0" distL="0" distR="0" wp14:anchorId="5FA5FAAF" wp14:editId="7D8EFA9D">
            <wp:extent cx="5591810" cy="2945472"/>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95883" cy="2947617"/>
                    </a:xfrm>
                    <a:prstGeom prst="rect">
                      <a:avLst/>
                    </a:prstGeom>
                    <a:noFill/>
                    <a:ln>
                      <a:noFill/>
                    </a:ln>
                  </pic:spPr>
                </pic:pic>
              </a:graphicData>
            </a:graphic>
          </wp:inline>
        </w:drawing>
      </w:r>
    </w:p>
    <w:p w14:paraId="1AFC8BF2" w14:textId="77777777" w:rsidR="003A457D" w:rsidRPr="003A457D" w:rsidRDefault="003A457D" w:rsidP="003A457D">
      <w:pPr>
        <w:jc w:val="both"/>
        <w:rPr>
          <w:rFonts w:ascii="Garamond" w:hAnsi="Garamond"/>
          <w:bCs/>
          <w:sz w:val="24"/>
          <w:szCs w:val="24"/>
          <w:lang w:val="en-US"/>
        </w:rPr>
      </w:pPr>
      <w:r w:rsidRPr="003A457D">
        <w:rPr>
          <w:rFonts w:ascii="Garamond" w:hAnsi="Garamond"/>
          <w:bCs/>
          <w:sz w:val="24"/>
          <w:szCs w:val="24"/>
          <w:lang w:val="en-US"/>
        </w:rPr>
        <w:tab/>
        <w:t xml:space="preserve">Figure 7. </w:t>
      </w:r>
      <w:hyperlink r:id="rId19" w:history="1">
        <w:r w:rsidRPr="00EF571C">
          <w:rPr>
            <w:rStyle w:val="Hyperlink"/>
            <w:rFonts w:ascii="Garamond" w:hAnsi="Garamond"/>
            <w:color w:val="auto"/>
            <w:sz w:val="24"/>
            <w:szCs w:val="24"/>
            <w:u w:val="none"/>
            <w:shd w:val="clear" w:color="auto" w:fill="FAFAFA"/>
          </w:rPr>
          <w:t>Funding sources for public schools in the United States, 1890 to 2010</w:t>
        </w:r>
      </w:hyperlink>
    </w:p>
    <w:p w14:paraId="65918274" w14:textId="77777777" w:rsidR="003A457D" w:rsidRPr="003A457D" w:rsidRDefault="003A457D" w:rsidP="003A457D">
      <w:pPr>
        <w:ind w:firstLine="720"/>
        <w:jc w:val="both"/>
        <w:rPr>
          <w:rFonts w:ascii="Garamond" w:hAnsi="Garamond"/>
          <w:bCs/>
          <w:sz w:val="24"/>
          <w:szCs w:val="24"/>
          <w:lang w:val="en-US"/>
        </w:rPr>
      </w:pPr>
      <w:r w:rsidRPr="003A457D">
        <w:rPr>
          <w:rFonts w:ascii="Garamond" w:hAnsi="Garamond"/>
          <w:bCs/>
          <w:sz w:val="24"/>
          <w:szCs w:val="24"/>
          <w:lang w:val="en-US"/>
        </w:rPr>
        <w:t xml:space="preserve">Figure 1 shows that in most countries, primary education is now seen as a right and a responsibility: governments are often expected to guarantee access to primary education, and citizens are often forced by law to obtain some level of education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{"citationID":"EqgtlZ2G","properties":{"formattedCitation":"(Tomei, 2010)","plainCitation":"(Tomei, 2010)","noteIndex":0},"citationItems":[{"id":193,"uris":["http://zotero.org/users/local/GmZiI9vO/items/DRG6GHGL"],"itemData":{"id":193,"type":"article-journal","abstract":"Semantic Scholar extracted view of \"The Technology Domain of the Distance Learner\" by Lawrence A. Tomei","DOI":"10.4018/978-1-60566-824-6.CH006","title":"The Technology Domain of the Distance Learner","URL":"https://www.semanticscholar.org/paper/eacecc67172792beecdccc6f4a368d2e6634db4c","author":[{"family":"Tomei","given":"Lawrence A."}],"issued":{"date-parts":[["2010"]]}}}],"schema":"https://github.com/citation-style-language/schema/raw/master/csl-citation.json"}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(Tomei, 2010)</w:t>
      </w:r>
      <w:r w:rsidRPr="003A457D">
        <w:rPr>
          <w:rFonts w:ascii="Garamond" w:hAnsi="Garamond"/>
          <w:bCs/>
          <w:sz w:val="24"/>
          <w:szCs w:val="24"/>
          <w:lang w:val="en-US"/>
        </w:rPr>
        <w:fldChar w:fldCharType="end"/>
      </w:r>
      <w:r w:rsidRPr="003A457D">
        <w:rPr>
          <w:rFonts w:ascii="Garamond" w:hAnsi="Garamond"/>
          <w:bCs/>
          <w:sz w:val="24"/>
          <w:szCs w:val="24"/>
          <w:lang w:val="en-US"/>
        </w:rPr>
        <w:t xml:space="preserve">. This was not always the case in the mid-nineteenth century. Most industrialized countries today began to improve primary education mainly through public funding and government participation </w:t>
      </w:r>
      <w:r w:rsidRPr="003A457D">
        <w:rPr>
          <w:rFonts w:ascii="Garamond" w:hAnsi="Garamond"/>
          <w:bCs/>
          <w:sz w:val="24"/>
          <w:szCs w:val="24"/>
          <w:lang w:val="en-US"/>
        </w:rPr>
        <w:lastRenderedPageBreak/>
        <w:fldChar w:fldCharType="begin"/>
      </w:r>
      <w:r w:rsidRPr="003A457D">
        <w:rPr>
          <w:rFonts w:ascii="Garamond" w:hAnsi="Garamond"/>
          <w:bCs/>
          <w:sz w:val="24"/>
          <w:szCs w:val="24"/>
          <w:lang w:val="en-US"/>
        </w:rPr>
        <w:instrText xml:space="preserve"> ADDIN ZOTERO_ITEM CSL_CITATION {"citationID":"eyuPdo2Z","properties":{"formattedCitation":"(Bosman &amp; Zagenczyk, 2011)","plainCitation":"(Bosman &amp; Zagenczyk, 2011)","noteIndex":0},"citationItems":[{"id":198,"uris":["http://zotero.org/users/local/GmZiI9vO/items/B5T5CKNM"],"itemData":{"id":198,"type":"article-journal","abstract":"Social media is a widespread phenomenon focused on connecting, sharing, and collaborating. The purpose of this chapter is to focus on the educational opportunities for applying social media in the classroom and this is achieved through an application of Bloom’s Taxonomy. A brief description of Bloom’s Taxonomy (Bloom, B.S. Taxonomy of Educational Objectives: The Classification of Educational Goals. Susan Fauer Company, Inc., 1956) and a description of its components: remembering, understanding, applying, analyzing, evaluating, and creating is given. It is argued that each of Bloom’s components can be highlighted using different social media tools. Finally, a variety of case studies and further ideas demonstrate the effective deployment of social media in the classroom.","DOI":"10.1007/978-3-642-20392-3_1","title":"Revitalize Your Teaching: Creative Approaches to Applying Social Media in the Classroom","URL":"https://www.semanticscholar.org/paper/47ef23f276d330f27fe639e63d449a26efcd9e29","author":[{"family":"Bosman","given":"Lisa"},{"family":"Zagenczyk","given":"Thomas J."}],"issued":{"date-parts":[["2011"]]}}}],"schema":"https://github.com/citation-style-language/schema/raw/master/csl-citation.json"}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 xml:space="preserve">(Bosman &amp; </w:t>
      </w:r>
      <w:proofErr w:type="spellStart"/>
      <w:r w:rsidRPr="003A457D">
        <w:rPr>
          <w:rFonts w:ascii="Garamond" w:hAnsi="Garamond"/>
          <w:sz w:val="24"/>
          <w:szCs w:val="24"/>
        </w:rPr>
        <w:t>Zagenczyk</w:t>
      </w:r>
      <w:proofErr w:type="spellEnd"/>
      <w:r w:rsidRPr="003A457D">
        <w:rPr>
          <w:rFonts w:ascii="Garamond" w:hAnsi="Garamond"/>
          <w:sz w:val="24"/>
          <w:szCs w:val="24"/>
        </w:rPr>
        <w:t>, 2011)</w:t>
      </w:r>
      <w:r w:rsidRPr="003A457D">
        <w:rPr>
          <w:rFonts w:ascii="Garamond" w:hAnsi="Garamond"/>
          <w:bCs/>
          <w:sz w:val="24"/>
          <w:szCs w:val="24"/>
          <w:lang w:val="en-US"/>
        </w:rPr>
        <w:fldChar w:fldCharType="end"/>
      </w:r>
      <w:r w:rsidRPr="003A457D">
        <w:rPr>
          <w:rFonts w:ascii="Garamond" w:hAnsi="Garamond"/>
          <w:bCs/>
          <w:sz w:val="24"/>
          <w:szCs w:val="24"/>
          <w:lang w:val="en-US"/>
        </w:rPr>
        <w:t xml:space="preserve">. Data from this period suggest that government finances for educational growth come from various sources, but municipal taxes play an essential role </w:t>
      </w:r>
      <w:r w:rsidRPr="003A457D">
        <w:rPr>
          <w:rFonts w:ascii="Garamond" w:hAnsi="Garamond"/>
          <w:bCs/>
          <w:sz w:val="24"/>
          <w:szCs w:val="24"/>
          <w:lang w:val="en-US"/>
        </w:rPr>
        <w:fldChar w:fldCharType="begin"/>
      </w:r>
      <w:r w:rsidRPr="003A457D">
        <w:rPr>
          <w:rFonts w:ascii="Garamond" w:hAnsi="Garamond"/>
          <w:bCs/>
          <w:sz w:val="24"/>
          <w:szCs w:val="24"/>
          <w:lang w:val="en-US"/>
        </w:rPr>
        <w:instrText xml:space="preserve"> ADDIN ZOTERO_ITEM CSL_CITATION {"citationID":"HRG41CX7","properties":{"formattedCitation":"(Tomei, 2003)","plainCitation":"(Tomei, 2003)","noteIndex":0},"citationItems":[{"id":201,"uris":["http://zotero.org/users/local/GmZiI9vO/items/RZL8R7EN"],"itemData":{"id":201,"type":"article-journal","abstract":"Semantic Scholar extracted view of \"Technology in the technology classroom\" by Lawrence A. Tomei","DOI":"10.4018/978-1-59140-109-4.CH009","title":"Technology in the technology classroom","URL":"https://www.semanticscholar.org/paper/88ba6d8c2f00824d5a499f63d99e44e0a45192ec","author":[{"family":"Tomei","given":"Lawrence A."}],"issued":{"date-parts":[["2003"]]}}}],"schema":"https://github.com/citation-style-language/schema/raw/master/csl-citation.json"} </w:instrText>
      </w:r>
      <w:r w:rsidRPr="003A457D">
        <w:rPr>
          <w:rFonts w:ascii="Garamond" w:hAnsi="Garamond"/>
          <w:bCs/>
          <w:sz w:val="24"/>
          <w:szCs w:val="24"/>
          <w:lang w:val="en-US"/>
        </w:rPr>
        <w:fldChar w:fldCharType="separate"/>
      </w:r>
      <w:r w:rsidRPr="003A457D">
        <w:rPr>
          <w:rFonts w:ascii="Garamond" w:hAnsi="Garamond"/>
          <w:sz w:val="24"/>
          <w:szCs w:val="24"/>
        </w:rPr>
        <w:t>(Tomei, 2003)</w:t>
      </w:r>
      <w:r w:rsidRPr="003A457D">
        <w:rPr>
          <w:rFonts w:ascii="Garamond" w:hAnsi="Garamond"/>
          <w:bCs/>
          <w:sz w:val="24"/>
          <w:szCs w:val="24"/>
          <w:lang w:val="en-US"/>
        </w:rPr>
        <w:fldChar w:fldCharType="end"/>
      </w:r>
      <w:r w:rsidRPr="003A457D">
        <w:rPr>
          <w:rFonts w:ascii="Garamond" w:hAnsi="Garamond"/>
          <w:bCs/>
          <w:sz w:val="24"/>
          <w:szCs w:val="24"/>
          <w:lang w:val="en-US"/>
        </w:rPr>
        <w:t>. The historical significance of the city's support for public schools is crucial in helping us.</w:t>
      </w:r>
    </w:p>
    <w:p w14:paraId="1A46772E" w14:textId="77777777" w:rsidR="003A457D" w:rsidRPr="003A457D" w:rsidRDefault="003A457D" w:rsidP="003A457D">
      <w:pPr>
        <w:ind w:firstLine="720"/>
        <w:jc w:val="both"/>
        <w:rPr>
          <w:rFonts w:ascii="Garamond" w:hAnsi="Garamond"/>
          <w:spacing w:val="1"/>
          <w:w w:val="110"/>
          <w:sz w:val="24"/>
          <w:szCs w:val="24"/>
          <w:highlight w:val="yellow"/>
          <w:lang w:val="en-US"/>
        </w:rPr>
      </w:pPr>
      <w:r w:rsidRPr="003A457D">
        <w:rPr>
          <w:rFonts w:ascii="Garamond" w:hAnsi="Garamond"/>
          <w:sz w:val="24"/>
          <w:szCs w:val="24"/>
        </w:rPr>
        <w:t xml:space="preserve">The result of </w:t>
      </w:r>
      <w:r w:rsidRPr="003A457D">
        <w:rPr>
          <w:rFonts w:ascii="Garamond" w:hAnsi="Garamond"/>
          <w:sz w:val="24"/>
          <w:szCs w:val="24"/>
          <w:lang w:val="en-US"/>
        </w:rPr>
        <w:t>publishing or perish</w:t>
      </w:r>
      <w:proofErr w:type="spellStart"/>
      <w:r w:rsidRPr="003A457D">
        <w:rPr>
          <w:rFonts w:ascii="Garamond" w:hAnsi="Garamond"/>
          <w:sz w:val="24"/>
          <w:szCs w:val="24"/>
        </w:rPr>
        <w:t>ing</w:t>
      </w:r>
      <w:proofErr w:type="spellEnd"/>
      <w:r w:rsidRPr="003A457D">
        <w:rPr>
          <w:rFonts w:ascii="Garamond" w:hAnsi="Garamond"/>
          <w:sz w:val="24"/>
          <w:szCs w:val="24"/>
        </w:rPr>
        <w:t xml:space="preserve"> </w:t>
      </w:r>
      <w:r w:rsidRPr="003A457D">
        <w:rPr>
          <w:rFonts w:ascii="Garamond" w:hAnsi="Garamond"/>
          <w:color w:val="2E2E2E"/>
          <w:kern w:val="36"/>
          <w:sz w:val="24"/>
          <w:szCs w:val="24"/>
          <w:lang w:val="en-US"/>
        </w:rPr>
        <w:t>“</w:t>
      </w:r>
      <w:r w:rsidRPr="003A457D">
        <w:rPr>
          <w:rFonts w:ascii="Garamond" w:hAnsi="Garamond"/>
          <w:sz w:val="24"/>
          <w:szCs w:val="24"/>
          <w:lang w:val="en-US"/>
        </w:rPr>
        <w:t>counseling guidance</w:t>
      </w:r>
      <w:r w:rsidRPr="003A457D">
        <w:rPr>
          <w:rFonts w:ascii="Garamond" w:hAnsi="Garamond"/>
          <w:color w:val="2E2E2E"/>
          <w:kern w:val="36"/>
          <w:sz w:val="24"/>
          <w:szCs w:val="24"/>
          <w:lang w:val="en-US"/>
        </w:rPr>
        <w:t>” in 2010-2021</w:t>
      </w:r>
      <w:r w:rsidRPr="003A457D">
        <w:rPr>
          <w:rFonts w:ascii="Garamond" w:hAnsi="Garamond"/>
          <w:color w:val="2E2E2E"/>
          <w:kern w:val="36"/>
          <w:sz w:val="24"/>
          <w:szCs w:val="24"/>
        </w:rPr>
        <w:t xml:space="preserve"> is as follows</w:t>
      </w:r>
      <w:r w:rsidRPr="003A457D">
        <w:rPr>
          <w:rFonts w:ascii="Garamond" w:hAnsi="Garamond"/>
          <w:color w:val="2E2E2E"/>
          <w:kern w:val="36"/>
          <w:sz w:val="24"/>
          <w:szCs w:val="24"/>
          <w:lang w:val="en-US"/>
        </w:rPr>
        <w:t>.</w:t>
      </w:r>
    </w:p>
    <w:p w14:paraId="1C56EDCA" w14:textId="77777777" w:rsidR="003A457D" w:rsidRPr="003A457D" w:rsidRDefault="003A457D" w:rsidP="003A457D">
      <w:pPr>
        <w:jc w:val="both"/>
        <w:rPr>
          <w:rFonts w:ascii="Garamond" w:hAnsi="Garamond" w:cs="Arial"/>
          <w:noProof/>
          <w:sz w:val="24"/>
          <w:szCs w:val="24"/>
        </w:rPr>
      </w:pPr>
    </w:p>
    <w:p w14:paraId="4DED1C33" w14:textId="77777777" w:rsidR="003A457D" w:rsidRPr="003A457D" w:rsidRDefault="003A457D" w:rsidP="003A457D">
      <w:pPr>
        <w:jc w:val="both"/>
        <w:rPr>
          <w:rFonts w:ascii="Garamond" w:hAnsi="Garamond"/>
          <w:bCs/>
          <w:sz w:val="24"/>
          <w:szCs w:val="24"/>
          <w:highlight w:val="yellow"/>
          <w:lang w:val="en-US"/>
        </w:rPr>
      </w:pPr>
      <w:r w:rsidRPr="003A457D">
        <w:rPr>
          <w:rFonts w:ascii="Garamond" w:hAnsi="Garamond"/>
          <w:noProof/>
          <w:sz w:val="24"/>
          <w:szCs w:val="24"/>
        </w:rPr>
        <w:drawing>
          <wp:inline distT="0" distB="0" distL="0" distR="0" wp14:anchorId="71316094" wp14:editId="0E52FE3D">
            <wp:extent cx="5364773" cy="2275951"/>
            <wp:effectExtent l="95250" t="57150" r="45720" b="143510"/>
            <wp:docPr id="21" name="Picture 21"/>
            <wp:cNvGraphicFramePr/>
            <a:graphic xmlns:a="http://schemas.openxmlformats.org/drawingml/2006/main">
              <a:graphicData uri="http://schemas.openxmlformats.org/drawingml/2006/picture">
                <pic:pic xmlns:pic="http://schemas.openxmlformats.org/drawingml/2006/picture">
                  <pic:nvPicPr>
                    <pic:cNvPr id="21" name="Picture 1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304333" cy="2250310"/>
                    </a:xfrm>
                    <a:prstGeom prst="roundRect">
                      <a:avLst>
                        <a:gd name="adj" fmla="val 16667"/>
                      </a:avLst>
                    </a:prstGeom>
                    <a:ln>
                      <a:noFill/>
                    </a:ln>
                    <a:effectLst>
                      <a:outerShdw blurRad="76200" dist="38100" dir="7800000" algn="tl" rotWithShape="0">
                        <a:srgbClr val="000000">
                          <a:alpha val="40000"/>
                        </a:srgbClr>
                      </a:outerShdw>
                    </a:effectLst>
                    <a:scene3d>
                      <a:camera prst="perspectiveFront"/>
                      <a:lightRig rig="contrasting" dir="t">
                        <a:rot lat="0" lon="0" rev="4200000"/>
                      </a:lightRig>
                    </a:scene3d>
                    <a:sp3d prstMaterial="plastic">
                      <a:bevelT w="381000" h="114300" prst="relaxedInset"/>
                      <a:contourClr>
                        <a:srgbClr val="969696"/>
                      </a:contourClr>
                    </a:sp3d>
                  </pic:spPr>
                </pic:pic>
              </a:graphicData>
            </a:graphic>
          </wp:inline>
        </w:drawing>
      </w:r>
    </w:p>
    <w:p w14:paraId="1C5FA4C0" w14:textId="77777777" w:rsidR="003A457D" w:rsidRPr="003A457D" w:rsidRDefault="003A457D" w:rsidP="003A457D">
      <w:pPr>
        <w:jc w:val="both"/>
        <w:rPr>
          <w:rFonts w:ascii="Garamond" w:hAnsi="Garamond"/>
          <w:bCs/>
          <w:sz w:val="24"/>
          <w:szCs w:val="24"/>
          <w:lang w:val="en-US"/>
        </w:rPr>
      </w:pPr>
    </w:p>
    <w:p w14:paraId="1C401386" w14:textId="77777777" w:rsidR="003A457D" w:rsidRPr="003A457D" w:rsidRDefault="003A457D" w:rsidP="003A457D">
      <w:pPr>
        <w:jc w:val="both"/>
        <w:rPr>
          <w:rFonts w:ascii="Garamond" w:hAnsi="Garamond"/>
          <w:color w:val="2E2E2E"/>
          <w:kern w:val="36"/>
          <w:sz w:val="24"/>
          <w:szCs w:val="24"/>
          <w:lang w:val="en-US"/>
        </w:rPr>
      </w:pPr>
      <w:r w:rsidRPr="003A457D">
        <w:rPr>
          <w:rFonts w:ascii="Garamond" w:hAnsi="Garamond"/>
          <w:bCs/>
          <w:sz w:val="24"/>
          <w:szCs w:val="24"/>
          <w:lang w:val="en-US"/>
        </w:rPr>
        <w:t xml:space="preserve">Figure 8. Publish or perish (windows GUI edition) about </w:t>
      </w:r>
      <w:r w:rsidRPr="003A457D">
        <w:rPr>
          <w:rFonts w:ascii="Garamond" w:hAnsi="Garamond"/>
          <w:sz w:val="24"/>
          <w:szCs w:val="24"/>
        </w:rPr>
        <w:t>“</w:t>
      </w:r>
      <w:r w:rsidRPr="003A457D">
        <w:rPr>
          <w:rFonts w:ascii="Garamond" w:hAnsi="Garamond"/>
          <w:sz w:val="24"/>
          <w:szCs w:val="24"/>
          <w:lang w:val="en-US"/>
        </w:rPr>
        <w:t>counseling guidance</w:t>
      </w:r>
      <w:r w:rsidRPr="003A457D">
        <w:rPr>
          <w:rFonts w:ascii="Garamond" w:hAnsi="Garamond"/>
          <w:color w:val="2E2E2E"/>
          <w:kern w:val="36"/>
          <w:sz w:val="24"/>
          <w:szCs w:val="24"/>
          <w:lang w:val="en-US"/>
        </w:rPr>
        <w:t>” in 2010-2021</w:t>
      </w:r>
    </w:p>
    <w:p w14:paraId="6139B0E1" w14:textId="77777777" w:rsidR="003A457D" w:rsidRPr="003A457D" w:rsidRDefault="003A457D" w:rsidP="003A457D">
      <w:pPr>
        <w:jc w:val="both"/>
        <w:rPr>
          <w:rFonts w:ascii="Garamond" w:hAnsi="Garamond"/>
          <w:color w:val="2E2E2E"/>
          <w:kern w:val="36"/>
          <w:sz w:val="24"/>
          <w:szCs w:val="24"/>
          <w:lang w:val="en-US"/>
        </w:rPr>
      </w:pPr>
    </w:p>
    <w:p w14:paraId="7D43803A" w14:textId="77777777" w:rsidR="003A457D" w:rsidRPr="003A457D" w:rsidRDefault="003A457D" w:rsidP="003A457D">
      <w:pPr>
        <w:ind w:firstLine="720"/>
        <w:jc w:val="both"/>
        <w:rPr>
          <w:rFonts w:ascii="Garamond" w:hAnsi="Garamond"/>
          <w:bCs/>
          <w:sz w:val="24"/>
          <w:szCs w:val="24"/>
          <w:highlight w:val="yellow"/>
          <w:lang w:val="en-US"/>
        </w:rPr>
      </w:pPr>
      <w:r w:rsidRPr="003A457D">
        <w:rPr>
          <w:rFonts w:ascii="Garamond" w:hAnsi="Garamond"/>
          <w:sz w:val="24"/>
          <w:szCs w:val="24"/>
        </w:rPr>
        <w:t xml:space="preserve">The preliminary search results using the </w:t>
      </w:r>
      <w:r w:rsidRPr="003A457D">
        <w:rPr>
          <w:rFonts w:ascii="Garamond" w:hAnsi="Garamond"/>
          <w:bCs/>
          <w:sz w:val="24"/>
          <w:szCs w:val="24"/>
          <w:lang w:val="en-US"/>
        </w:rPr>
        <w:t xml:space="preserve">Publish or perish (windows GUI edition) </w:t>
      </w:r>
      <w:r w:rsidRPr="003A457D">
        <w:rPr>
          <w:rFonts w:ascii="Garamond" w:hAnsi="Garamond"/>
          <w:sz w:val="24"/>
          <w:szCs w:val="24"/>
        </w:rPr>
        <w:t xml:space="preserve">Journal, </w:t>
      </w:r>
      <w:proofErr w:type="spellStart"/>
      <w:r w:rsidRPr="003A457D">
        <w:rPr>
          <w:rFonts w:ascii="Garamond" w:hAnsi="Garamond"/>
          <w:sz w:val="24"/>
          <w:szCs w:val="24"/>
        </w:rPr>
        <w:t>counseling</w:t>
      </w:r>
      <w:proofErr w:type="spellEnd"/>
      <w:r w:rsidRPr="003A457D">
        <w:rPr>
          <w:rFonts w:ascii="Garamond" w:hAnsi="Garamond"/>
          <w:sz w:val="24"/>
          <w:szCs w:val="24"/>
        </w:rPr>
        <w:t xml:space="preserve"> guidance from 2021 to 2022</w:t>
      </w:r>
      <w:r w:rsidRPr="003A457D">
        <w:rPr>
          <w:rFonts w:ascii="Garamond" w:hAnsi="Garamond"/>
          <w:bCs/>
          <w:sz w:val="24"/>
          <w:szCs w:val="24"/>
          <w:lang w:val="en-US"/>
        </w:rPr>
        <w:t xml:space="preserve"> </w:t>
      </w:r>
      <w:r w:rsidRPr="003A457D">
        <w:rPr>
          <w:rFonts w:ascii="Garamond" w:hAnsi="Garamond"/>
          <w:sz w:val="24"/>
          <w:szCs w:val="24"/>
        </w:rPr>
        <w:t xml:space="preserve">claim resulted in the term </w:t>
      </w:r>
      <w:proofErr w:type="spellStart"/>
      <w:r w:rsidRPr="003A457D">
        <w:rPr>
          <w:rFonts w:ascii="Garamond" w:hAnsi="Garamond"/>
          <w:sz w:val="24"/>
          <w:szCs w:val="24"/>
        </w:rPr>
        <w:t>counseling</w:t>
      </w:r>
      <w:proofErr w:type="spellEnd"/>
      <w:r w:rsidRPr="003A457D">
        <w:rPr>
          <w:rFonts w:ascii="Garamond" w:hAnsi="Garamond"/>
          <w:sz w:val="24"/>
          <w:szCs w:val="24"/>
        </w:rPr>
        <w:t xml:space="preserve"> guidance</w:t>
      </w:r>
      <w:r w:rsidRPr="003A457D">
        <w:rPr>
          <w:rFonts w:ascii="Garamond" w:hAnsi="Garamond"/>
          <w:color w:val="2E2E2E"/>
          <w:kern w:val="36"/>
          <w:sz w:val="24"/>
          <w:szCs w:val="24"/>
          <w:lang w:val="en-US"/>
        </w:rPr>
        <w:t>”</w:t>
      </w:r>
      <w:r w:rsidRPr="003A457D">
        <w:rPr>
          <w:rFonts w:ascii="Garamond" w:hAnsi="Garamond"/>
          <w:sz w:val="24"/>
          <w:szCs w:val="24"/>
        </w:rPr>
        <w:t xml:space="preserve"> appendices, sorted into four terms designated appendices into publication name as journal and Google Scholar database. There were four keywords (</w:t>
      </w:r>
      <w:r w:rsidRPr="003A457D">
        <w:rPr>
          <w:rFonts w:ascii="Garamond" w:hAnsi="Garamond"/>
          <w:sz w:val="24"/>
          <w:szCs w:val="24"/>
          <w:lang w:val="en-US"/>
        </w:rPr>
        <w:t xml:space="preserve">counseling guidance is 420 </w:t>
      </w:r>
      <w:r w:rsidRPr="003A457D">
        <w:rPr>
          <w:rFonts w:ascii="Garamond" w:hAnsi="Garamond"/>
          <w:sz w:val="24"/>
          <w:szCs w:val="24"/>
        </w:rPr>
        <w:t>papers</w:t>
      </w:r>
      <w:r w:rsidRPr="003A457D">
        <w:rPr>
          <w:rFonts w:ascii="Garamond" w:hAnsi="Garamond"/>
          <w:sz w:val="24"/>
          <w:szCs w:val="24"/>
          <w:lang w:val="en-US"/>
        </w:rPr>
        <w:t xml:space="preserve">. And then, the figure 1 showed that  </w:t>
      </w:r>
      <w:r w:rsidRPr="003A457D">
        <w:rPr>
          <w:rFonts w:ascii="Garamond" w:hAnsi="Garamond"/>
          <w:sz w:val="24"/>
          <w:szCs w:val="24"/>
        </w:rPr>
        <w:t>Reference date: 2022-05-10 16:00:38 -0700</w:t>
      </w:r>
      <w:r w:rsidRPr="003A457D">
        <w:rPr>
          <w:rFonts w:ascii="Garamond" w:hAnsi="Garamond"/>
          <w:sz w:val="24"/>
          <w:szCs w:val="24"/>
          <w:lang w:val="en-US"/>
        </w:rPr>
        <w:t xml:space="preserve">, </w:t>
      </w:r>
      <w:r w:rsidRPr="003A457D">
        <w:rPr>
          <w:rFonts w:ascii="Garamond" w:hAnsi="Garamond"/>
          <w:sz w:val="24"/>
          <w:szCs w:val="24"/>
        </w:rPr>
        <w:t>Publication years: 2021-2022</w:t>
      </w:r>
      <w:r w:rsidRPr="003A457D">
        <w:rPr>
          <w:rFonts w:ascii="Garamond" w:hAnsi="Garamond"/>
          <w:sz w:val="24"/>
          <w:szCs w:val="24"/>
          <w:lang w:val="en-US"/>
        </w:rPr>
        <w:t xml:space="preserve">, </w:t>
      </w:r>
      <w:r w:rsidRPr="003A457D">
        <w:rPr>
          <w:rFonts w:ascii="Garamond" w:hAnsi="Garamond"/>
          <w:sz w:val="24"/>
          <w:szCs w:val="24"/>
        </w:rPr>
        <w:t>Citation years: 1 (2021-2022)</w:t>
      </w:r>
      <w:r w:rsidRPr="003A457D">
        <w:rPr>
          <w:rFonts w:ascii="Garamond" w:hAnsi="Garamond"/>
          <w:sz w:val="24"/>
          <w:szCs w:val="24"/>
          <w:lang w:val="en-US"/>
        </w:rPr>
        <w:t xml:space="preserve">, </w:t>
      </w:r>
      <w:r w:rsidRPr="003A457D">
        <w:rPr>
          <w:rFonts w:ascii="Garamond" w:hAnsi="Garamond"/>
          <w:sz w:val="24"/>
          <w:szCs w:val="24"/>
        </w:rPr>
        <w:t>Papers: 930</w:t>
      </w:r>
      <w:r w:rsidRPr="003A457D">
        <w:rPr>
          <w:rFonts w:ascii="Garamond" w:hAnsi="Garamond"/>
          <w:sz w:val="24"/>
          <w:szCs w:val="24"/>
          <w:lang w:val="en-US"/>
        </w:rPr>
        <w:t xml:space="preserve">, </w:t>
      </w:r>
      <w:r w:rsidRPr="003A457D">
        <w:rPr>
          <w:rFonts w:ascii="Garamond" w:hAnsi="Garamond"/>
          <w:sz w:val="24"/>
          <w:szCs w:val="24"/>
        </w:rPr>
        <w:t>Citations: 2078</w:t>
      </w:r>
      <w:r w:rsidRPr="003A457D">
        <w:rPr>
          <w:rFonts w:ascii="Garamond" w:hAnsi="Garamond"/>
          <w:sz w:val="24"/>
          <w:szCs w:val="24"/>
          <w:lang w:val="en-US"/>
        </w:rPr>
        <w:t xml:space="preserve">, </w:t>
      </w:r>
      <w:r w:rsidRPr="003A457D">
        <w:rPr>
          <w:rFonts w:ascii="Garamond" w:hAnsi="Garamond"/>
          <w:sz w:val="24"/>
          <w:szCs w:val="24"/>
        </w:rPr>
        <w:t>Citations/year: 2078.00 (acc1=389, acc2=225, acc5=86, acc10=35, acc20=12)</w:t>
      </w:r>
      <w:r w:rsidRPr="003A457D">
        <w:rPr>
          <w:rFonts w:ascii="Garamond" w:hAnsi="Garamond"/>
          <w:sz w:val="24"/>
          <w:szCs w:val="24"/>
          <w:lang w:val="en-US"/>
        </w:rPr>
        <w:t xml:space="preserve"> ,</w:t>
      </w:r>
      <w:r w:rsidRPr="003A457D">
        <w:rPr>
          <w:rFonts w:ascii="Garamond" w:hAnsi="Garamond"/>
          <w:sz w:val="24"/>
          <w:szCs w:val="24"/>
        </w:rPr>
        <w:t>Citations/paper: 2.23</w:t>
      </w:r>
      <w:r w:rsidRPr="003A457D">
        <w:rPr>
          <w:rFonts w:ascii="Garamond" w:hAnsi="Garamond"/>
          <w:sz w:val="24"/>
          <w:szCs w:val="24"/>
          <w:lang w:val="en-US"/>
        </w:rPr>
        <w:t xml:space="preserve">, </w:t>
      </w:r>
      <w:r w:rsidRPr="003A457D">
        <w:rPr>
          <w:rFonts w:ascii="Garamond" w:hAnsi="Garamond"/>
          <w:sz w:val="24"/>
          <w:szCs w:val="24"/>
        </w:rPr>
        <w:t>Authors/paper: 2.60/3.0/3 (mean/median/mode)</w:t>
      </w:r>
      <w:r w:rsidRPr="003A457D">
        <w:rPr>
          <w:rFonts w:ascii="Garamond" w:hAnsi="Garamond"/>
          <w:sz w:val="24"/>
          <w:szCs w:val="24"/>
          <w:lang w:val="en-US"/>
        </w:rPr>
        <w:t xml:space="preserve">, </w:t>
      </w:r>
      <w:r w:rsidRPr="003A457D">
        <w:rPr>
          <w:rFonts w:ascii="Garamond" w:hAnsi="Garamond"/>
          <w:sz w:val="24"/>
          <w:szCs w:val="24"/>
        </w:rPr>
        <w:t>Age-weighted citation rate: 2077.00 (sqrt=45.57), 1028.12/author</w:t>
      </w:r>
      <w:r w:rsidRPr="003A457D">
        <w:rPr>
          <w:rFonts w:ascii="Garamond" w:hAnsi="Garamond"/>
          <w:sz w:val="24"/>
          <w:szCs w:val="24"/>
          <w:lang w:val="en-US"/>
        </w:rPr>
        <w:t xml:space="preserve">, </w:t>
      </w:r>
      <w:r w:rsidRPr="003A457D">
        <w:rPr>
          <w:rFonts w:ascii="Garamond" w:hAnsi="Garamond"/>
          <w:sz w:val="24"/>
          <w:szCs w:val="24"/>
        </w:rPr>
        <w:t>Hirsch h-index: 16 (a=8.12, m=16.00, 961 cites=46.2% coverage)</w:t>
      </w:r>
      <w:r w:rsidRPr="003A457D">
        <w:rPr>
          <w:rFonts w:ascii="Garamond" w:hAnsi="Garamond"/>
          <w:sz w:val="24"/>
          <w:szCs w:val="24"/>
          <w:lang w:val="en-US"/>
        </w:rPr>
        <w:t xml:space="preserve">, </w:t>
      </w:r>
      <w:proofErr w:type="spellStart"/>
      <w:r w:rsidRPr="003A457D">
        <w:rPr>
          <w:rFonts w:ascii="Garamond" w:hAnsi="Garamond"/>
          <w:sz w:val="24"/>
          <w:szCs w:val="24"/>
        </w:rPr>
        <w:t>Egghe</w:t>
      </w:r>
      <w:proofErr w:type="spellEnd"/>
      <w:r w:rsidRPr="003A457D">
        <w:rPr>
          <w:rFonts w:ascii="Garamond" w:hAnsi="Garamond"/>
          <w:sz w:val="24"/>
          <w:szCs w:val="24"/>
        </w:rPr>
        <w:t xml:space="preserve"> g-index: 34 (g/h=2.13, 1190 cites=57.3% coverage)</w:t>
      </w:r>
      <w:r w:rsidRPr="003A457D">
        <w:rPr>
          <w:rFonts w:ascii="Garamond" w:hAnsi="Garamond"/>
          <w:sz w:val="24"/>
          <w:szCs w:val="24"/>
          <w:lang w:val="en-US"/>
        </w:rPr>
        <w:t xml:space="preserve">, </w:t>
      </w:r>
      <w:proofErr w:type="spellStart"/>
      <w:r w:rsidRPr="003A457D">
        <w:rPr>
          <w:rFonts w:ascii="Garamond" w:hAnsi="Garamond"/>
          <w:sz w:val="24"/>
          <w:szCs w:val="24"/>
        </w:rPr>
        <w:t>PoP</w:t>
      </w:r>
      <w:proofErr w:type="spellEnd"/>
      <w:r w:rsidRPr="003A457D">
        <w:rPr>
          <w:rFonts w:ascii="Garamond" w:hAnsi="Garamond"/>
          <w:sz w:val="24"/>
          <w:szCs w:val="24"/>
        </w:rPr>
        <w:t xml:space="preserve"> </w:t>
      </w:r>
      <w:proofErr w:type="spellStart"/>
      <w:r w:rsidRPr="003A457D">
        <w:rPr>
          <w:rFonts w:ascii="Garamond" w:hAnsi="Garamond"/>
          <w:sz w:val="24"/>
          <w:szCs w:val="24"/>
        </w:rPr>
        <w:t>hI,norm</w:t>
      </w:r>
      <w:proofErr w:type="spellEnd"/>
      <w:r w:rsidRPr="003A457D">
        <w:rPr>
          <w:rFonts w:ascii="Garamond" w:hAnsi="Garamond"/>
          <w:sz w:val="24"/>
          <w:szCs w:val="24"/>
        </w:rPr>
        <w:t>: 10</w:t>
      </w:r>
      <w:r w:rsidRPr="003A457D">
        <w:rPr>
          <w:rFonts w:ascii="Garamond" w:hAnsi="Garamond"/>
          <w:sz w:val="24"/>
          <w:szCs w:val="24"/>
          <w:lang w:val="en-US"/>
        </w:rPr>
        <w:t xml:space="preserve">, </w:t>
      </w:r>
      <w:proofErr w:type="spellStart"/>
      <w:r w:rsidRPr="003A457D">
        <w:rPr>
          <w:rFonts w:ascii="Garamond" w:hAnsi="Garamond"/>
          <w:sz w:val="24"/>
          <w:szCs w:val="24"/>
        </w:rPr>
        <w:t>PoP</w:t>
      </w:r>
      <w:proofErr w:type="spellEnd"/>
      <w:r w:rsidRPr="003A457D">
        <w:rPr>
          <w:rFonts w:ascii="Garamond" w:hAnsi="Garamond"/>
          <w:sz w:val="24"/>
          <w:szCs w:val="24"/>
        </w:rPr>
        <w:t xml:space="preserve"> </w:t>
      </w:r>
      <w:proofErr w:type="spellStart"/>
      <w:r w:rsidRPr="003A457D">
        <w:rPr>
          <w:rFonts w:ascii="Garamond" w:hAnsi="Garamond"/>
          <w:sz w:val="24"/>
          <w:szCs w:val="24"/>
        </w:rPr>
        <w:t>hI,annual</w:t>
      </w:r>
      <w:proofErr w:type="spellEnd"/>
      <w:r w:rsidRPr="003A457D">
        <w:rPr>
          <w:rFonts w:ascii="Garamond" w:hAnsi="Garamond"/>
          <w:sz w:val="24"/>
          <w:szCs w:val="24"/>
        </w:rPr>
        <w:t>: 10.00</w:t>
      </w:r>
      <w:r w:rsidRPr="003A457D">
        <w:rPr>
          <w:rFonts w:ascii="Garamond" w:hAnsi="Garamond"/>
          <w:sz w:val="24"/>
          <w:szCs w:val="24"/>
          <w:lang w:val="en-US"/>
        </w:rPr>
        <w:t xml:space="preserve"> and </w:t>
      </w:r>
      <w:proofErr w:type="spellStart"/>
      <w:r w:rsidRPr="003A457D">
        <w:rPr>
          <w:rFonts w:ascii="Garamond" w:hAnsi="Garamond"/>
          <w:sz w:val="24"/>
          <w:szCs w:val="24"/>
        </w:rPr>
        <w:t>Fassin</w:t>
      </w:r>
      <w:proofErr w:type="spellEnd"/>
      <w:r w:rsidRPr="003A457D">
        <w:rPr>
          <w:rFonts w:ascii="Garamond" w:hAnsi="Garamond"/>
          <w:sz w:val="24"/>
          <w:szCs w:val="24"/>
        </w:rPr>
        <w:t xml:space="preserve"> </w:t>
      </w:r>
      <w:proofErr w:type="spellStart"/>
      <w:r w:rsidRPr="003A457D">
        <w:rPr>
          <w:rFonts w:ascii="Garamond" w:hAnsi="Garamond"/>
          <w:sz w:val="24"/>
          <w:szCs w:val="24"/>
        </w:rPr>
        <w:t>hA</w:t>
      </w:r>
      <w:proofErr w:type="spellEnd"/>
      <w:r w:rsidRPr="003A457D">
        <w:rPr>
          <w:rFonts w:ascii="Garamond" w:hAnsi="Garamond"/>
          <w:sz w:val="24"/>
          <w:szCs w:val="24"/>
        </w:rPr>
        <w:t>-index: 16</w:t>
      </w:r>
      <w:r w:rsidRPr="003A457D">
        <w:rPr>
          <w:rFonts w:ascii="Garamond" w:hAnsi="Garamond"/>
          <w:sz w:val="24"/>
          <w:szCs w:val="24"/>
          <w:lang w:val="en-US"/>
        </w:rPr>
        <w:t xml:space="preserve">. </w:t>
      </w:r>
    </w:p>
    <w:p w14:paraId="219B1EC4" w14:textId="77777777" w:rsidR="003A457D" w:rsidRPr="003A457D" w:rsidRDefault="003A457D" w:rsidP="003A457D">
      <w:pPr>
        <w:jc w:val="both"/>
        <w:rPr>
          <w:rFonts w:ascii="Garamond" w:hAnsi="Garamond"/>
          <w:b/>
          <w:sz w:val="24"/>
          <w:szCs w:val="24"/>
          <w:highlight w:val="yellow"/>
          <w:lang w:val="en-US"/>
        </w:rPr>
      </w:pPr>
      <w:r w:rsidRPr="003A457D">
        <w:rPr>
          <w:rFonts w:ascii="Garamond" w:hAnsi="Garamond"/>
          <w:noProof/>
          <w:sz w:val="24"/>
          <w:szCs w:val="24"/>
        </w:rPr>
        <w:lastRenderedPageBreak/>
        <w:drawing>
          <wp:inline distT="0" distB="0" distL="0" distR="0" wp14:anchorId="20F01000" wp14:editId="34A29F6D">
            <wp:extent cx="5641848" cy="31470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644722" cy="3148663"/>
                    </a:xfrm>
                    <a:prstGeom prst="rect">
                      <a:avLst/>
                    </a:prstGeom>
                    <a:noFill/>
                    <a:ln>
                      <a:noFill/>
                    </a:ln>
                  </pic:spPr>
                </pic:pic>
              </a:graphicData>
            </a:graphic>
          </wp:inline>
        </w:drawing>
      </w:r>
    </w:p>
    <w:p w14:paraId="56F81C0B" w14:textId="77777777" w:rsidR="003A457D" w:rsidRPr="003A457D" w:rsidRDefault="003A457D" w:rsidP="003A457D">
      <w:pPr>
        <w:jc w:val="both"/>
        <w:rPr>
          <w:rFonts w:ascii="Garamond" w:hAnsi="Garamond"/>
          <w:bCs/>
          <w:sz w:val="24"/>
          <w:szCs w:val="24"/>
          <w:lang w:val="en-US"/>
        </w:rPr>
      </w:pPr>
      <w:r w:rsidRPr="003A457D">
        <w:rPr>
          <w:rFonts w:ascii="Garamond" w:hAnsi="Garamond"/>
          <w:bCs/>
          <w:sz w:val="24"/>
          <w:szCs w:val="24"/>
          <w:lang w:val="en-US"/>
        </w:rPr>
        <w:t xml:space="preserve">Figure 9. Publish or perish (windows GUI edition) about </w:t>
      </w:r>
      <w:r w:rsidRPr="003A457D">
        <w:rPr>
          <w:rFonts w:ascii="Garamond" w:hAnsi="Garamond"/>
          <w:color w:val="2E2E2E"/>
          <w:kern w:val="36"/>
          <w:sz w:val="24"/>
          <w:szCs w:val="24"/>
          <w:lang w:val="en-US"/>
        </w:rPr>
        <w:t>elementary school</w:t>
      </w:r>
    </w:p>
    <w:p w14:paraId="0758BFD8" w14:textId="77777777" w:rsidR="003A457D" w:rsidRPr="003A457D" w:rsidRDefault="003A457D" w:rsidP="003A457D">
      <w:pPr>
        <w:jc w:val="both"/>
        <w:rPr>
          <w:rFonts w:ascii="Garamond" w:hAnsi="Garamond"/>
          <w:bCs/>
          <w:sz w:val="24"/>
          <w:szCs w:val="24"/>
          <w:lang w:val="en-US"/>
        </w:rPr>
      </w:pPr>
    </w:p>
    <w:p w14:paraId="72C47FE2" w14:textId="77777777" w:rsidR="003A457D" w:rsidRPr="003A457D" w:rsidRDefault="003A457D" w:rsidP="003A457D">
      <w:pPr>
        <w:ind w:firstLine="720"/>
        <w:jc w:val="both"/>
        <w:rPr>
          <w:rFonts w:ascii="Garamond" w:hAnsi="Garamond"/>
          <w:sz w:val="24"/>
          <w:szCs w:val="24"/>
          <w:lang w:val="en-US"/>
        </w:rPr>
      </w:pPr>
      <w:r w:rsidRPr="003A457D">
        <w:rPr>
          <w:rFonts w:ascii="Garamond" w:hAnsi="Garamond"/>
          <w:sz w:val="24"/>
          <w:szCs w:val="24"/>
        </w:rPr>
        <w:t xml:space="preserve">The preliminary search results using the </w:t>
      </w:r>
      <w:r w:rsidRPr="003A457D">
        <w:rPr>
          <w:rFonts w:ascii="Garamond" w:hAnsi="Garamond"/>
          <w:bCs/>
          <w:sz w:val="24"/>
          <w:szCs w:val="24"/>
          <w:lang w:val="en-US"/>
        </w:rPr>
        <w:t xml:space="preserve">Publish or perish (windows GUI edition) 7.33.3388.7819 </w:t>
      </w:r>
      <w:r w:rsidRPr="003A457D">
        <w:rPr>
          <w:rFonts w:ascii="Garamond" w:hAnsi="Garamond"/>
          <w:sz w:val="24"/>
          <w:szCs w:val="24"/>
        </w:rPr>
        <w:t>claim resulted in the term "</w:t>
      </w:r>
      <w:r w:rsidRPr="003A457D">
        <w:rPr>
          <w:rFonts w:ascii="Garamond" w:hAnsi="Garamond"/>
          <w:color w:val="2E2E2E"/>
          <w:kern w:val="36"/>
          <w:sz w:val="24"/>
          <w:szCs w:val="24"/>
          <w:lang w:val="en-US"/>
        </w:rPr>
        <w:t>elementary school”</w:t>
      </w:r>
      <w:r w:rsidRPr="003A457D">
        <w:rPr>
          <w:rFonts w:ascii="Garamond" w:hAnsi="Garamond"/>
          <w:sz w:val="24"/>
          <w:szCs w:val="24"/>
        </w:rPr>
        <w:t xml:space="preserve"> appendices, sorted into four terms designated appendices into publication name as journal and Google Scholar database. There were four keywords </w:t>
      </w:r>
      <w:r w:rsidRPr="003A457D">
        <w:rPr>
          <w:rFonts w:ascii="Garamond" w:hAnsi="Garamond"/>
          <w:color w:val="2E2E2E"/>
          <w:kern w:val="36"/>
          <w:sz w:val="24"/>
          <w:szCs w:val="24"/>
          <w:lang w:val="en-US"/>
        </w:rPr>
        <w:t>elementary school</w:t>
      </w:r>
      <w:r w:rsidRPr="003A457D">
        <w:rPr>
          <w:rFonts w:ascii="Garamond" w:hAnsi="Garamond"/>
          <w:sz w:val="24"/>
          <w:szCs w:val="24"/>
        </w:rPr>
        <w:t xml:space="preserve"> </w:t>
      </w:r>
      <w:r w:rsidRPr="003A457D">
        <w:rPr>
          <w:rFonts w:ascii="Garamond" w:hAnsi="Garamond"/>
          <w:sz w:val="24"/>
          <w:szCs w:val="24"/>
          <w:lang w:val="en-US"/>
        </w:rPr>
        <w:t xml:space="preserve">is 975 </w:t>
      </w:r>
      <w:r w:rsidRPr="003A457D">
        <w:rPr>
          <w:rFonts w:ascii="Garamond" w:hAnsi="Garamond"/>
          <w:sz w:val="24"/>
          <w:szCs w:val="24"/>
        </w:rPr>
        <w:t>papers</w:t>
      </w:r>
      <w:r w:rsidRPr="003A457D">
        <w:rPr>
          <w:rFonts w:ascii="Garamond" w:hAnsi="Garamond"/>
          <w:sz w:val="24"/>
          <w:szCs w:val="24"/>
          <w:lang w:val="en-US"/>
        </w:rPr>
        <w:t>.</w:t>
      </w:r>
      <w:r w:rsidRPr="003A457D">
        <w:rPr>
          <w:rFonts w:ascii="Garamond" w:hAnsi="Garamond"/>
          <w:b/>
          <w:bCs/>
          <w:sz w:val="24"/>
          <w:szCs w:val="24"/>
        </w:rPr>
        <w:t xml:space="preserve"> </w:t>
      </w:r>
      <w:r w:rsidRPr="003A457D">
        <w:rPr>
          <w:rFonts w:ascii="Garamond" w:hAnsi="Garamond"/>
          <w:sz w:val="24"/>
          <w:szCs w:val="24"/>
          <w:lang w:val="en-US"/>
        </w:rPr>
        <w:t xml:space="preserve">They are </w:t>
      </w:r>
      <w:r w:rsidRPr="003A457D">
        <w:rPr>
          <w:rFonts w:ascii="Garamond" w:hAnsi="Garamond"/>
          <w:b/>
          <w:bCs/>
          <w:sz w:val="24"/>
          <w:szCs w:val="24"/>
        </w:rPr>
        <w:t>Reference date:</w:t>
      </w:r>
      <w:r w:rsidRPr="003A457D">
        <w:rPr>
          <w:rFonts w:ascii="Garamond" w:hAnsi="Garamond"/>
          <w:sz w:val="24"/>
          <w:szCs w:val="24"/>
        </w:rPr>
        <w:t xml:space="preserve"> 2022-05-10 18:12:46 -0700</w:t>
      </w:r>
    </w:p>
    <w:p w14:paraId="776AE6B4" w14:textId="77777777" w:rsidR="003A457D" w:rsidRPr="003A457D" w:rsidRDefault="003A457D" w:rsidP="003A457D">
      <w:pPr>
        <w:ind w:firstLine="720"/>
        <w:jc w:val="both"/>
        <w:rPr>
          <w:rFonts w:ascii="Garamond" w:hAnsi="Garamond"/>
          <w:sz w:val="24"/>
          <w:szCs w:val="24"/>
          <w:lang w:val="en-US"/>
        </w:rPr>
      </w:pPr>
      <w:r w:rsidRPr="003A457D">
        <w:rPr>
          <w:rFonts w:ascii="Garamond" w:hAnsi="Garamond"/>
          <w:sz w:val="24"/>
          <w:szCs w:val="24"/>
        </w:rPr>
        <w:t>Publication years: 2021-2022</w:t>
      </w:r>
      <w:r w:rsidRPr="003A457D">
        <w:rPr>
          <w:rFonts w:ascii="Garamond" w:hAnsi="Garamond"/>
          <w:sz w:val="24"/>
          <w:szCs w:val="24"/>
          <w:lang w:val="en-US"/>
        </w:rPr>
        <w:t xml:space="preserve">, </w:t>
      </w:r>
      <w:r w:rsidRPr="003A457D">
        <w:rPr>
          <w:rFonts w:ascii="Garamond" w:hAnsi="Garamond"/>
          <w:sz w:val="24"/>
          <w:szCs w:val="24"/>
        </w:rPr>
        <w:t>Citation years: 1 (2021-2022)</w:t>
      </w:r>
      <w:r w:rsidRPr="003A457D">
        <w:rPr>
          <w:rFonts w:ascii="Garamond" w:hAnsi="Garamond"/>
          <w:sz w:val="24"/>
          <w:szCs w:val="24"/>
          <w:lang w:val="en-US"/>
        </w:rPr>
        <w:t xml:space="preserve">, </w:t>
      </w:r>
      <w:r w:rsidRPr="003A457D">
        <w:rPr>
          <w:rFonts w:ascii="Garamond" w:hAnsi="Garamond"/>
          <w:sz w:val="24"/>
          <w:szCs w:val="24"/>
        </w:rPr>
        <w:t>Papers: 975</w:t>
      </w:r>
    </w:p>
    <w:p w14:paraId="5B216CEB" w14:textId="77777777" w:rsidR="003A457D" w:rsidRPr="003A457D" w:rsidRDefault="003A457D" w:rsidP="003A457D">
      <w:pPr>
        <w:ind w:firstLine="720"/>
        <w:jc w:val="both"/>
        <w:rPr>
          <w:rFonts w:ascii="Garamond" w:hAnsi="Garamond"/>
          <w:sz w:val="24"/>
          <w:szCs w:val="24"/>
          <w:lang w:val="en-US"/>
        </w:rPr>
      </w:pPr>
      <w:r w:rsidRPr="003A457D">
        <w:rPr>
          <w:rFonts w:ascii="Garamond" w:hAnsi="Garamond"/>
          <w:sz w:val="24"/>
          <w:szCs w:val="24"/>
        </w:rPr>
        <w:t>Citations: 3918</w:t>
      </w:r>
      <w:r w:rsidRPr="003A457D">
        <w:rPr>
          <w:rFonts w:ascii="Garamond" w:hAnsi="Garamond"/>
          <w:sz w:val="24"/>
          <w:szCs w:val="24"/>
          <w:lang w:val="en-US"/>
        </w:rPr>
        <w:t xml:space="preserve">, </w:t>
      </w:r>
      <w:r w:rsidRPr="003A457D">
        <w:rPr>
          <w:rFonts w:ascii="Garamond" w:hAnsi="Garamond"/>
          <w:sz w:val="24"/>
          <w:szCs w:val="24"/>
        </w:rPr>
        <w:t>Citations/year: 3918.00 (acc1=637, acc2=486, acc5=236, acc10=98, acc20=34)</w:t>
      </w:r>
      <w:r w:rsidRPr="003A457D">
        <w:rPr>
          <w:rFonts w:ascii="Garamond" w:hAnsi="Garamond"/>
          <w:sz w:val="24"/>
          <w:szCs w:val="24"/>
          <w:lang w:val="en-US"/>
        </w:rPr>
        <w:t xml:space="preserve">, </w:t>
      </w:r>
      <w:r w:rsidRPr="003A457D">
        <w:rPr>
          <w:rFonts w:ascii="Garamond" w:hAnsi="Garamond"/>
          <w:sz w:val="24"/>
          <w:szCs w:val="24"/>
        </w:rPr>
        <w:t>Citations/paper: 4.02</w:t>
      </w:r>
      <w:r w:rsidRPr="003A457D">
        <w:rPr>
          <w:rFonts w:ascii="Garamond" w:hAnsi="Garamond"/>
          <w:sz w:val="24"/>
          <w:szCs w:val="24"/>
          <w:lang w:val="en-US"/>
        </w:rPr>
        <w:t xml:space="preserve">, </w:t>
      </w:r>
      <w:r w:rsidRPr="003A457D">
        <w:rPr>
          <w:rFonts w:ascii="Garamond" w:hAnsi="Garamond"/>
          <w:sz w:val="24"/>
          <w:szCs w:val="24"/>
        </w:rPr>
        <w:t>Authors/paper: 2.81/3.0/3 (mean/median/mode)</w:t>
      </w:r>
      <w:r w:rsidRPr="003A457D">
        <w:rPr>
          <w:rFonts w:ascii="Garamond" w:hAnsi="Garamond"/>
          <w:sz w:val="24"/>
          <w:szCs w:val="24"/>
          <w:lang w:val="en-US"/>
        </w:rPr>
        <w:t xml:space="preserve">, </w:t>
      </w:r>
      <w:r w:rsidRPr="003A457D">
        <w:rPr>
          <w:rFonts w:ascii="Garamond" w:hAnsi="Garamond"/>
          <w:sz w:val="24"/>
          <w:szCs w:val="24"/>
        </w:rPr>
        <w:t>Age-weighted citation rate: 3912.00 (sqrt=62.55), 1750.85/author</w:t>
      </w:r>
      <w:r w:rsidRPr="003A457D">
        <w:rPr>
          <w:rFonts w:ascii="Garamond" w:hAnsi="Garamond"/>
          <w:sz w:val="24"/>
          <w:szCs w:val="24"/>
          <w:lang w:val="en-US"/>
        </w:rPr>
        <w:t xml:space="preserve">, </w:t>
      </w:r>
      <w:r w:rsidRPr="003A457D">
        <w:rPr>
          <w:rFonts w:ascii="Garamond" w:hAnsi="Garamond"/>
          <w:sz w:val="24"/>
          <w:szCs w:val="24"/>
        </w:rPr>
        <w:t>Hirsch h-index: 24 (a=6.80, m=24.00, 1038 cites=26.5% coverage)</w:t>
      </w:r>
      <w:r w:rsidRPr="003A457D">
        <w:rPr>
          <w:rFonts w:ascii="Garamond" w:hAnsi="Garamond"/>
          <w:sz w:val="24"/>
          <w:szCs w:val="24"/>
          <w:lang w:val="en-US"/>
        </w:rPr>
        <w:t xml:space="preserve">, </w:t>
      </w:r>
      <w:proofErr w:type="spellStart"/>
      <w:r w:rsidRPr="003A457D">
        <w:rPr>
          <w:rFonts w:ascii="Garamond" w:hAnsi="Garamond"/>
          <w:sz w:val="24"/>
          <w:szCs w:val="24"/>
        </w:rPr>
        <w:t>Egghe</w:t>
      </w:r>
      <w:proofErr w:type="spellEnd"/>
      <w:r w:rsidRPr="003A457D">
        <w:rPr>
          <w:rFonts w:ascii="Garamond" w:hAnsi="Garamond"/>
          <w:sz w:val="24"/>
          <w:szCs w:val="24"/>
        </w:rPr>
        <w:t xml:space="preserve"> g-index: 35 (g/h=1.46, 1275 cites=32.5% coverage)</w:t>
      </w:r>
      <w:r w:rsidRPr="003A457D">
        <w:rPr>
          <w:rFonts w:ascii="Garamond" w:hAnsi="Garamond"/>
          <w:sz w:val="24"/>
          <w:szCs w:val="24"/>
          <w:lang w:val="en-US"/>
        </w:rPr>
        <w:t xml:space="preserve">, </w:t>
      </w:r>
      <w:proofErr w:type="spellStart"/>
      <w:r w:rsidRPr="003A457D">
        <w:rPr>
          <w:rFonts w:ascii="Garamond" w:hAnsi="Garamond"/>
          <w:sz w:val="24"/>
          <w:szCs w:val="24"/>
        </w:rPr>
        <w:t>PoP</w:t>
      </w:r>
      <w:proofErr w:type="spellEnd"/>
      <w:r w:rsidRPr="003A457D">
        <w:rPr>
          <w:rFonts w:ascii="Garamond" w:hAnsi="Garamond"/>
          <w:sz w:val="24"/>
          <w:szCs w:val="24"/>
        </w:rPr>
        <w:t xml:space="preserve"> </w:t>
      </w:r>
      <w:proofErr w:type="spellStart"/>
      <w:proofErr w:type="gramStart"/>
      <w:r w:rsidRPr="003A457D">
        <w:rPr>
          <w:rFonts w:ascii="Garamond" w:hAnsi="Garamond"/>
          <w:sz w:val="24"/>
          <w:szCs w:val="24"/>
        </w:rPr>
        <w:t>hI,norm</w:t>
      </w:r>
      <w:proofErr w:type="spellEnd"/>
      <w:proofErr w:type="gramEnd"/>
      <w:r w:rsidRPr="003A457D">
        <w:rPr>
          <w:rFonts w:ascii="Garamond" w:hAnsi="Garamond"/>
          <w:sz w:val="24"/>
          <w:szCs w:val="24"/>
        </w:rPr>
        <w:t>: 16</w:t>
      </w:r>
      <w:r w:rsidRPr="003A457D">
        <w:rPr>
          <w:rFonts w:ascii="Garamond" w:hAnsi="Garamond"/>
          <w:sz w:val="24"/>
          <w:szCs w:val="24"/>
          <w:lang w:val="en-US"/>
        </w:rPr>
        <w:t xml:space="preserve">, </w:t>
      </w:r>
      <w:proofErr w:type="spellStart"/>
      <w:r w:rsidRPr="003A457D">
        <w:rPr>
          <w:rFonts w:ascii="Garamond" w:hAnsi="Garamond"/>
          <w:sz w:val="24"/>
          <w:szCs w:val="24"/>
        </w:rPr>
        <w:t>PoP</w:t>
      </w:r>
      <w:proofErr w:type="spellEnd"/>
      <w:r w:rsidRPr="003A457D">
        <w:rPr>
          <w:rFonts w:ascii="Garamond" w:hAnsi="Garamond"/>
          <w:sz w:val="24"/>
          <w:szCs w:val="24"/>
        </w:rPr>
        <w:t xml:space="preserve"> </w:t>
      </w:r>
      <w:proofErr w:type="spellStart"/>
      <w:r w:rsidRPr="003A457D">
        <w:rPr>
          <w:rFonts w:ascii="Garamond" w:hAnsi="Garamond"/>
          <w:sz w:val="24"/>
          <w:szCs w:val="24"/>
        </w:rPr>
        <w:t>hI,annual</w:t>
      </w:r>
      <w:proofErr w:type="spellEnd"/>
      <w:r w:rsidRPr="003A457D">
        <w:rPr>
          <w:rFonts w:ascii="Garamond" w:hAnsi="Garamond"/>
          <w:sz w:val="24"/>
          <w:szCs w:val="24"/>
        </w:rPr>
        <w:t>: 16.00</w:t>
      </w:r>
      <w:r w:rsidRPr="003A457D">
        <w:rPr>
          <w:rFonts w:ascii="Garamond" w:hAnsi="Garamond"/>
          <w:sz w:val="24"/>
          <w:szCs w:val="24"/>
          <w:lang w:val="en-US"/>
        </w:rPr>
        <w:t xml:space="preserve">, </w:t>
      </w:r>
      <w:proofErr w:type="spellStart"/>
      <w:r w:rsidRPr="003A457D">
        <w:rPr>
          <w:rFonts w:ascii="Garamond" w:hAnsi="Garamond"/>
          <w:sz w:val="24"/>
          <w:szCs w:val="24"/>
        </w:rPr>
        <w:t>Fassin</w:t>
      </w:r>
      <w:proofErr w:type="spellEnd"/>
      <w:r w:rsidRPr="003A457D">
        <w:rPr>
          <w:rFonts w:ascii="Garamond" w:hAnsi="Garamond"/>
          <w:sz w:val="24"/>
          <w:szCs w:val="24"/>
        </w:rPr>
        <w:t xml:space="preserve"> </w:t>
      </w:r>
      <w:proofErr w:type="spellStart"/>
      <w:r w:rsidRPr="003A457D">
        <w:rPr>
          <w:rFonts w:ascii="Garamond" w:hAnsi="Garamond"/>
          <w:sz w:val="24"/>
          <w:szCs w:val="24"/>
        </w:rPr>
        <w:t>hA</w:t>
      </w:r>
      <w:proofErr w:type="spellEnd"/>
      <w:r w:rsidRPr="003A457D">
        <w:rPr>
          <w:rFonts w:ascii="Garamond" w:hAnsi="Garamond"/>
          <w:sz w:val="24"/>
          <w:szCs w:val="24"/>
        </w:rPr>
        <w:t>-index: 24</w:t>
      </w:r>
    </w:p>
    <w:p w14:paraId="2C5C5202" w14:textId="77777777" w:rsidR="003A457D" w:rsidRPr="003A457D" w:rsidRDefault="003A457D" w:rsidP="003A457D">
      <w:pPr>
        <w:ind w:firstLine="720"/>
        <w:jc w:val="both"/>
        <w:rPr>
          <w:rFonts w:ascii="Garamond" w:hAnsi="Garamond"/>
          <w:sz w:val="24"/>
          <w:szCs w:val="24"/>
          <w:lang w:val="en-US"/>
        </w:rPr>
      </w:pPr>
      <w:r w:rsidRPr="003A457D">
        <w:rPr>
          <w:rFonts w:ascii="Garamond" w:hAnsi="Garamond"/>
          <w:sz w:val="24"/>
          <w:szCs w:val="24"/>
          <w:lang w:val="en-US"/>
        </w:rPr>
        <w:t>These are the papers most frequently cited by the graph's papers "a corpus-based study on the technology on the technical vocabulary of "</w:t>
      </w:r>
      <w:proofErr w:type="spellStart"/>
      <w:r w:rsidRPr="003A457D">
        <w:rPr>
          <w:rFonts w:ascii="Garamond" w:hAnsi="Garamond"/>
          <w:sz w:val="24"/>
          <w:szCs w:val="24"/>
        </w:rPr>
        <w:t>counseling</w:t>
      </w:r>
      <w:proofErr w:type="spellEnd"/>
      <w:r w:rsidRPr="003A457D">
        <w:rPr>
          <w:rFonts w:ascii="Garamond" w:hAnsi="Garamond"/>
          <w:sz w:val="24"/>
          <w:szCs w:val="24"/>
        </w:rPr>
        <w:t xml:space="preserve"> guidance</w:t>
      </w:r>
      <w:r w:rsidRPr="003A457D">
        <w:rPr>
          <w:rFonts w:ascii="Garamond" w:hAnsi="Garamond"/>
          <w:sz w:val="24"/>
          <w:szCs w:val="24"/>
          <w:lang w:val="en-US"/>
        </w:rPr>
        <w:t xml:space="preserve"> ."It is usually indicated that they are seminal works in the subject, and it is a good idea to familiarize yourself with them </w:t>
      </w:r>
      <w:r w:rsidRPr="003A457D">
        <w:rPr>
          <w:rFonts w:ascii="Garamond" w:hAnsi="Garamond"/>
          <w:sz w:val="24"/>
          <w:szCs w:val="24"/>
          <w:lang w:val="en-US"/>
        </w:rPr>
        <w:fldChar w:fldCharType="begin"/>
      </w:r>
      <w:r w:rsidRPr="003A457D">
        <w:rPr>
          <w:rFonts w:ascii="Garamond" w:hAnsi="Garamond"/>
          <w:sz w:val="24"/>
          <w:szCs w:val="24"/>
          <w:lang w:val="en-US"/>
        </w:rPr>
        <w:instrText xml:space="preserve"> ADDIN ZOTERO_ITEM CSL_CITATION {"citationID":"ey2jkQgG","properties":{"formattedCitation":"(Swan et al., 2008)","plainCitation":"(Swan et al., 2008)","noteIndex":0},"citationItems":[{"id":591,"uris":["http://zotero.org/users/local/GmZiI9vO/items/JYFWCRAB"],"itemData":{"id":591,"type":"article-journal","abstract":"This article examines work related to the development and validation of a measurement tool for the Communityof Inquiry (CoI) framework in online settings. The framework consists of three elements: ...","title":"Validating a Measurement Tool of Presen ce in Online Communities of Inquiry","URL":"https://www.semanticscholar.org/paper/98d34f19611af09a3086f04b1c1e14aef3fa742e","author":[{"family":"Swan","given":"Karen"},{"family":"Richardson","given":"Jennifer C."},{"family":"Ice","given":"P."},{"family":"Garrison","given":"D."},{"family":"Cleveland-Innes","given":"M."},{"family":"Arbaugh","given":"J."}],"issued":{"date-parts":[["2008"]]}}}],"schema":"https://github.com/citation-style-language/schema/raw/master/csl-citation.json"} </w:instrText>
      </w:r>
      <w:r w:rsidRPr="003A457D">
        <w:rPr>
          <w:rFonts w:ascii="Garamond" w:hAnsi="Garamond"/>
          <w:sz w:val="24"/>
          <w:szCs w:val="24"/>
          <w:lang w:val="en-US"/>
        </w:rPr>
        <w:fldChar w:fldCharType="separate"/>
      </w:r>
      <w:r w:rsidRPr="003A457D">
        <w:rPr>
          <w:rFonts w:ascii="Garamond" w:hAnsi="Garamond"/>
          <w:sz w:val="24"/>
          <w:szCs w:val="24"/>
        </w:rPr>
        <w:t>(Swan et al., 2008)</w:t>
      </w:r>
      <w:r w:rsidRPr="003A457D">
        <w:rPr>
          <w:rFonts w:ascii="Garamond" w:hAnsi="Garamond"/>
          <w:sz w:val="24"/>
          <w:szCs w:val="24"/>
          <w:lang w:val="en-US"/>
        </w:rPr>
        <w:fldChar w:fldCharType="end"/>
      </w:r>
      <w:r w:rsidRPr="003A457D">
        <w:rPr>
          <w:rFonts w:ascii="Garamond" w:hAnsi="Garamond"/>
          <w:sz w:val="24"/>
          <w:szCs w:val="24"/>
          <w:lang w:val="en-US"/>
        </w:rPr>
        <w:t>. Picking a prior work will bring up all graph papers that reference it, and selecting a graph paper will bring up all prior work that has been referenced.</w:t>
      </w:r>
    </w:p>
    <w:p w14:paraId="6CC2DA02" w14:textId="77777777" w:rsidR="003A457D" w:rsidRPr="003A457D" w:rsidRDefault="003A457D" w:rsidP="003A457D">
      <w:pPr>
        <w:ind w:firstLine="720"/>
        <w:jc w:val="both"/>
        <w:rPr>
          <w:rFonts w:ascii="Garamond" w:hAnsi="Garamond"/>
          <w:sz w:val="24"/>
          <w:szCs w:val="24"/>
          <w:lang w:val="en-US"/>
        </w:rPr>
      </w:pPr>
    </w:p>
    <w:p w14:paraId="0A328347" w14:textId="77777777" w:rsidR="003A457D" w:rsidRPr="003A457D" w:rsidRDefault="003A457D" w:rsidP="003A457D">
      <w:pPr>
        <w:ind w:firstLine="720"/>
        <w:jc w:val="both"/>
        <w:rPr>
          <w:rFonts w:ascii="Garamond" w:hAnsi="Garamond"/>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350"/>
        <w:gridCol w:w="810"/>
        <w:gridCol w:w="1800"/>
        <w:gridCol w:w="2366"/>
      </w:tblGrid>
      <w:tr w:rsidR="003A457D" w:rsidRPr="003A457D" w14:paraId="64EBE330" w14:textId="77777777" w:rsidTr="00132335">
        <w:tc>
          <w:tcPr>
            <w:tcW w:w="3420" w:type="dxa"/>
            <w:tcBorders>
              <w:top w:val="single" w:sz="4" w:space="0" w:color="auto"/>
              <w:left w:val="nil"/>
              <w:bottom w:val="single" w:sz="4" w:space="0" w:color="auto"/>
              <w:right w:val="single" w:sz="4" w:space="0" w:color="auto"/>
            </w:tcBorders>
            <w:vAlign w:val="center"/>
            <w:hideMark/>
          </w:tcPr>
          <w:p w14:paraId="4EE2FAB5" w14:textId="77777777" w:rsidR="003A457D" w:rsidRPr="003A457D" w:rsidRDefault="003A457D" w:rsidP="003A457D">
            <w:pPr>
              <w:spacing w:after="120"/>
              <w:jc w:val="both"/>
              <w:rPr>
                <w:rFonts w:ascii="Garamond" w:hAnsi="Garamond" w:cs="Times New Roman"/>
                <w:sz w:val="24"/>
                <w:szCs w:val="24"/>
                <w:lang w:val="id-ID"/>
              </w:rPr>
            </w:pPr>
            <w:r w:rsidRPr="003A457D">
              <w:rPr>
                <w:rFonts w:ascii="Garamond" w:hAnsi="Garamond" w:cs="Times New Roman"/>
                <w:sz w:val="24"/>
                <w:szCs w:val="24"/>
              </w:rPr>
              <w:t>Title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B8C944" w14:textId="77777777" w:rsidR="003A457D" w:rsidRPr="003A457D" w:rsidRDefault="003A457D" w:rsidP="003A457D">
            <w:pPr>
              <w:spacing w:after="120"/>
              <w:jc w:val="both"/>
              <w:rPr>
                <w:rFonts w:ascii="Garamond" w:hAnsi="Garamond" w:cs="Times New Roman"/>
                <w:sz w:val="24"/>
                <w:szCs w:val="24"/>
              </w:rPr>
            </w:pPr>
            <w:r w:rsidRPr="003A457D">
              <w:rPr>
                <w:rFonts w:ascii="Garamond" w:hAnsi="Garamond" w:cs="Times New Roman"/>
                <w:sz w:val="24"/>
                <w:szCs w:val="24"/>
              </w:rPr>
              <w:t>Last Author</w:t>
            </w:r>
          </w:p>
        </w:tc>
        <w:tc>
          <w:tcPr>
            <w:tcW w:w="810" w:type="dxa"/>
            <w:tcBorders>
              <w:top w:val="single" w:sz="4" w:space="0" w:color="auto"/>
              <w:left w:val="single" w:sz="4" w:space="0" w:color="auto"/>
              <w:bottom w:val="single" w:sz="4" w:space="0" w:color="auto"/>
              <w:right w:val="single" w:sz="4" w:space="0" w:color="auto"/>
            </w:tcBorders>
            <w:vAlign w:val="center"/>
            <w:hideMark/>
          </w:tcPr>
          <w:p w14:paraId="700E3BE6" w14:textId="77777777" w:rsidR="003A457D" w:rsidRPr="003A457D" w:rsidRDefault="003A457D" w:rsidP="003A457D">
            <w:pPr>
              <w:spacing w:after="120"/>
              <w:jc w:val="both"/>
              <w:rPr>
                <w:rFonts w:ascii="Garamond" w:hAnsi="Garamond" w:cs="Times New Roman"/>
                <w:sz w:val="24"/>
                <w:szCs w:val="24"/>
                <w:lang w:val="id-ID"/>
              </w:rPr>
            </w:pPr>
            <w:r w:rsidRPr="003A457D">
              <w:rPr>
                <w:rFonts w:ascii="Garamond" w:hAnsi="Garamond" w:cs="Times New Roman"/>
                <w:sz w:val="24"/>
                <w:szCs w:val="24"/>
              </w:rPr>
              <w:t>Year</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D1CCCAE" w14:textId="77777777" w:rsidR="003A457D" w:rsidRPr="003A457D" w:rsidRDefault="003A457D" w:rsidP="003A457D">
            <w:pPr>
              <w:spacing w:after="120"/>
              <w:jc w:val="both"/>
              <w:rPr>
                <w:rFonts w:ascii="Garamond" w:hAnsi="Garamond" w:cs="Times New Roman"/>
                <w:sz w:val="24"/>
                <w:szCs w:val="24"/>
              </w:rPr>
            </w:pPr>
            <w:r w:rsidRPr="003A457D">
              <w:rPr>
                <w:rFonts w:ascii="Garamond" w:hAnsi="Garamond" w:cs="Times New Roman"/>
                <w:sz w:val="24"/>
                <w:szCs w:val="24"/>
              </w:rPr>
              <w:t>Citations</w:t>
            </w:r>
          </w:p>
        </w:tc>
        <w:tc>
          <w:tcPr>
            <w:tcW w:w="2366" w:type="dxa"/>
            <w:tcBorders>
              <w:top w:val="single" w:sz="4" w:space="0" w:color="auto"/>
              <w:left w:val="single" w:sz="4" w:space="0" w:color="auto"/>
              <w:bottom w:val="single" w:sz="4" w:space="0" w:color="auto"/>
              <w:right w:val="nil"/>
            </w:tcBorders>
            <w:hideMark/>
          </w:tcPr>
          <w:p w14:paraId="04E51F3C" w14:textId="77777777" w:rsidR="003A457D" w:rsidRPr="003A457D" w:rsidRDefault="003A457D" w:rsidP="003A457D">
            <w:pPr>
              <w:spacing w:after="120"/>
              <w:jc w:val="both"/>
              <w:rPr>
                <w:rFonts w:ascii="Garamond" w:hAnsi="Garamond" w:cs="Times New Roman"/>
                <w:sz w:val="24"/>
                <w:szCs w:val="24"/>
              </w:rPr>
            </w:pPr>
            <w:r w:rsidRPr="003A457D">
              <w:rPr>
                <w:rFonts w:ascii="Garamond" w:hAnsi="Garamond" w:cs="Times New Roman"/>
                <w:sz w:val="24"/>
                <w:szCs w:val="24"/>
              </w:rPr>
              <w:t>Link or Journal</w:t>
            </w:r>
          </w:p>
        </w:tc>
      </w:tr>
      <w:tr w:rsidR="003A457D" w:rsidRPr="003A457D" w14:paraId="3023CA8B" w14:textId="77777777" w:rsidTr="00132335">
        <w:tc>
          <w:tcPr>
            <w:tcW w:w="3420" w:type="dxa"/>
            <w:tcBorders>
              <w:top w:val="single" w:sz="4" w:space="0" w:color="auto"/>
              <w:left w:val="nil"/>
              <w:bottom w:val="single" w:sz="4" w:space="0" w:color="auto"/>
              <w:right w:val="single" w:sz="4" w:space="0" w:color="auto"/>
            </w:tcBorders>
            <w:vAlign w:val="center"/>
            <w:hideMark/>
          </w:tcPr>
          <w:p w14:paraId="48779096" w14:textId="77777777" w:rsidR="003A457D" w:rsidRPr="003A457D" w:rsidRDefault="003A457D" w:rsidP="003A457D">
            <w:pPr>
              <w:jc w:val="both"/>
              <w:rPr>
                <w:rFonts w:ascii="Garamond" w:hAnsi="Garamond" w:cs="Times New Roman"/>
                <w:sz w:val="24"/>
                <w:szCs w:val="24"/>
                <w:highlight w:val="yellow"/>
                <w:lang w:val="id-ID"/>
              </w:rPr>
            </w:pPr>
            <w:r w:rsidRPr="003A457D">
              <w:rPr>
                <w:rFonts w:ascii="Garamond" w:hAnsi="Garamond" w:cs="Times New Roman"/>
                <w:sz w:val="24"/>
                <w:szCs w:val="24"/>
              </w:rPr>
              <w:lastRenderedPageBreak/>
              <w:t xml:space="preserve">Developing a web-based application for school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and guidance during the COVID-19 Pandemic</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DF2B6C4"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L </w:t>
            </w:r>
            <w:proofErr w:type="spellStart"/>
            <w:r w:rsidRPr="003A457D">
              <w:rPr>
                <w:rFonts w:ascii="Garamond" w:hAnsi="Garamond" w:cs="Times New Roman"/>
                <w:sz w:val="24"/>
                <w:szCs w:val="24"/>
              </w:rPr>
              <w:t>Oktaviani</w:t>
            </w:r>
            <w:proofErr w:type="spellEnd"/>
            <w:r w:rsidRPr="003A457D">
              <w:rPr>
                <w:rFonts w:ascii="Garamond" w:hAnsi="Garamond" w:cs="Times New Roman"/>
                <w:sz w:val="24"/>
                <w:szCs w:val="24"/>
              </w:rPr>
              <w:t xml:space="preserve">, Y Fernando, R </w:t>
            </w:r>
            <w:proofErr w:type="spellStart"/>
            <w:r w:rsidRPr="003A457D">
              <w:rPr>
                <w:rFonts w:ascii="Garamond" w:hAnsi="Garamond" w:cs="Times New Roman"/>
                <w:sz w:val="24"/>
                <w:szCs w:val="24"/>
              </w:rPr>
              <w:t>Romadhoni</w:t>
            </w:r>
            <w:proofErr w:type="spellEnd"/>
          </w:p>
        </w:tc>
        <w:tc>
          <w:tcPr>
            <w:tcW w:w="810" w:type="dxa"/>
            <w:tcBorders>
              <w:top w:val="single" w:sz="4" w:space="0" w:color="auto"/>
              <w:left w:val="single" w:sz="4" w:space="0" w:color="auto"/>
              <w:bottom w:val="single" w:sz="4" w:space="0" w:color="auto"/>
              <w:right w:val="single" w:sz="4" w:space="0" w:color="auto"/>
            </w:tcBorders>
            <w:vAlign w:val="center"/>
            <w:hideMark/>
          </w:tcPr>
          <w:p w14:paraId="535A42BC"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tcPr>
          <w:p w14:paraId="48BF15B7"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by 20 (20.00 per year)</w:t>
            </w:r>
          </w:p>
          <w:p w14:paraId="65B0EB24" w14:textId="77777777" w:rsidR="003A457D" w:rsidRPr="003A457D" w:rsidRDefault="003A457D" w:rsidP="003A457D">
            <w:pPr>
              <w:jc w:val="both"/>
              <w:rPr>
                <w:rFonts w:ascii="Garamond" w:hAnsi="Garamond" w:cs="Times New Roman"/>
                <w:sz w:val="24"/>
                <w:szCs w:val="24"/>
                <w:highlight w:val="yellow"/>
              </w:rPr>
            </w:pPr>
          </w:p>
        </w:tc>
        <w:tc>
          <w:tcPr>
            <w:tcW w:w="2366" w:type="dxa"/>
            <w:tcBorders>
              <w:top w:val="single" w:sz="4" w:space="0" w:color="auto"/>
              <w:left w:val="single" w:sz="4" w:space="0" w:color="auto"/>
              <w:bottom w:val="single" w:sz="4" w:space="0" w:color="auto"/>
              <w:right w:val="nil"/>
            </w:tcBorders>
          </w:tcPr>
          <w:p w14:paraId="4F399FDD" w14:textId="77777777" w:rsidR="003A457D" w:rsidRPr="003A457D" w:rsidRDefault="003A457D" w:rsidP="003A457D">
            <w:pPr>
              <w:jc w:val="both"/>
              <w:rPr>
                <w:rFonts w:ascii="Garamond" w:hAnsi="Garamond" w:cs="Times New Roman"/>
                <w:sz w:val="24"/>
                <w:szCs w:val="24"/>
              </w:rPr>
            </w:pPr>
            <w:hyperlink r:id="rId22" w:history="1">
              <w:r w:rsidRPr="003A457D">
                <w:rPr>
                  <w:rStyle w:val="Hyperlink"/>
                  <w:rFonts w:ascii="Garamond" w:hAnsi="Garamond" w:cs="Times New Roman"/>
                  <w:sz w:val="24"/>
                  <w:szCs w:val="24"/>
                </w:rPr>
                <w:t>https://ejournal.umm.ac.id/index.php/jcse/article/view/17630</w:t>
              </w:r>
            </w:hyperlink>
          </w:p>
          <w:p w14:paraId="70B6CEAE" w14:textId="77777777" w:rsidR="003A457D" w:rsidRPr="003A457D" w:rsidRDefault="003A457D" w:rsidP="003A457D">
            <w:pPr>
              <w:jc w:val="both"/>
              <w:rPr>
                <w:rFonts w:ascii="Garamond" w:hAnsi="Garamond" w:cs="Times New Roman"/>
                <w:sz w:val="24"/>
                <w:szCs w:val="24"/>
                <w:highlight w:val="yellow"/>
              </w:rPr>
            </w:pPr>
          </w:p>
        </w:tc>
      </w:tr>
      <w:tr w:rsidR="003A457D" w:rsidRPr="003A457D" w14:paraId="3EC47CF0" w14:textId="77777777" w:rsidTr="00132335">
        <w:tc>
          <w:tcPr>
            <w:tcW w:w="3420" w:type="dxa"/>
            <w:tcBorders>
              <w:top w:val="single" w:sz="4" w:space="0" w:color="auto"/>
              <w:left w:val="nil"/>
              <w:bottom w:val="single" w:sz="4" w:space="0" w:color="auto"/>
              <w:right w:val="single" w:sz="4" w:space="0" w:color="auto"/>
            </w:tcBorders>
            <w:vAlign w:val="center"/>
            <w:hideMark/>
          </w:tcPr>
          <w:p w14:paraId="681E0E89" w14:textId="77777777" w:rsidR="003A457D" w:rsidRPr="003A457D" w:rsidRDefault="003A457D" w:rsidP="003A457D">
            <w:pPr>
              <w:jc w:val="both"/>
              <w:rPr>
                <w:rFonts w:ascii="Garamond" w:hAnsi="Garamond" w:cs="Times New Roman"/>
                <w:sz w:val="24"/>
                <w:szCs w:val="24"/>
                <w:lang w:val="id-ID"/>
              </w:rPr>
            </w:pPr>
            <w:r w:rsidRPr="003A457D">
              <w:rPr>
                <w:rFonts w:ascii="Garamond" w:hAnsi="Garamond" w:cs="Times New Roman"/>
                <w:sz w:val="24"/>
                <w:szCs w:val="24"/>
              </w:rPr>
              <w:t xml:space="preserve">The development of group healing storytelling model in multicultural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services in Indonesian schools: Examination of disciplinary cases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208804"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 xml:space="preserve">M </w:t>
            </w:r>
            <w:proofErr w:type="spellStart"/>
            <w:r w:rsidRPr="003A457D">
              <w:rPr>
                <w:rFonts w:ascii="Garamond" w:hAnsi="Garamond" w:cs="Times New Roman"/>
                <w:sz w:val="24"/>
                <w:szCs w:val="24"/>
              </w:rPr>
              <w:t>Fatchurahman</w:t>
            </w:r>
            <w:proofErr w:type="spellEnd"/>
            <w:r w:rsidRPr="003A457D">
              <w:rPr>
                <w:rFonts w:ascii="Garamond" w:hAnsi="Garamond" w:cs="Times New Roman"/>
                <w:sz w:val="24"/>
                <w:szCs w:val="24"/>
              </w:rPr>
              <w:t>, MA Setiawan</w:t>
            </w:r>
          </w:p>
        </w:tc>
        <w:tc>
          <w:tcPr>
            <w:tcW w:w="810" w:type="dxa"/>
            <w:tcBorders>
              <w:top w:val="single" w:sz="4" w:space="0" w:color="auto"/>
              <w:left w:val="single" w:sz="4" w:space="0" w:color="auto"/>
              <w:bottom w:val="single" w:sz="4" w:space="0" w:color="auto"/>
              <w:right w:val="single" w:sz="4" w:space="0" w:color="auto"/>
            </w:tcBorders>
            <w:vAlign w:val="center"/>
            <w:hideMark/>
          </w:tcPr>
          <w:p w14:paraId="4F0EF105"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B41386B"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16 (16.00 per year)</w:t>
            </w:r>
          </w:p>
        </w:tc>
        <w:tc>
          <w:tcPr>
            <w:tcW w:w="2366" w:type="dxa"/>
            <w:tcBorders>
              <w:top w:val="single" w:sz="4" w:space="0" w:color="auto"/>
              <w:left w:val="single" w:sz="4" w:space="0" w:color="auto"/>
              <w:bottom w:val="single" w:sz="4" w:space="0" w:color="auto"/>
              <w:right w:val="nil"/>
            </w:tcBorders>
          </w:tcPr>
          <w:p w14:paraId="601E0E0D" w14:textId="77777777" w:rsidR="003A457D" w:rsidRPr="003A457D" w:rsidRDefault="003A457D" w:rsidP="003A457D">
            <w:pPr>
              <w:jc w:val="both"/>
              <w:rPr>
                <w:rFonts w:ascii="Garamond" w:hAnsi="Garamond" w:cs="Times New Roman"/>
                <w:sz w:val="24"/>
                <w:szCs w:val="24"/>
              </w:rPr>
            </w:pPr>
            <w:hyperlink r:id="rId23" w:history="1">
              <w:r w:rsidRPr="003A457D">
                <w:rPr>
                  <w:rStyle w:val="Hyperlink"/>
                  <w:rFonts w:ascii="Garamond" w:hAnsi="Garamond" w:cs="Times New Roman"/>
                  <w:sz w:val="24"/>
                  <w:szCs w:val="24"/>
                </w:rPr>
                <w:t>https://www.edscience.ru/jour/article/view/2106?locale=en_US</w:t>
              </w:r>
            </w:hyperlink>
          </w:p>
          <w:p w14:paraId="7C0DF6DD" w14:textId="77777777" w:rsidR="003A457D" w:rsidRPr="003A457D" w:rsidRDefault="003A457D" w:rsidP="003A457D">
            <w:pPr>
              <w:jc w:val="both"/>
              <w:rPr>
                <w:rFonts w:ascii="Garamond" w:hAnsi="Garamond" w:cs="Times New Roman"/>
                <w:sz w:val="24"/>
                <w:szCs w:val="24"/>
              </w:rPr>
            </w:pPr>
          </w:p>
        </w:tc>
      </w:tr>
      <w:tr w:rsidR="003A457D" w:rsidRPr="003A457D" w14:paraId="785896BF" w14:textId="77777777" w:rsidTr="00132335">
        <w:tc>
          <w:tcPr>
            <w:tcW w:w="3420" w:type="dxa"/>
            <w:tcBorders>
              <w:top w:val="single" w:sz="4" w:space="0" w:color="auto"/>
              <w:left w:val="nil"/>
              <w:bottom w:val="single" w:sz="4" w:space="0" w:color="auto"/>
              <w:right w:val="single" w:sz="4" w:space="0" w:color="auto"/>
            </w:tcBorders>
            <w:vAlign w:val="center"/>
            <w:hideMark/>
          </w:tcPr>
          <w:p w14:paraId="12F9D862"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 xml:space="preserve">Transition to telephone genetic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services during the COVID</w:t>
            </w:r>
            <w:r w:rsidRPr="003A457D">
              <w:rPr>
                <w:rFonts w:ascii="Times New Roman" w:hAnsi="Times New Roman" w:cs="Times New Roman"/>
                <w:sz w:val="24"/>
                <w:szCs w:val="24"/>
              </w:rPr>
              <w:t>‐</w:t>
            </w:r>
            <w:r w:rsidRPr="003A457D">
              <w:rPr>
                <w:rFonts w:ascii="Garamond" w:hAnsi="Garamond" w:cs="Times New Roman"/>
                <w:sz w:val="24"/>
                <w:szCs w:val="24"/>
              </w:rPr>
              <w:t>19 Pandemic</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5EEEF3C"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KM Shannon, MM Emmet, LH Rodgers</w:t>
            </w:r>
          </w:p>
        </w:tc>
        <w:tc>
          <w:tcPr>
            <w:tcW w:w="810" w:type="dxa"/>
            <w:tcBorders>
              <w:top w:val="single" w:sz="4" w:space="0" w:color="auto"/>
              <w:left w:val="single" w:sz="4" w:space="0" w:color="auto"/>
              <w:bottom w:val="single" w:sz="4" w:space="0" w:color="auto"/>
              <w:right w:val="single" w:sz="4" w:space="0" w:color="auto"/>
            </w:tcBorders>
            <w:vAlign w:val="center"/>
            <w:hideMark/>
          </w:tcPr>
          <w:p w14:paraId="0A5C9D27"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tcPr>
          <w:p w14:paraId="1E05982B"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by 16 (16.00 per year)</w:t>
            </w:r>
          </w:p>
          <w:p w14:paraId="57AB6989" w14:textId="77777777" w:rsidR="003A457D" w:rsidRPr="003A457D" w:rsidRDefault="003A457D" w:rsidP="003A457D">
            <w:pPr>
              <w:jc w:val="both"/>
              <w:rPr>
                <w:rFonts w:ascii="Garamond" w:hAnsi="Garamond" w:cs="Times New Roman"/>
                <w:sz w:val="24"/>
                <w:szCs w:val="24"/>
              </w:rPr>
            </w:pPr>
          </w:p>
        </w:tc>
        <w:tc>
          <w:tcPr>
            <w:tcW w:w="2366" w:type="dxa"/>
            <w:tcBorders>
              <w:top w:val="single" w:sz="4" w:space="0" w:color="auto"/>
              <w:left w:val="single" w:sz="4" w:space="0" w:color="auto"/>
              <w:bottom w:val="single" w:sz="4" w:space="0" w:color="auto"/>
              <w:right w:val="nil"/>
            </w:tcBorders>
          </w:tcPr>
          <w:p w14:paraId="65FC8449" w14:textId="77777777" w:rsidR="003A457D" w:rsidRPr="003A457D" w:rsidRDefault="003A457D" w:rsidP="003A457D">
            <w:pPr>
              <w:jc w:val="both"/>
              <w:rPr>
                <w:rFonts w:ascii="Garamond" w:hAnsi="Garamond" w:cs="Times New Roman"/>
                <w:sz w:val="24"/>
                <w:szCs w:val="24"/>
              </w:rPr>
            </w:pPr>
            <w:hyperlink r:id="rId24" w:history="1">
              <w:r w:rsidRPr="003A457D">
                <w:rPr>
                  <w:rStyle w:val="Hyperlink"/>
                  <w:rFonts w:ascii="Garamond" w:hAnsi="Garamond" w:cs="Times New Roman"/>
                  <w:sz w:val="24"/>
                  <w:szCs w:val="24"/>
                </w:rPr>
                <w:t>https://doi.org/10.1002/jgc4.1365</w:t>
              </w:r>
            </w:hyperlink>
          </w:p>
          <w:p w14:paraId="236BC45B" w14:textId="77777777" w:rsidR="003A457D" w:rsidRPr="003A457D" w:rsidRDefault="003A457D" w:rsidP="003A457D">
            <w:pPr>
              <w:jc w:val="both"/>
              <w:rPr>
                <w:rFonts w:ascii="Garamond" w:hAnsi="Garamond" w:cs="Times New Roman"/>
                <w:sz w:val="24"/>
                <w:szCs w:val="24"/>
              </w:rPr>
            </w:pPr>
          </w:p>
        </w:tc>
      </w:tr>
      <w:tr w:rsidR="003A457D" w:rsidRPr="003A457D" w14:paraId="42BC330C" w14:textId="77777777" w:rsidTr="00132335">
        <w:tc>
          <w:tcPr>
            <w:tcW w:w="3420" w:type="dxa"/>
            <w:tcBorders>
              <w:top w:val="single" w:sz="4" w:space="0" w:color="auto"/>
              <w:left w:val="nil"/>
              <w:bottom w:val="single" w:sz="4" w:space="0" w:color="auto"/>
              <w:right w:val="single" w:sz="4" w:space="0" w:color="auto"/>
            </w:tcBorders>
            <w:vAlign w:val="center"/>
            <w:hideMark/>
          </w:tcPr>
          <w:p w14:paraId="799C065C"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Evaluation of distance education: The sample of guidance and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students (Example of </w:t>
            </w:r>
            <w:proofErr w:type="spellStart"/>
            <w:r w:rsidRPr="003A457D">
              <w:rPr>
                <w:rFonts w:ascii="Garamond" w:hAnsi="Garamond" w:cs="Times New Roman"/>
                <w:sz w:val="24"/>
                <w:szCs w:val="24"/>
              </w:rPr>
              <w:t>Aksaray</w:t>
            </w:r>
            <w:proofErr w:type="spellEnd"/>
            <w:r w:rsidRPr="003A457D">
              <w:rPr>
                <w:rFonts w:ascii="Garamond" w:hAnsi="Garamond" w:cs="Times New Roman"/>
                <w:sz w:val="24"/>
                <w:szCs w:val="24"/>
              </w:rPr>
              <w:t xml:space="preserve"> University)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ACE3B1"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S </w:t>
            </w:r>
            <w:proofErr w:type="spellStart"/>
            <w:r w:rsidRPr="003A457D">
              <w:rPr>
                <w:rFonts w:ascii="Garamond" w:hAnsi="Garamond" w:cs="Times New Roman"/>
                <w:sz w:val="24"/>
                <w:szCs w:val="24"/>
              </w:rPr>
              <w:t>Karagöz</w:t>
            </w:r>
            <w:proofErr w:type="spellEnd"/>
            <w:r w:rsidRPr="003A457D">
              <w:rPr>
                <w:rFonts w:ascii="Garamond" w:hAnsi="Garamond" w:cs="Times New Roman"/>
                <w:sz w:val="24"/>
                <w:szCs w:val="24"/>
              </w:rPr>
              <w:t xml:space="preserve"> </w:t>
            </w:r>
          </w:p>
        </w:tc>
        <w:tc>
          <w:tcPr>
            <w:tcW w:w="810" w:type="dxa"/>
            <w:tcBorders>
              <w:top w:val="single" w:sz="4" w:space="0" w:color="auto"/>
              <w:left w:val="single" w:sz="4" w:space="0" w:color="auto"/>
              <w:bottom w:val="single" w:sz="4" w:space="0" w:color="auto"/>
              <w:right w:val="single" w:sz="4" w:space="0" w:color="auto"/>
            </w:tcBorders>
            <w:vAlign w:val="center"/>
            <w:hideMark/>
          </w:tcPr>
          <w:p w14:paraId="10A7E947"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tcPr>
          <w:p w14:paraId="14ACF288" w14:textId="77777777" w:rsidR="003A457D" w:rsidRPr="003A457D" w:rsidRDefault="003A457D" w:rsidP="003A457D">
            <w:pPr>
              <w:jc w:val="both"/>
              <w:rPr>
                <w:rFonts w:ascii="Garamond" w:hAnsi="Garamond" w:cs="Times New Roman"/>
                <w:sz w:val="24"/>
                <w:szCs w:val="24"/>
              </w:rPr>
            </w:pPr>
          </w:p>
          <w:p w14:paraId="49E1058D"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by 13 (13.00 per year)</w:t>
            </w:r>
          </w:p>
          <w:p w14:paraId="589ECA43" w14:textId="77777777" w:rsidR="003A457D" w:rsidRPr="003A457D" w:rsidRDefault="003A457D" w:rsidP="003A457D">
            <w:pPr>
              <w:jc w:val="both"/>
              <w:rPr>
                <w:rFonts w:ascii="Garamond" w:hAnsi="Garamond" w:cs="Times New Roman"/>
                <w:sz w:val="24"/>
                <w:szCs w:val="24"/>
                <w:highlight w:val="yellow"/>
              </w:rPr>
            </w:pPr>
          </w:p>
        </w:tc>
        <w:tc>
          <w:tcPr>
            <w:tcW w:w="2366" w:type="dxa"/>
            <w:tcBorders>
              <w:top w:val="single" w:sz="4" w:space="0" w:color="auto"/>
              <w:left w:val="single" w:sz="4" w:space="0" w:color="auto"/>
              <w:bottom w:val="single" w:sz="4" w:space="0" w:color="auto"/>
              <w:right w:val="nil"/>
            </w:tcBorders>
            <w:vAlign w:val="center"/>
            <w:hideMark/>
          </w:tcPr>
          <w:p w14:paraId="5EC25696"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The Universal Academic Research Journal</w:t>
            </w:r>
          </w:p>
          <w:p w14:paraId="6080A80F"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 dergipark.org.t</w:t>
            </w:r>
          </w:p>
        </w:tc>
      </w:tr>
      <w:tr w:rsidR="003A457D" w:rsidRPr="003A457D" w14:paraId="3EF456CC" w14:textId="77777777" w:rsidTr="00132335">
        <w:tc>
          <w:tcPr>
            <w:tcW w:w="3420" w:type="dxa"/>
            <w:tcBorders>
              <w:top w:val="single" w:sz="4" w:space="0" w:color="auto"/>
              <w:left w:val="nil"/>
              <w:bottom w:val="single" w:sz="4" w:space="0" w:color="auto"/>
              <w:right w:val="single" w:sz="4" w:space="0" w:color="auto"/>
            </w:tcBorders>
            <w:vAlign w:val="center"/>
            <w:hideMark/>
          </w:tcPr>
          <w:p w14:paraId="48FF26E7" w14:textId="77777777" w:rsidR="003A457D" w:rsidRPr="003A457D" w:rsidRDefault="003A457D" w:rsidP="003A457D">
            <w:pPr>
              <w:jc w:val="both"/>
              <w:rPr>
                <w:rFonts w:ascii="Garamond" w:hAnsi="Garamond" w:cs="Times New Roman"/>
                <w:sz w:val="24"/>
                <w:szCs w:val="24"/>
                <w:highlight w:val="yellow"/>
                <w:lang w:val="id-ID"/>
              </w:rPr>
            </w:pPr>
            <w:r w:rsidRPr="003A457D">
              <w:rPr>
                <w:rFonts w:ascii="Garamond" w:hAnsi="Garamond" w:cs="Times New Roman"/>
                <w:sz w:val="24"/>
                <w:szCs w:val="24"/>
              </w:rPr>
              <w:t xml:space="preserve">Teacher Guidance and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with Al-Islam and </w:t>
            </w:r>
            <w:proofErr w:type="spellStart"/>
            <w:r w:rsidRPr="003A457D">
              <w:rPr>
                <w:rFonts w:ascii="Garamond" w:hAnsi="Garamond" w:cs="Times New Roman"/>
                <w:sz w:val="24"/>
                <w:szCs w:val="24"/>
              </w:rPr>
              <w:t>Kemuhammadiyahan</w:t>
            </w:r>
            <w:proofErr w:type="spellEnd"/>
            <w:r w:rsidRPr="003A457D">
              <w:rPr>
                <w:rFonts w:ascii="Garamond" w:hAnsi="Garamond" w:cs="Times New Roman"/>
                <w:sz w:val="24"/>
                <w:szCs w:val="24"/>
              </w:rPr>
              <w:t xml:space="preserve"> in </w:t>
            </w:r>
            <w:proofErr w:type="spellStart"/>
            <w:r w:rsidRPr="003A457D">
              <w:rPr>
                <w:rFonts w:ascii="Garamond" w:hAnsi="Garamond" w:cs="Times New Roman"/>
                <w:sz w:val="24"/>
                <w:szCs w:val="24"/>
              </w:rPr>
              <w:t>Ajatappareng</w:t>
            </w:r>
            <w:proofErr w:type="spellEnd"/>
            <w:r w:rsidRPr="003A457D">
              <w:rPr>
                <w:rFonts w:ascii="Garamond" w:hAnsi="Garamond" w:cs="Times New Roman"/>
                <w:sz w:val="24"/>
                <w:szCs w:val="24"/>
              </w:rPr>
              <w:t xml:space="preserve"> Region: Learning Styles and Models of Islamic Education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F845A0F"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E </w:t>
            </w:r>
            <w:proofErr w:type="spellStart"/>
            <w:r w:rsidRPr="003A457D">
              <w:rPr>
                <w:rFonts w:ascii="Garamond" w:hAnsi="Garamond" w:cs="Times New Roman"/>
                <w:sz w:val="24"/>
                <w:szCs w:val="24"/>
              </w:rPr>
              <w:t>Elihami</w:t>
            </w:r>
            <w:proofErr w:type="spellEnd"/>
            <w:r w:rsidRPr="003A457D">
              <w:rPr>
                <w:rFonts w:ascii="Garamond" w:hAnsi="Garamond" w:cs="Times New Roman"/>
                <w:sz w:val="24"/>
                <w:szCs w:val="24"/>
              </w:rPr>
              <w:t>, A Agung</w:t>
            </w:r>
          </w:p>
        </w:tc>
        <w:tc>
          <w:tcPr>
            <w:tcW w:w="810" w:type="dxa"/>
            <w:tcBorders>
              <w:top w:val="single" w:sz="4" w:space="0" w:color="auto"/>
              <w:left w:val="single" w:sz="4" w:space="0" w:color="auto"/>
              <w:bottom w:val="single" w:sz="4" w:space="0" w:color="auto"/>
              <w:right w:val="single" w:sz="4" w:space="0" w:color="auto"/>
            </w:tcBorders>
            <w:vAlign w:val="center"/>
            <w:hideMark/>
          </w:tcPr>
          <w:p w14:paraId="137FF21B"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tcPr>
          <w:p w14:paraId="2E77A4A4"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by 3 (3.00 per year)</w:t>
            </w:r>
          </w:p>
          <w:p w14:paraId="3EF3EF36" w14:textId="77777777" w:rsidR="003A457D" w:rsidRPr="003A457D" w:rsidRDefault="003A457D" w:rsidP="003A457D">
            <w:pPr>
              <w:jc w:val="both"/>
              <w:rPr>
                <w:rFonts w:ascii="Garamond" w:hAnsi="Garamond" w:cs="Times New Roman"/>
                <w:sz w:val="24"/>
                <w:szCs w:val="24"/>
                <w:highlight w:val="yellow"/>
              </w:rPr>
            </w:pPr>
          </w:p>
        </w:tc>
        <w:tc>
          <w:tcPr>
            <w:tcW w:w="2366" w:type="dxa"/>
            <w:tcBorders>
              <w:top w:val="single" w:sz="4" w:space="0" w:color="auto"/>
              <w:left w:val="single" w:sz="4" w:space="0" w:color="auto"/>
              <w:bottom w:val="single" w:sz="4" w:space="0" w:color="auto"/>
              <w:right w:val="nil"/>
            </w:tcBorders>
            <w:vAlign w:val="center"/>
          </w:tcPr>
          <w:p w14:paraId="2F2CB6F8" w14:textId="77777777" w:rsidR="003A457D" w:rsidRPr="003A457D" w:rsidRDefault="003A457D" w:rsidP="003A457D">
            <w:pPr>
              <w:jc w:val="both"/>
              <w:rPr>
                <w:rFonts w:ascii="Garamond" w:hAnsi="Garamond" w:cs="Times New Roman"/>
                <w:sz w:val="24"/>
                <w:szCs w:val="24"/>
              </w:rPr>
            </w:pPr>
          </w:p>
          <w:p w14:paraId="61742574" w14:textId="77777777" w:rsidR="003A457D" w:rsidRPr="003A457D" w:rsidRDefault="003A457D" w:rsidP="003A457D">
            <w:pPr>
              <w:jc w:val="both"/>
              <w:rPr>
                <w:rFonts w:ascii="Garamond" w:hAnsi="Garamond" w:cs="Times New Roman"/>
                <w:sz w:val="24"/>
                <w:szCs w:val="24"/>
              </w:rPr>
            </w:pPr>
            <w:hyperlink r:id="rId25" w:history="1">
              <w:r w:rsidRPr="003A457D">
                <w:rPr>
                  <w:rStyle w:val="Hyperlink"/>
                  <w:rFonts w:ascii="Garamond" w:hAnsi="Garamond" w:cs="Times New Roman"/>
                  <w:sz w:val="24"/>
                  <w:szCs w:val="24"/>
                </w:rPr>
                <w:t>https://ummaspul.e-journal.id/Edupsycouns/article/view/2307</w:t>
              </w:r>
            </w:hyperlink>
          </w:p>
          <w:p w14:paraId="3FCDB96B" w14:textId="77777777" w:rsidR="003A457D" w:rsidRPr="003A457D" w:rsidRDefault="003A457D" w:rsidP="003A457D">
            <w:pPr>
              <w:jc w:val="both"/>
              <w:rPr>
                <w:rFonts w:ascii="Garamond" w:hAnsi="Garamond" w:cs="Times New Roman"/>
                <w:sz w:val="24"/>
                <w:szCs w:val="24"/>
              </w:rPr>
            </w:pPr>
          </w:p>
          <w:p w14:paraId="524F1563" w14:textId="77777777" w:rsidR="003A457D" w:rsidRPr="003A457D" w:rsidRDefault="003A457D" w:rsidP="003A457D">
            <w:pPr>
              <w:jc w:val="both"/>
              <w:rPr>
                <w:rFonts w:ascii="Garamond" w:hAnsi="Garamond" w:cs="Times New Roman"/>
                <w:sz w:val="24"/>
                <w:szCs w:val="24"/>
                <w:highlight w:val="yellow"/>
                <w:lang w:val="id-ID"/>
              </w:rPr>
            </w:pPr>
          </w:p>
        </w:tc>
      </w:tr>
      <w:tr w:rsidR="003A457D" w:rsidRPr="003A457D" w14:paraId="508815C0" w14:textId="77777777" w:rsidTr="00132335">
        <w:tc>
          <w:tcPr>
            <w:tcW w:w="3420" w:type="dxa"/>
            <w:tcBorders>
              <w:top w:val="single" w:sz="4" w:space="0" w:color="auto"/>
              <w:left w:val="nil"/>
              <w:bottom w:val="single" w:sz="4" w:space="0" w:color="auto"/>
              <w:right w:val="single" w:sz="4" w:space="0" w:color="auto"/>
            </w:tcBorders>
            <w:vAlign w:val="center"/>
            <w:hideMark/>
          </w:tcPr>
          <w:p w14:paraId="3EB2B62A"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Conceptual Development of Online Psychological Assessment Training Design for Guidance and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Teachers on the Academic Life of High School Students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9032BDE"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N </w:t>
            </w:r>
            <w:proofErr w:type="spellStart"/>
            <w:r w:rsidRPr="003A457D">
              <w:rPr>
                <w:rFonts w:ascii="Garamond" w:hAnsi="Garamond" w:cs="Times New Roman"/>
                <w:sz w:val="24"/>
                <w:szCs w:val="24"/>
              </w:rPr>
              <w:t>Hidayah</w:t>
            </w:r>
            <w:proofErr w:type="spellEnd"/>
            <w:r w:rsidRPr="003A457D">
              <w:rPr>
                <w:rFonts w:ascii="Garamond" w:hAnsi="Garamond" w:cs="Times New Roman"/>
                <w:sz w:val="24"/>
                <w:szCs w:val="24"/>
              </w:rPr>
              <w:t xml:space="preserve">, L </w:t>
            </w:r>
            <w:proofErr w:type="spellStart"/>
            <w:r w:rsidRPr="003A457D">
              <w:rPr>
                <w:rFonts w:ascii="Garamond" w:hAnsi="Garamond" w:cs="Times New Roman"/>
                <w:sz w:val="24"/>
                <w:szCs w:val="24"/>
              </w:rPr>
              <w:t>Fauzan</w:t>
            </w:r>
            <w:proofErr w:type="spellEnd"/>
            <w:r w:rsidRPr="003A457D">
              <w:rPr>
                <w:rFonts w:ascii="Garamond" w:hAnsi="Garamond" w:cs="Times New Roman"/>
                <w:sz w:val="24"/>
                <w:szCs w:val="24"/>
              </w:rPr>
              <w:t xml:space="preserve">, F </w:t>
            </w:r>
            <w:proofErr w:type="spellStart"/>
            <w:r w:rsidRPr="003A457D">
              <w:rPr>
                <w:rFonts w:ascii="Garamond" w:hAnsi="Garamond" w:cs="Times New Roman"/>
                <w:sz w:val="24"/>
                <w:szCs w:val="24"/>
              </w:rPr>
              <w:t>Wahyuni</w:t>
            </w:r>
            <w:proofErr w:type="spellEnd"/>
          </w:p>
        </w:tc>
        <w:tc>
          <w:tcPr>
            <w:tcW w:w="810" w:type="dxa"/>
            <w:tcBorders>
              <w:top w:val="single" w:sz="4" w:space="0" w:color="auto"/>
              <w:left w:val="single" w:sz="4" w:space="0" w:color="auto"/>
              <w:bottom w:val="single" w:sz="4" w:space="0" w:color="auto"/>
              <w:right w:val="single" w:sz="4" w:space="0" w:color="auto"/>
            </w:tcBorders>
            <w:vAlign w:val="center"/>
            <w:hideMark/>
          </w:tcPr>
          <w:p w14:paraId="39B6CFD8"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(2022)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5507666"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cited by 1 (1.00 per year)</w:t>
            </w:r>
          </w:p>
        </w:tc>
        <w:tc>
          <w:tcPr>
            <w:tcW w:w="2366" w:type="dxa"/>
            <w:tcBorders>
              <w:top w:val="single" w:sz="4" w:space="0" w:color="auto"/>
              <w:left w:val="single" w:sz="4" w:space="0" w:color="auto"/>
              <w:bottom w:val="single" w:sz="4" w:space="0" w:color="auto"/>
              <w:right w:val="nil"/>
            </w:tcBorders>
            <w:vAlign w:val="center"/>
          </w:tcPr>
          <w:p w14:paraId="6ADAF43B"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 xml:space="preserve">ebscohost.com. </w:t>
            </w:r>
          </w:p>
          <w:p w14:paraId="6CD858B8"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 International Journal of Interactive Mobile Technologies</w:t>
            </w:r>
          </w:p>
          <w:p w14:paraId="42D06A3A" w14:textId="77777777" w:rsidR="003A457D" w:rsidRPr="003A457D" w:rsidRDefault="003A457D" w:rsidP="003A457D">
            <w:pPr>
              <w:jc w:val="both"/>
              <w:rPr>
                <w:rFonts w:ascii="Garamond" w:hAnsi="Garamond" w:cs="Times New Roman"/>
                <w:sz w:val="24"/>
                <w:szCs w:val="24"/>
                <w:highlight w:val="yellow"/>
                <w:lang w:val="id-ID"/>
              </w:rPr>
            </w:pPr>
          </w:p>
        </w:tc>
      </w:tr>
      <w:tr w:rsidR="003A457D" w:rsidRPr="003A457D" w14:paraId="6D4A3A8B" w14:textId="77777777" w:rsidTr="00132335">
        <w:tc>
          <w:tcPr>
            <w:tcW w:w="3420" w:type="dxa"/>
            <w:tcBorders>
              <w:top w:val="single" w:sz="4" w:space="0" w:color="auto"/>
              <w:left w:val="nil"/>
              <w:bottom w:val="single" w:sz="4" w:space="0" w:color="auto"/>
              <w:right w:val="single" w:sz="4" w:space="0" w:color="auto"/>
            </w:tcBorders>
            <w:vAlign w:val="center"/>
            <w:hideMark/>
          </w:tcPr>
          <w:p w14:paraId="0FB7490F"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Youth and Children's Orchestras: Analysis of the Educational Experience and Some Reflections from the Field of Lifelong Guidance and </w:t>
            </w:r>
            <w:proofErr w:type="spellStart"/>
            <w:r w:rsidRPr="003A457D">
              <w:rPr>
                <w:rFonts w:ascii="Garamond" w:hAnsi="Garamond" w:cs="Times New Roman"/>
                <w:sz w:val="24"/>
                <w:szCs w:val="24"/>
              </w:rPr>
              <w:t>Counseling</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057A83EB"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V Valenzuela, G </w:t>
            </w:r>
            <w:proofErr w:type="spellStart"/>
            <w:r w:rsidRPr="003A457D">
              <w:rPr>
                <w:rFonts w:ascii="Garamond" w:hAnsi="Garamond" w:cs="Times New Roman"/>
                <w:sz w:val="24"/>
                <w:szCs w:val="24"/>
              </w:rPr>
              <w:t>Aisenson</w:t>
            </w:r>
            <w:proofErr w:type="spellEnd"/>
            <w:r w:rsidRPr="003A457D">
              <w:rPr>
                <w:rFonts w:ascii="Garamond" w:hAnsi="Garamond" w:cs="Times New Roman"/>
                <w:sz w:val="24"/>
                <w:szCs w:val="24"/>
              </w:rPr>
              <w:t>, ME Duarte</w:t>
            </w:r>
          </w:p>
        </w:tc>
        <w:tc>
          <w:tcPr>
            <w:tcW w:w="810" w:type="dxa"/>
            <w:tcBorders>
              <w:top w:val="single" w:sz="4" w:space="0" w:color="auto"/>
              <w:left w:val="single" w:sz="4" w:space="0" w:color="auto"/>
              <w:bottom w:val="single" w:sz="4" w:space="0" w:color="auto"/>
              <w:right w:val="single" w:sz="4" w:space="0" w:color="auto"/>
            </w:tcBorders>
            <w:vAlign w:val="center"/>
            <w:hideMark/>
          </w:tcPr>
          <w:p w14:paraId="48237C14"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(2022)</w:t>
            </w:r>
          </w:p>
        </w:tc>
        <w:tc>
          <w:tcPr>
            <w:tcW w:w="1800" w:type="dxa"/>
            <w:tcBorders>
              <w:top w:val="single" w:sz="4" w:space="0" w:color="auto"/>
              <w:left w:val="single" w:sz="4" w:space="0" w:color="auto"/>
              <w:bottom w:val="single" w:sz="4" w:space="0" w:color="auto"/>
              <w:right w:val="single" w:sz="4" w:space="0" w:color="auto"/>
            </w:tcBorders>
            <w:vAlign w:val="center"/>
          </w:tcPr>
          <w:p w14:paraId="145BDD77" w14:textId="77777777" w:rsidR="003A457D" w:rsidRPr="003A457D" w:rsidRDefault="003A457D" w:rsidP="003A457D">
            <w:pPr>
              <w:jc w:val="both"/>
              <w:rPr>
                <w:rFonts w:ascii="Garamond" w:hAnsi="Garamond" w:cs="Times New Roman"/>
                <w:sz w:val="24"/>
                <w:szCs w:val="24"/>
              </w:rPr>
            </w:pPr>
          </w:p>
          <w:p w14:paraId="234BDBAC"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by 1 (1.00 per year)</w:t>
            </w:r>
          </w:p>
          <w:p w14:paraId="30372D3A" w14:textId="77777777" w:rsidR="003A457D" w:rsidRPr="003A457D" w:rsidRDefault="003A457D" w:rsidP="003A457D">
            <w:pPr>
              <w:jc w:val="both"/>
              <w:rPr>
                <w:rFonts w:ascii="Garamond" w:hAnsi="Garamond" w:cs="Times New Roman"/>
                <w:sz w:val="24"/>
                <w:szCs w:val="24"/>
                <w:highlight w:val="yellow"/>
              </w:rPr>
            </w:pPr>
          </w:p>
        </w:tc>
        <w:tc>
          <w:tcPr>
            <w:tcW w:w="2366" w:type="dxa"/>
            <w:tcBorders>
              <w:top w:val="single" w:sz="4" w:space="0" w:color="auto"/>
              <w:left w:val="single" w:sz="4" w:space="0" w:color="auto"/>
              <w:bottom w:val="single" w:sz="4" w:space="0" w:color="auto"/>
              <w:right w:val="nil"/>
            </w:tcBorders>
            <w:vAlign w:val="center"/>
          </w:tcPr>
          <w:p w14:paraId="4FCED872" w14:textId="77777777" w:rsidR="003A457D" w:rsidRPr="003A457D" w:rsidRDefault="003A457D" w:rsidP="003A457D">
            <w:pPr>
              <w:jc w:val="both"/>
              <w:rPr>
                <w:rFonts w:ascii="Garamond" w:hAnsi="Garamond" w:cs="Times New Roman"/>
                <w:sz w:val="24"/>
                <w:szCs w:val="24"/>
              </w:rPr>
            </w:pPr>
            <w:hyperlink r:id="rId26" w:history="1">
              <w:r w:rsidRPr="003A457D">
                <w:rPr>
                  <w:rStyle w:val="Hyperlink"/>
                  <w:rFonts w:ascii="Garamond" w:hAnsi="Garamond" w:cs="Times New Roman"/>
                  <w:sz w:val="24"/>
                  <w:szCs w:val="24"/>
                </w:rPr>
                <w:t>https://link.springer.com/article/10.1007/s10775-022-09526-2</w:t>
              </w:r>
            </w:hyperlink>
          </w:p>
          <w:p w14:paraId="4D52671A" w14:textId="77777777" w:rsidR="003A457D" w:rsidRPr="003A457D" w:rsidRDefault="003A457D" w:rsidP="003A457D">
            <w:pPr>
              <w:jc w:val="both"/>
              <w:rPr>
                <w:rFonts w:ascii="Garamond" w:hAnsi="Garamond" w:cs="Times New Roman"/>
                <w:sz w:val="24"/>
                <w:szCs w:val="24"/>
                <w:highlight w:val="yellow"/>
              </w:rPr>
            </w:pPr>
          </w:p>
        </w:tc>
      </w:tr>
      <w:tr w:rsidR="003A457D" w:rsidRPr="003A457D" w14:paraId="7057B710" w14:textId="77777777" w:rsidTr="00132335">
        <w:trPr>
          <w:trHeight w:val="800"/>
        </w:trPr>
        <w:tc>
          <w:tcPr>
            <w:tcW w:w="3420" w:type="dxa"/>
            <w:tcBorders>
              <w:top w:val="single" w:sz="4" w:space="0" w:color="auto"/>
              <w:left w:val="nil"/>
              <w:bottom w:val="single" w:sz="4" w:space="0" w:color="auto"/>
              <w:right w:val="single" w:sz="4" w:space="0" w:color="auto"/>
            </w:tcBorders>
            <w:vAlign w:val="center"/>
            <w:hideMark/>
          </w:tcPr>
          <w:p w14:paraId="53B4C820"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 xml:space="preserve">The Role of Guidance and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Services in Individual </w:t>
            </w:r>
            <w:proofErr w:type="spellStart"/>
            <w:r w:rsidRPr="003A457D">
              <w:rPr>
                <w:rFonts w:ascii="Garamond" w:hAnsi="Garamond" w:cs="Times New Roman"/>
                <w:sz w:val="24"/>
                <w:szCs w:val="24"/>
              </w:rPr>
              <w:t>Counseling</w:t>
            </w:r>
            <w:proofErr w:type="spellEnd"/>
            <w:r w:rsidRPr="003A457D">
              <w:rPr>
                <w:rFonts w:ascii="Garamond" w:hAnsi="Garamond" w:cs="Times New Roman"/>
                <w:sz w:val="24"/>
                <w:szCs w:val="24"/>
              </w:rPr>
              <w:t xml:space="preserve"> During </w:t>
            </w:r>
            <w:proofErr w:type="gramStart"/>
            <w:r w:rsidRPr="003A457D">
              <w:rPr>
                <w:rFonts w:ascii="Garamond" w:hAnsi="Garamond" w:cs="Times New Roman"/>
                <w:sz w:val="24"/>
                <w:szCs w:val="24"/>
              </w:rPr>
              <w:t>The</w:t>
            </w:r>
            <w:proofErr w:type="gramEnd"/>
            <w:r w:rsidRPr="003A457D">
              <w:rPr>
                <w:rFonts w:ascii="Garamond" w:hAnsi="Garamond" w:cs="Times New Roman"/>
                <w:sz w:val="24"/>
                <w:szCs w:val="24"/>
              </w:rPr>
              <w:t xml:space="preserve"> Covid-19 Pandemic</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96E678A" w14:textId="77777777" w:rsidR="003A457D" w:rsidRPr="003A457D" w:rsidRDefault="003A457D" w:rsidP="003A457D">
            <w:pPr>
              <w:jc w:val="both"/>
              <w:rPr>
                <w:rFonts w:ascii="Garamond" w:hAnsi="Garamond" w:cs="Times New Roman"/>
                <w:sz w:val="24"/>
                <w:szCs w:val="24"/>
                <w:highlight w:val="yellow"/>
              </w:rPr>
            </w:pPr>
            <w:r w:rsidRPr="003A457D">
              <w:rPr>
                <w:rStyle w:val="Emphasis"/>
                <w:rFonts w:ascii="Garamond" w:hAnsi="Garamond"/>
                <w:sz w:val="24"/>
                <w:szCs w:val="24"/>
                <w:shd w:val="clear" w:color="auto" w:fill="FFFFFF"/>
              </w:rPr>
              <w:t xml:space="preserve">Daily </w:t>
            </w:r>
            <w:proofErr w:type="spellStart"/>
            <w:r w:rsidRPr="003A457D">
              <w:rPr>
                <w:rStyle w:val="Emphasis"/>
                <w:rFonts w:ascii="Garamond" w:hAnsi="Garamond"/>
                <w:sz w:val="24"/>
                <w:szCs w:val="24"/>
                <w:shd w:val="clear" w:color="auto" w:fill="FFFFFF"/>
              </w:rPr>
              <w:t>Puji</w:t>
            </w:r>
            <w:proofErr w:type="spellEnd"/>
            <w:r w:rsidRPr="003A457D">
              <w:rPr>
                <w:rStyle w:val="Emphasis"/>
                <w:rFonts w:ascii="Garamond" w:hAnsi="Garamond"/>
                <w:sz w:val="24"/>
                <w:szCs w:val="24"/>
                <w:shd w:val="clear" w:color="auto" w:fill="FFFFFF"/>
              </w:rPr>
              <w:t xml:space="preserve"> </w:t>
            </w:r>
            <w:proofErr w:type="spellStart"/>
            <w:r w:rsidRPr="003A457D">
              <w:rPr>
                <w:rStyle w:val="Emphasis"/>
                <w:rFonts w:ascii="Garamond" w:hAnsi="Garamond"/>
                <w:sz w:val="24"/>
                <w:szCs w:val="24"/>
                <w:shd w:val="clear" w:color="auto" w:fill="FFFFFF"/>
              </w:rPr>
              <w:t>Astuti</w:t>
            </w:r>
            <w:proofErr w:type="spellEnd"/>
          </w:p>
        </w:tc>
        <w:tc>
          <w:tcPr>
            <w:tcW w:w="810" w:type="dxa"/>
            <w:tcBorders>
              <w:top w:val="single" w:sz="4" w:space="0" w:color="auto"/>
              <w:left w:val="single" w:sz="4" w:space="0" w:color="auto"/>
              <w:bottom w:val="single" w:sz="4" w:space="0" w:color="auto"/>
              <w:right w:val="single" w:sz="4" w:space="0" w:color="auto"/>
            </w:tcBorders>
            <w:vAlign w:val="center"/>
            <w:hideMark/>
          </w:tcPr>
          <w:p w14:paraId="7B86F2E5" w14:textId="77777777" w:rsidR="003A457D" w:rsidRPr="003A457D" w:rsidRDefault="003A457D" w:rsidP="003A457D">
            <w:pPr>
              <w:jc w:val="both"/>
              <w:rPr>
                <w:rFonts w:ascii="Garamond" w:hAnsi="Garamond" w:cs="Times New Roman"/>
                <w:sz w:val="24"/>
                <w:szCs w:val="24"/>
                <w:highlight w:val="yellow"/>
              </w:rPr>
            </w:pPr>
            <w:r w:rsidRPr="003A457D">
              <w:rPr>
                <w:rFonts w:ascii="Garamond" w:hAnsi="Garamond" w:cs="Times New Roman"/>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tcPr>
          <w:p w14:paraId="03212C43" w14:textId="77777777" w:rsidR="003A457D" w:rsidRPr="003A457D" w:rsidRDefault="003A457D" w:rsidP="003A457D">
            <w:pPr>
              <w:jc w:val="both"/>
              <w:rPr>
                <w:rFonts w:ascii="Garamond" w:hAnsi="Garamond" w:cs="Times New Roman"/>
                <w:sz w:val="24"/>
                <w:szCs w:val="24"/>
              </w:rPr>
            </w:pPr>
            <w:r w:rsidRPr="003A457D">
              <w:rPr>
                <w:rFonts w:ascii="Garamond" w:hAnsi="Garamond" w:cs="Times New Roman"/>
                <w:sz w:val="24"/>
                <w:szCs w:val="24"/>
              </w:rPr>
              <w:t>cited by 6 (6.00 per year)</w:t>
            </w:r>
          </w:p>
          <w:p w14:paraId="2AABBD90" w14:textId="77777777" w:rsidR="003A457D" w:rsidRPr="003A457D" w:rsidRDefault="003A457D" w:rsidP="003A457D">
            <w:pPr>
              <w:jc w:val="both"/>
              <w:rPr>
                <w:rFonts w:ascii="Garamond" w:hAnsi="Garamond" w:cs="Times New Roman"/>
                <w:sz w:val="24"/>
                <w:szCs w:val="24"/>
                <w:highlight w:val="yellow"/>
              </w:rPr>
            </w:pPr>
          </w:p>
        </w:tc>
        <w:tc>
          <w:tcPr>
            <w:tcW w:w="2366" w:type="dxa"/>
            <w:tcBorders>
              <w:top w:val="single" w:sz="4" w:space="0" w:color="auto"/>
              <w:left w:val="single" w:sz="4" w:space="0" w:color="auto"/>
              <w:bottom w:val="single" w:sz="4" w:space="0" w:color="auto"/>
              <w:right w:val="nil"/>
            </w:tcBorders>
            <w:vAlign w:val="center"/>
          </w:tcPr>
          <w:p w14:paraId="19941223" w14:textId="77777777" w:rsidR="003A457D" w:rsidRPr="003A457D" w:rsidRDefault="003A457D" w:rsidP="003A457D">
            <w:pPr>
              <w:jc w:val="both"/>
              <w:rPr>
                <w:rFonts w:ascii="Garamond" w:hAnsi="Garamond" w:cs="Times New Roman"/>
                <w:sz w:val="24"/>
                <w:szCs w:val="24"/>
              </w:rPr>
            </w:pPr>
            <w:hyperlink r:id="rId27" w:history="1">
              <w:r w:rsidRPr="003A457D">
                <w:rPr>
                  <w:rStyle w:val="Hyperlink"/>
                  <w:rFonts w:ascii="Garamond" w:hAnsi="Garamond" w:cs="Times New Roman"/>
                  <w:sz w:val="24"/>
                  <w:szCs w:val="24"/>
                </w:rPr>
                <w:t>http://ejurnal.mercubuana-yogya.ac.id/index.php/IJAGC/article/view/1592</w:t>
              </w:r>
            </w:hyperlink>
          </w:p>
          <w:p w14:paraId="60888482" w14:textId="77777777" w:rsidR="003A457D" w:rsidRPr="003A457D" w:rsidRDefault="003A457D" w:rsidP="003A457D">
            <w:pPr>
              <w:jc w:val="both"/>
              <w:rPr>
                <w:rFonts w:ascii="Garamond" w:hAnsi="Garamond" w:cs="Times New Roman"/>
                <w:sz w:val="24"/>
                <w:szCs w:val="24"/>
              </w:rPr>
            </w:pPr>
          </w:p>
          <w:p w14:paraId="7050471D" w14:textId="77777777" w:rsidR="003A457D" w:rsidRPr="003A457D" w:rsidRDefault="003A457D" w:rsidP="003A457D">
            <w:pPr>
              <w:jc w:val="both"/>
              <w:rPr>
                <w:rFonts w:ascii="Garamond" w:hAnsi="Garamond" w:cs="Times New Roman"/>
                <w:sz w:val="24"/>
                <w:szCs w:val="24"/>
                <w:highlight w:val="yellow"/>
              </w:rPr>
            </w:pPr>
          </w:p>
          <w:p w14:paraId="52C52636" w14:textId="77777777" w:rsidR="003A457D" w:rsidRPr="003A457D" w:rsidRDefault="003A457D" w:rsidP="003A457D">
            <w:pPr>
              <w:jc w:val="both"/>
              <w:rPr>
                <w:rFonts w:ascii="Garamond" w:hAnsi="Garamond" w:cs="Times New Roman"/>
                <w:sz w:val="24"/>
                <w:szCs w:val="24"/>
                <w:highlight w:val="yellow"/>
              </w:rPr>
            </w:pPr>
          </w:p>
        </w:tc>
      </w:tr>
    </w:tbl>
    <w:p w14:paraId="7016CBA8" w14:textId="77777777" w:rsidR="003A457D" w:rsidRPr="003A457D" w:rsidRDefault="003A457D" w:rsidP="003A457D">
      <w:pPr>
        <w:ind w:firstLine="720"/>
        <w:jc w:val="both"/>
        <w:rPr>
          <w:rFonts w:ascii="Garamond" w:hAnsi="Garamond"/>
          <w:bCs/>
          <w:sz w:val="24"/>
          <w:szCs w:val="24"/>
          <w:highlight w:val="yellow"/>
          <w:lang w:val="en-US"/>
        </w:rPr>
      </w:pPr>
    </w:p>
    <w:p w14:paraId="358FED22" w14:textId="77777777" w:rsidR="003A457D" w:rsidRPr="003A457D" w:rsidRDefault="003A457D" w:rsidP="003A457D">
      <w:pPr>
        <w:jc w:val="both"/>
        <w:rPr>
          <w:rFonts w:ascii="Garamond" w:hAnsi="Garamond"/>
          <w:kern w:val="36"/>
          <w:sz w:val="24"/>
          <w:szCs w:val="24"/>
          <w:lang w:val="en-US"/>
        </w:rPr>
      </w:pPr>
      <w:r w:rsidRPr="003A457D">
        <w:rPr>
          <w:rFonts w:ascii="Garamond" w:hAnsi="Garamond"/>
          <w:bCs/>
          <w:sz w:val="24"/>
          <w:szCs w:val="24"/>
          <w:lang w:val="en-US"/>
        </w:rPr>
        <w:t xml:space="preserve">Figure 10. </w:t>
      </w:r>
      <w:r w:rsidRPr="003A457D">
        <w:rPr>
          <w:rFonts w:ascii="Garamond" w:hAnsi="Garamond"/>
          <w:sz w:val="24"/>
          <w:szCs w:val="24"/>
          <w:lang w:val="en-US"/>
        </w:rPr>
        <w:t xml:space="preserve">a corpus-based study of </w:t>
      </w:r>
      <w:r w:rsidRPr="003A457D">
        <w:rPr>
          <w:rFonts w:ascii="Garamond" w:hAnsi="Garamond"/>
          <w:sz w:val="24"/>
          <w:szCs w:val="24"/>
        </w:rPr>
        <w:t>“</w:t>
      </w:r>
      <w:r w:rsidRPr="003A457D">
        <w:rPr>
          <w:rFonts w:ascii="Garamond" w:hAnsi="Garamond"/>
          <w:sz w:val="24"/>
          <w:szCs w:val="24"/>
          <w:lang w:val="en-US"/>
        </w:rPr>
        <w:t>counseling guidance</w:t>
      </w:r>
      <w:r w:rsidRPr="003A457D">
        <w:rPr>
          <w:rFonts w:ascii="Garamond" w:hAnsi="Garamond"/>
          <w:kern w:val="36"/>
          <w:sz w:val="24"/>
          <w:szCs w:val="24"/>
          <w:lang w:val="en-US"/>
        </w:rPr>
        <w:t>” in 2021-2022</w:t>
      </w:r>
    </w:p>
    <w:p w14:paraId="6D8909FD" w14:textId="77777777" w:rsidR="003A457D" w:rsidRPr="003A457D" w:rsidRDefault="003A457D" w:rsidP="003A457D">
      <w:pPr>
        <w:spacing w:after="120"/>
        <w:ind w:firstLine="90"/>
        <w:jc w:val="both"/>
        <w:rPr>
          <w:rFonts w:ascii="Garamond" w:hAnsi="Garamond"/>
          <w:bCs/>
          <w:sz w:val="24"/>
          <w:szCs w:val="24"/>
          <w:highlight w:val="yellow"/>
          <w:lang w:val="en-US"/>
        </w:rPr>
      </w:pPr>
      <w:r w:rsidRPr="003A457D">
        <w:rPr>
          <w:rFonts w:ascii="Garamond" w:hAnsi="Garamond"/>
          <w:noProof/>
          <w:sz w:val="24"/>
          <w:szCs w:val="24"/>
        </w:rPr>
        <w:lastRenderedPageBreak/>
        <w:drawing>
          <wp:inline distT="0" distB="0" distL="0" distR="0" wp14:anchorId="5DCAE0C1" wp14:editId="4B1D22E1">
            <wp:extent cx="5900420" cy="2441448"/>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921438" cy="2450145"/>
                    </a:xfrm>
                    <a:prstGeom prst="rect">
                      <a:avLst/>
                    </a:prstGeom>
                    <a:noFill/>
                    <a:ln>
                      <a:noFill/>
                    </a:ln>
                  </pic:spPr>
                </pic:pic>
              </a:graphicData>
            </a:graphic>
          </wp:inline>
        </w:drawing>
      </w:r>
    </w:p>
    <w:p w14:paraId="3D512A8B" w14:textId="77777777" w:rsidR="003A457D" w:rsidRPr="003A457D" w:rsidRDefault="003A457D" w:rsidP="003A457D">
      <w:pPr>
        <w:spacing w:after="120"/>
        <w:jc w:val="both"/>
        <w:rPr>
          <w:rFonts w:ascii="Garamond" w:hAnsi="Garamond"/>
          <w:sz w:val="24"/>
          <w:szCs w:val="24"/>
          <w:highlight w:val="yellow"/>
        </w:rPr>
      </w:pPr>
    </w:p>
    <w:p w14:paraId="6DD9E53E" w14:textId="77777777" w:rsidR="003A457D" w:rsidRPr="003A457D" w:rsidRDefault="003A457D" w:rsidP="003A457D">
      <w:pPr>
        <w:jc w:val="both"/>
        <w:rPr>
          <w:rFonts w:ascii="Garamond" w:hAnsi="Garamond"/>
          <w:kern w:val="36"/>
          <w:sz w:val="24"/>
          <w:szCs w:val="24"/>
          <w:lang w:val="en-US"/>
        </w:rPr>
      </w:pPr>
      <w:r w:rsidRPr="003A457D">
        <w:rPr>
          <w:rFonts w:ascii="Garamond" w:hAnsi="Garamond"/>
          <w:sz w:val="24"/>
          <w:szCs w:val="24"/>
          <w:lang w:val="en-US"/>
        </w:rPr>
        <w:t xml:space="preserve">Figure 11. </w:t>
      </w:r>
      <w:r w:rsidRPr="003A457D">
        <w:rPr>
          <w:rFonts w:ascii="Garamond" w:hAnsi="Garamond"/>
          <w:bCs/>
          <w:sz w:val="24"/>
          <w:szCs w:val="24"/>
          <w:lang w:val="en-US"/>
        </w:rPr>
        <w:t xml:space="preserve">Prior Works about </w:t>
      </w:r>
      <w:r w:rsidRPr="003A457D">
        <w:rPr>
          <w:rFonts w:ascii="Garamond" w:hAnsi="Garamond"/>
          <w:sz w:val="24"/>
          <w:szCs w:val="24"/>
        </w:rPr>
        <w:t>“</w:t>
      </w:r>
      <w:r w:rsidRPr="003A457D">
        <w:rPr>
          <w:rFonts w:ascii="Garamond" w:hAnsi="Garamond"/>
          <w:sz w:val="24"/>
          <w:szCs w:val="24"/>
          <w:lang w:val="en-US"/>
        </w:rPr>
        <w:t>counseling guidance</w:t>
      </w:r>
      <w:r w:rsidRPr="003A457D">
        <w:rPr>
          <w:rFonts w:ascii="Garamond" w:hAnsi="Garamond"/>
          <w:kern w:val="36"/>
          <w:sz w:val="24"/>
          <w:szCs w:val="24"/>
          <w:lang w:val="en-US"/>
        </w:rPr>
        <w:t xml:space="preserve">." </w:t>
      </w:r>
    </w:p>
    <w:p w14:paraId="5B3C780E" w14:textId="77777777" w:rsidR="003A457D" w:rsidRPr="003A457D" w:rsidRDefault="003A457D" w:rsidP="003A457D">
      <w:pPr>
        <w:spacing w:after="120"/>
        <w:ind w:firstLine="720"/>
        <w:jc w:val="both"/>
        <w:rPr>
          <w:rFonts w:ascii="Garamond" w:hAnsi="Garamond"/>
          <w:sz w:val="24"/>
          <w:szCs w:val="24"/>
          <w:lang w:val="en-US"/>
        </w:rPr>
      </w:pPr>
    </w:p>
    <w:p w14:paraId="39D686BB" w14:textId="77777777" w:rsidR="003A457D" w:rsidRPr="003A457D" w:rsidRDefault="003A457D" w:rsidP="003A457D">
      <w:pPr>
        <w:jc w:val="both"/>
        <w:rPr>
          <w:rFonts w:ascii="Garamond" w:hAnsi="Garamond" w:cs="Arial"/>
          <w:sz w:val="24"/>
          <w:szCs w:val="24"/>
        </w:rPr>
      </w:pPr>
      <w:r w:rsidRPr="003A457D">
        <w:rPr>
          <w:rFonts w:ascii="Garamond" w:hAnsi="Garamond"/>
          <w:spacing w:val="2"/>
          <w:sz w:val="24"/>
          <w:szCs w:val="24"/>
        </w:rPr>
        <w:t xml:space="preserve">The research outcomes remain presented by writing the processed data of </w:t>
      </w:r>
      <w:r w:rsidRPr="003A457D">
        <w:rPr>
          <w:rFonts w:ascii="Garamond" w:hAnsi="Garamond"/>
          <w:sz w:val="24"/>
          <w:szCs w:val="24"/>
        </w:rPr>
        <w:t xml:space="preserve">publications in </w:t>
      </w:r>
      <w:r w:rsidRPr="003A457D">
        <w:rPr>
          <w:rFonts w:ascii="Garamond" w:hAnsi="Garamond"/>
          <w:sz w:val="24"/>
          <w:szCs w:val="24"/>
          <w:lang w:val="en-US"/>
        </w:rPr>
        <w:t>authors in</w:t>
      </w:r>
      <w:r w:rsidRPr="003A457D">
        <w:rPr>
          <w:rFonts w:ascii="Garamond" w:hAnsi="Garamond"/>
          <w:sz w:val="24"/>
          <w:szCs w:val="24"/>
        </w:rPr>
        <w:t xml:space="preserve"> </w:t>
      </w:r>
      <w:r w:rsidRPr="003A457D">
        <w:rPr>
          <w:rFonts w:ascii="Garamond" w:hAnsi="Garamond"/>
          <w:bCs/>
          <w:sz w:val="24"/>
          <w:szCs w:val="24"/>
          <w:lang w:val="en-US"/>
        </w:rPr>
        <w:t xml:space="preserve">Prior Works </w:t>
      </w:r>
      <w:proofErr w:type="gramStart"/>
      <w:r w:rsidRPr="003A457D">
        <w:rPr>
          <w:rFonts w:ascii="Garamond" w:hAnsi="Garamond"/>
          <w:bCs/>
          <w:sz w:val="24"/>
          <w:szCs w:val="24"/>
          <w:lang w:val="en-US"/>
        </w:rPr>
        <w:t xml:space="preserve">about  </w:t>
      </w:r>
      <w:r w:rsidRPr="003A457D">
        <w:rPr>
          <w:rFonts w:ascii="Garamond" w:hAnsi="Garamond"/>
          <w:sz w:val="24"/>
          <w:szCs w:val="24"/>
        </w:rPr>
        <w:t>“</w:t>
      </w:r>
      <w:proofErr w:type="gramEnd"/>
      <w:r w:rsidRPr="003A457D">
        <w:rPr>
          <w:rFonts w:ascii="Garamond" w:hAnsi="Garamond"/>
          <w:sz w:val="24"/>
          <w:szCs w:val="24"/>
          <w:lang w:val="en-US"/>
        </w:rPr>
        <w:t>counseling guidance</w:t>
      </w:r>
      <w:r w:rsidRPr="003A457D">
        <w:rPr>
          <w:rFonts w:ascii="Garamond" w:hAnsi="Garamond"/>
          <w:kern w:val="36"/>
          <w:sz w:val="24"/>
          <w:szCs w:val="24"/>
          <w:lang w:val="en-US"/>
        </w:rPr>
        <w:t>."</w:t>
      </w:r>
    </w:p>
    <w:p w14:paraId="75FB7F02" w14:textId="77777777" w:rsidR="003A457D" w:rsidRPr="003A457D" w:rsidRDefault="003A457D" w:rsidP="003A457D">
      <w:pPr>
        <w:spacing w:after="120"/>
        <w:ind w:firstLine="720"/>
        <w:jc w:val="both"/>
        <w:rPr>
          <w:rFonts w:ascii="Garamond" w:hAnsi="Garamond"/>
          <w:sz w:val="24"/>
          <w:szCs w:val="24"/>
          <w:highlight w:val="yellow"/>
        </w:rPr>
      </w:pPr>
    </w:p>
    <w:p w14:paraId="4C447014" w14:textId="77777777" w:rsidR="003A457D" w:rsidRPr="003A457D" w:rsidRDefault="003A457D" w:rsidP="003A457D">
      <w:pPr>
        <w:spacing w:after="120"/>
        <w:ind w:firstLine="720"/>
        <w:jc w:val="both"/>
        <w:rPr>
          <w:rFonts w:ascii="Garamond" w:hAnsi="Garamond"/>
          <w:sz w:val="24"/>
          <w:szCs w:val="24"/>
          <w:highlight w:val="yellow"/>
        </w:rPr>
      </w:pPr>
      <w:r w:rsidRPr="003A457D">
        <w:rPr>
          <w:rFonts w:ascii="Garamond" w:hAnsi="Garamond"/>
          <w:noProof/>
          <w:sz w:val="24"/>
          <w:szCs w:val="24"/>
        </w:rPr>
        <w:drawing>
          <wp:inline distT="0" distB="0" distL="0" distR="0" wp14:anchorId="37CFF89E" wp14:editId="408187EF">
            <wp:extent cx="5627370" cy="396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627370" cy="3965575"/>
                    </a:xfrm>
                    <a:prstGeom prst="rect">
                      <a:avLst/>
                    </a:prstGeom>
                    <a:noFill/>
                    <a:ln>
                      <a:noFill/>
                    </a:ln>
                  </pic:spPr>
                </pic:pic>
              </a:graphicData>
            </a:graphic>
          </wp:inline>
        </w:drawing>
      </w:r>
    </w:p>
    <w:p w14:paraId="788C8EF2" w14:textId="77777777" w:rsidR="003A457D" w:rsidRPr="003A457D" w:rsidRDefault="003A457D" w:rsidP="003A457D">
      <w:pPr>
        <w:spacing w:after="100" w:afterAutospacing="1"/>
        <w:jc w:val="both"/>
        <w:outlineLvl w:val="0"/>
        <w:rPr>
          <w:rFonts w:ascii="Garamond" w:hAnsi="Garamond" w:cs="Arial"/>
          <w:sz w:val="24"/>
          <w:szCs w:val="24"/>
          <w:lang w:val="en-US"/>
        </w:rPr>
      </w:pPr>
      <w:r w:rsidRPr="003A457D">
        <w:rPr>
          <w:rFonts w:ascii="Garamond" w:hAnsi="Garamond"/>
          <w:sz w:val="24"/>
          <w:szCs w:val="24"/>
        </w:rPr>
        <w:t xml:space="preserve">Figure </w:t>
      </w:r>
      <w:r w:rsidRPr="003A457D">
        <w:rPr>
          <w:rFonts w:ascii="Garamond" w:hAnsi="Garamond"/>
          <w:sz w:val="24"/>
          <w:szCs w:val="24"/>
          <w:lang w:val="en-US"/>
        </w:rPr>
        <w:t>12</w:t>
      </w:r>
      <w:r w:rsidRPr="003A457D">
        <w:rPr>
          <w:rFonts w:ascii="Garamond" w:hAnsi="Garamond"/>
          <w:sz w:val="24"/>
          <w:szCs w:val="24"/>
        </w:rPr>
        <w:t xml:space="preserve">. Network Visualization </w:t>
      </w:r>
      <w:proofErr w:type="gramStart"/>
      <w:r w:rsidRPr="003A457D">
        <w:rPr>
          <w:rFonts w:ascii="Garamond" w:hAnsi="Garamond"/>
          <w:sz w:val="24"/>
          <w:szCs w:val="24"/>
        </w:rPr>
        <w:t xml:space="preserve">about </w:t>
      </w:r>
      <w:r w:rsidRPr="003A457D">
        <w:rPr>
          <w:rFonts w:ascii="Garamond" w:hAnsi="Garamond"/>
          <w:bCs/>
          <w:sz w:val="24"/>
          <w:szCs w:val="24"/>
          <w:lang w:val="en-US"/>
        </w:rPr>
        <w:t xml:space="preserve"> </w:t>
      </w:r>
      <w:r w:rsidRPr="003A457D">
        <w:rPr>
          <w:rFonts w:ascii="Garamond" w:hAnsi="Garamond"/>
          <w:sz w:val="24"/>
          <w:szCs w:val="24"/>
        </w:rPr>
        <w:t>“</w:t>
      </w:r>
      <w:proofErr w:type="gramEnd"/>
      <w:r w:rsidRPr="003A457D">
        <w:rPr>
          <w:rFonts w:ascii="Garamond" w:hAnsi="Garamond"/>
          <w:sz w:val="24"/>
          <w:szCs w:val="24"/>
          <w:lang w:val="en-US"/>
        </w:rPr>
        <w:t>counseling guidance</w:t>
      </w:r>
      <w:r w:rsidRPr="003A457D">
        <w:rPr>
          <w:rFonts w:ascii="Garamond" w:hAnsi="Garamond"/>
          <w:kern w:val="36"/>
          <w:sz w:val="24"/>
          <w:szCs w:val="24"/>
          <w:lang w:val="en-US"/>
        </w:rPr>
        <w:t>."</w:t>
      </w:r>
    </w:p>
    <w:p w14:paraId="4354D865" w14:textId="77777777" w:rsidR="003A457D" w:rsidRPr="003A457D" w:rsidRDefault="003A457D" w:rsidP="003A457D">
      <w:pPr>
        <w:spacing w:after="120"/>
        <w:ind w:firstLine="720"/>
        <w:jc w:val="both"/>
        <w:rPr>
          <w:rFonts w:ascii="Garamond" w:hAnsi="Garamond"/>
          <w:sz w:val="24"/>
          <w:szCs w:val="24"/>
          <w:lang w:val="en-US"/>
        </w:rPr>
      </w:pPr>
      <w:r w:rsidRPr="003A457D">
        <w:rPr>
          <w:rFonts w:ascii="Garamond" w:hAnsi="Garamond"/>
          <w:sz w:val="24"/>
          <w:szCs w:val="24"/>
        </w:rPr>
        <w:lastRenderedPageBreak/>
        <w:t xml:space="preserve">The search results using the </w:t>
      </w:r>
      <w:proofErr w:type="spellStart"/>
      <w:r w:rsidRPr="003A457D">
        <w:rPr>
          <w:rFonts w:ascii="Garamond" w:hAnsi="Garamond"/>
          <w:sz w:val="24"/>
          <w:szCs w:val="24"/>
          <w:lang w:val="en-US"/>
        </w:rPr>
        <w:t>VOSviewer</w:t>
      </w:r>
      <w:proofErr w:type="spellEnd"/>
      <w:r w:rsidRPr="003A457D">
        <w:rPr>
          <w:rFonts w:ascii="Garamond" w:hAnsi="Garamond"/>
          <w:sz w:val="24"/>
          <w:szCs w:val="24"/>
        </w:rPr>
        <w:t xml:space="preserve"> application yielded </w:t>
      </w:r>
      <w:r w:rsidRPr="003A457D">
        <w:rPr>
          <w:rFonts w:ascii="Garamond" w:hAnsi="Garamond"/>
          <w:sz w:val="24"/>
          <w:szCs w:val="24"/>
          <w:lang w:val="en-US"/>
        </w:rPr>
        <w:t xml:space="preserve">975 </w:t>
      </w:r>
      <w:r w:rsidRPr="003A457D">
        <w:rPr>
          <w:rFonts w:ascii="Garamond" w:hAnsi="Garamond"/>
          <w:sz w:val="24"/>
          <w:szCs w:val="24"/>
        </w:rPr>
        <w:t xml:space="preserve">bibliographies, which were sorted into </w:t>
      </w:r>
      <w:r w:rsidRPr="003A457D">
        <w:rPr>
          <w:rFonts w:ascii="Garamond" w:hAnsi="Garamond"/>
          <w:sz w:val="24"/>
          <w:szCs w:val="24"/>
          <w:lang w:val="en-US"/>
        </w:rPr>
        <w:t>15</w:t>
      </w:r>
      <w:r w:rsidRPr="003A457D">
        <w:rPr>
          <w:rFonts w:ascii="Garamond" w:hAnsi="Garamond"/>
          <w:sz w:val="24"/>
          <w:szCs w:val="24"/>
        </w:rPr>
        <w:t xml:space="preserve">0 selected bibliographies. There were </w:t>
      </w:r>
      <w:r w:rsidRPr="003A457D">
        <w:rPr>
          <w:rFonts w:ascii="Garamond" w:hAnsi="Garamond"/>
          <w:sz w:val="24"/>
          <w:szCs w:val="24"/>
          <w:lang w:val="en-US"/>
        </w:rPr>
        <w:t>270</w:t>
      </w:r>
      <w:r w:rsidRPr="003A457D">
        <w:rPr>
          <w:rFonts w:ascii="Garamond" w:hAnsi="Garamond"/>
          <w:sz w:val="24"/>
          <w:szCs w:val="24"/>
        </w:rPr>
        <w:t xml:space="preserve"> articles in the bibliography that were not selected because they did not meet the criteria set by the researcher. Figure </w:t>
      </w:r>
      <w:proofErr w:type="gramStart"/>
      <w:r w:rsidRPr="003A457D">
        <w:rPr>
          <w:rFonts w:ascii="Garamond" w:hAnsi="Garamond"/>
          <w:sz w:val="24"/>
          <w:szCs w:val="24"/>
          <w:lang w:val="en-US"/>
        </w:rPr>
        <w:t xml:space="preserve">44  </w:t>
      </w:r>
      <w:r w:rsidRPr="003A457D">
        <w:rPr>
          <w:rFonts w:ascii="Garamond" w:hAnsi="Garamond"/>
          <w:sz w:val="24"/>
          <w:szCs w:val="24"/>
        </w:rPr>
        <w:t>items</w:t>
      </w:r>
      <w:proofErr w:type="gramEnd"/>
      <w:r w:rsidRPr="003A457D">
        <w:rPr>
          <w:rFonts w:ascii="Garamond" w:hAnsi="Garamond"/>
          <w:sz w:val="24"/>
          <w:szCs w:val="24"/>
        </w:rPr>
        <w:t xml:space="preserve"> from </w:t>
      </w:r>
      <w:r w:rsidRPr="003A457D">
        <w:rPr>
          <w:rFonts w:ascii="Garamond" w:hAnsi="Garamond"/>
          <w:sz w:val="24"/>
          <w:szCs w:val="24"/>
          <w:lang w:val="en-US"/>
        </w:rPr>
        <w:t>three</w:t>
      </w:r>
      <w:r w:rsidRPr="003A457D">
        <w:rPr>
          <w:rFonts w:ascii="Garamond" w:hAnsi="Garamond"/>
          <w:sz w:val="24"/>
          <w:szCs w:val="24"/>
        </w:rPr>
        <w:t xml:space="preserve"> clusters of search results through the </w:t>
      </w:r>
      <w:proofErr w:type="spellStart"/>
      <w:r w:rsidRPr="003A457D">
        <w:rPr>
          <w:rFonts w:ascii="Garamond" w:hAnsi="Garamond"/>
          <w:sz w:val="24"/>
          <w:szCs w:val="24"/>
          <w:lang w:val="en-US"/>
        </w:rPr>
        <w:t>VOSviewer</w:t>
      </w:r>
      <w:proofErr w:type="spellEnd"/>
      <w:r w:rsidRPr="003A457D">
        <w:rPr>
          <w:rFonts w:ascii="Garamond" w:hAnsi="Garamond"/>
          <w:sz w:val="24"/>
          <w:szCs w:val="24"/>
        </w:rPr>
        <w:t xml:space="preserve"> application</w:t>
      </w:r>
      <w:r w:rsidRPr="003A457D">
        <w:rPr>
          <w:rFonts w:ascii="Garamond" w:hAnsi="Garamond"/>
          <w:sz w:val="24"/>
          <w:szCs w:val="24"/>
          <w:lang w:val="en-US"/>
        </w:rPr>
        <w:t xml:space="preserve"> about counseling guidance</w:t>
      </w:r>
      <w:r w:rsidRPr="003A457D">
        <w:rPr>
          <w:rFonts w:ascii="Garamond" w:hAnsi="Garamond"/>
          <w:sz w:val="24"/>
          <w:szCs w:val="24"/>
        </w:rPr>
        <w:t>. The first is c</w:t>
      </w:r>
      <w:proofErr w:type="spellStart"/>
      <w:r w:rsidRPr="003A457D">
        <w:rPr>
          <w:rFonts w:ascii="Garamond" w:hAnsi="Garamond"/>
          <w:sz w:val="24"/>
          <w:szCs w:val="24"/>
          <w:lang w:val="en-US"/>
        </w:rPr>
        <w:t>areer</w:t>
      </w:r>
      <w:proofErr w:type="spellEnd"/>
      <w:r w:rsidRPr="003A457D">
        <w:rPr>
          <w:rFonts w:ascii="Garamond" w:hAnsi="Garamond"/>
          <w:sz w:val="24"/>
          <w:szCs w:val="24"/>
          <w:lang w:val="en-US"/>
        </w:rPr>
        <w:t xml:space="preserve"> counseling, career guidance, counseling program, Counseling, individual, intervention, participant, the present study, relationship, researcher, school counseling, vocational guidance, and year. </w:t>
      </w:r>
      <w:r w:rsidRPr="003A457D">
        <w:rPr>
          <w:rFonts w:ascii="Garamond" w:hAnsi="Garamond"/>
          <w:sz w:val="24"/>
          <w:szCs w:val="24"/>
        </w:rPr>
        <w:t xml:space="preserve">The </w:t>
      </w:r>
      <w:r w:rsidRPr="003A457D">
        <w:rPr>
          <w:rFonts w:ascii="Garamond" w:hAnsi="Garamond"/>
          <w:sz w:val="24"/>
          <w:szCs w:val="24"/>
          <w:lang w:val="en-US"/>
        </w:rPr>
        <w:t xml:space="preserve">second </w:t>
      </w:r>
      <w:r w:rsidRPr="003A457D">
        <w:rPr>
          <w:rFonts w:ascii="Garamond" w:hAnsi="Garamond"/>
          <w:sz w:val="24"/>
          <w:szCs w:val="24"/>
        </w:rPr>
        <w:t>cluster</w:t>
      </w:r>
      <w:r w:rsidRPr="003A457D">
        <w:rPr>
          <w:rFonts w:ascii="Garamond" w:hAnsi="Garamond"/>
          <w:sz w:val="24"/>
          <w:szCs w:val="24"/>
          <w:lang w:val="en-US"/>
        </w:rPr>
        <w:t xml:space="preserve"> is adolescent analysis, anticipatory guidance, article, effectiveness, group, and group counseling. The three-cluster addition covid field, genetic Counseling, impact, Pandemic, patient, person, and Psychological Counseling. The fourth cluster is child counseling guidance teachers, experts, group guidance, guidance teacher, and parent. The fifth is counseling students. </w:t>
      </w:r>
    </w:p>
    <w:p w14:paraId="28FE658C" w14:textId="77777777" w:rsidR="003A457D" w:rsidRPr="003A457D" w:rsidRDefault="003A457D" w:rsidP="003A457D">
      <w:pPr>
        <w:spacing w:after="120"/>
        <w:ind w:firstLine="90"/>
        <w:jc w:val="both"/>
        <w:rPr>
          <w:rFonts w:ascii="Garamond" w:hAnsi="Garamond"/>
          <w:sz w:val="24"/>
          <w:szCs w:val="24"/>
          <w:highlight w:val="yellow"/>
          <w:lang w:val="en-US"/>
        </w:rPr>
      </w:pPr>
      <w:r w:rsidRPr="003A457D">
        <w:rPr>
          <w:rFonts w:ascii="Garamond" w:hAnsi="Garamond"/>
          <w:noProof/>
          <w:sz w:val="24"/>
          <w:szCs w:val="24"/>
        </w:rPr>
        <w:drawing>
          <wp:inline distT="0" distB="0" distL="0" distR="0" wp14:anchorId="4448C10D" wp14:editId="3E5B120C">
            <wp:extent cx="5873115" cy="3965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876769" cy="3968042"/>
                    </a:xfrm>
                    <a:prstGeom prst="rect">
                      <a:avLst/>
                    </a:prstGeom>
                    <a:noFill/>
                    <a:ln>
                      <a:noFill/>
                    </a:ln>
                  </pic:spPr>
                </pic:pic>
              </a:graphicData>
            </a:graphic>
          </wp:inline>
        </w:drawing>
      </w:r>
    </w:p>
    <w:p w14:paraId="428A70F2" w14:textId="77777777" w:rsidR="003A457D" w:rsidRPr="003A457D" w:rsidRDefault="003A457D" w:rsidP="003A457D">
      <w:pPr>
        <w:shd w:val="clear" w:color="auto" w:fill="FFFFFF"/>
        <w:spacing w:after="100" w:afterAutospacing="1"/>
        <w:jc w:val="both"/>
        <w:outlineLvl w:val="0"/>
        <w:rPr>
          <w:rFonts w:ascii="Garamond" w:hAnsi="Garamond" w:cs="Arial"/>
          <w:sz w:val="24"/>
          <w:szCs w:val="24"/>
          <w:lang w:val="en-US"/>
        </w:rPr>
      </w:pPr>
      <w:r w:rsidRPr="003A457D">
        <w:rPr>
          <w:rFonts w:ascii="Garamond" w:hAnsi="Garamond"/>
          <w:sz w:val="24"/>
          <w:szCs w:val="24"/>
        </w:rPr>
        <w:t xml:space="preserve">Figure </w:t>
      </w:r>
      <w:r w:rsidRPr="003A457D">
        <w:rPr>
          <w:rFonts w:ascii="Garamond" w:hAnsi="Garamond"/>
          <w:sz w:val="24"/>
          <w:szCs w:val="24"/>
          <w:lang w:val="en-US"/>
        </w:rPr>
        <w:t>13</w:t>
      </w:r>
      <w:r w:rsidRPr="003A457D">
        <w:rPr>
          <w:rFonts w:ascii="Garamond" w:hAnsi="Garamond"/>
          <w:sz w:val="24"/>
          <w:szCs w:val="24"/>
        </w:rPr>
        <w:t xml:space="preserve">. </w:t>
      </w:r>
      <w:r w:rsidRPr="003A457D">
        <w:rPr>
          <w:rFonts w:ascii="Garamond" w:hAnsi="Garamond"/>
          <w:sz w:val="24"/>
          <w:szCs w:val="24"/>
          <w:lang w:val="en-US"/>
        </w:rPr>
        <w:t xml:space="preserve">Density </w:t>
      </w:r>
      <w:r w:rsidRPr="003A457D">
        <w:rPr>
          <w:rFonts w:ascii="Garamond" w:hAnsi="Garamond"/>
          <w:sz w:val="24"/>
          <w:szCs w:val="24"/>
        </w:rPr>
        <w:t xml:space="preserve">Visualization of </w:t>
      </w:r>
      <w:r w:rsidRPr="003A457D">
        <w:rPr>
          <w:rFonts w:ascii="Garamond" w:hAnsi="Garamond"/>
          <w:sz w:val="24"/>
          <w:szCs w:val="24"/>
          <w:lang w:val="en-US"/>
        </w:rPr>
        <w:t>elementary school</w:t>
      </w:r>
    </w:p>
    <w:p w14:paraId="541BB986" w14:textId="77777777" w:rsidR="003A457D" w:rsidRPr="003A457D" w:rsidRDefault="003A457D" w:rsidP="003A457D">
      <w:pPr>
        <w:spacing w:after="120"/>
        <w:ind w:firstLine="720"/>
        <w:jc w:val="both"/>
        <w:rPr>
          <w:rFonts w:ascii="Garamond" w:hAnsi="Garamond"/>
          <w:sz w:val="24"/>
          <w:szCs w:val="24"/>
          <w:lang w:val="en-US"/>
        </w:rPr>
      </w:pPr>
      <w:r w:rsidRPr="003A457D">
        <w:rPr>
          <w:rFonts w:ascii="Garamond" w:hAnsi="Garamond"/>
          <w:sz w:val="24"/>
          <w:szCs w:val="24"/>
        </w:rPr>
        <w:t xml:space="preserve">The search results using the </w:t>
      </w:r>
      <w:proofErr w:type="spellStart"/>
      <w:r w:rsidRPr="003A457D">
        <w:rPr>
          <w:rFonts w:ascii="Garamond" w:hAnsi="Garamond"/>
          <w:sz w:val="24"/>
          <w:szCs w:val="24"/>
          <w:lang w:val="en-US"/>
        </w:rPr>
        <w:t>VOSviewer</w:t>
      </w:r>
      <w:proofErr w:type="spellEnd"/>
      <w:r w:rsidRPr="003A457D">
        <w:rPr>
          <w:rFonts w:ascii="Garamond" w:hAnsi="Garamond"/>
          <w:sz w:val="24"/>
          <w:szCs w:val="24"/>
        </w:rPr>
        <w:t xml:space="preserve"> application yielded </w:t>
      </w:r>
      <w:r w:rsidRPr="003A457D">
        <w:rPr>
          <w:rFonts w:ascii="Garamond" w:hAnsi="Garamond"/>
          <w:sz w:val="24"/>
          <w:szCs w:val="24"/>
          <w:lang w:val="en-US"/>
        </w:rPr>
        <w:t>975</w:t>
      </w:r>
      <w:r w:rsidRPr="003A457D">
        <w:rPr>
          <w:rFonts w:ascii="Garamond" w:hAnsi="Garamond"/>
          <w:sz w:val="24"/>
          <w:szCs w:val="24"/>
        </w:rPr>
        <w:t xml:space="preserve"> bibliographies, which were sorted into </w:t>
      </w:r>
      <w:r w:rsidRPr="003A457D">
        <w:rPr>
          <w:rFonts w:ascii="Garamond" w:hAnsi="Garamond"/>
          <w:sz w:val="24"/>
          <w:szCs w:val="24"/>
          <w:lang w:val="en-US"/>
        </w:rPr>
        <w:t>23</w:t>
      </w:r>
      <w:r w:rsidRPr="003A457D">
        <w:rPr>
          <w:rFonts w:ascii="Garamond" w:hAnsi="Garamond"/>
          <w:sz w:val="24"/>
          <w:szCs w:val="24"/>
        </w:rPr>
        <w:t xml:space="preserve">0 selected bibliographies. There were </w:t>
      </w:r>
      <w:r w:rsidRPr="003A457D">
        <w:rPr>
          <w:rFonts w:ascii="Garamond" w:hAnsi="Garamond"/>
          <w:sz w:val="24"/>
          <w:szCs w:val="24"/>
          <w:lang w:val="en-US"/>
        </w:rPr>
        <w:t>227</w:t>
      </w:r>
      <w:r w:rsidRPr="003A457D">
        <w:rPr>
          <w:rFonts w:ascii="Garamond" w:hAnsi="Garamond"/>
          <w:sz w:val="24"/>
          <w:szCs w:val="24"/>
        </w:rPr>
        <w:t xml:space="preserve"> articles in the bibliography that were not selected because they did not meet the criteria set by the researcher. Figure </w:t>
      </w:r>
      <w:r w:rsidRPr="003A457D">
        <w:rPr>
          <w:rFonts w:ascii="Garamond" w:hAnsi="Garamond"/>
          <w:sz w:val="24"/>
          <w:szCs w:val="24"/>
          <w:lang w:val="en-US"/>
        </w:rPr>
        <w:t xml:space="preserve">37 </w:t>
      </w:r>
      <w:r w:rsidRPr="003A457D">
        <w:rPr>
          <w:rFonts w:ascii="Garamond" w:hAnsi="Garamond"/>
          <w:sz w:val="24"/>
          <w:szCs w:val="24"/>
        </w:rPr>
        <w:t xml:space="preserve">items from </w:t>
      </w:r>
      <w:r w:rsidRPr="003A457D">
        <w:rPr>
          <w:rFonts w:ascii="Garamond" w:hAnsi="Garamond"/>
          <w:sz w:val="24"/>
          <w:szCs w:val="24"/>
          <w:lang w:val="en-US"/>
        </w:rPr>
        <w:t>three</w:t>
      </w:r>
      <w:r w:rsidRPr="003A457D">
        <w:rPr>
          <w:rFonts w:ascii="Garamond" w:hAnsi="Garamond"/>
          <w:sz w:val="24"/>
          <w:szCs w:val="24"/>
        </w:rPr>
        <w:t xml:space="preserve"> clusters of search results through the </w:t>
      </w:r>
      <w:proofErr w:type="spellStart"/>
      <w:r w:rsidRPr="003A457D">
        <w:rPr>
          <w:rFonts w:ascii="Garamond" w:hAnsi="Garamond"/>
          <w:sz w:val="24"/>
          <w:szCs w:val="24"/>
          <w:lang w:val="en-US"/>
        </w:rPr>
        <w:t>VOSviewer</w:t>
      </w:r>
      <w:proofErr w:type="spellEnd"/>
      <w:r w:rsidRPr="003A457D">
        <w:rPr>
          <w:rFonts w:ascii="Garamond" w:hAnsi="Garamond"/>
          <w:sz w:val="24"/>
          <w:szCs w:val="24"/>
        </w:rPr>
        <w:t xml:space="preserve"> application</w:t>
      </w:r>
      <w:r w:rsidRPr="003A457D">
        <w:rPr>
          <w:rFonts w:ascii="Garamond" w:hAnsi="Garamond"/>
          <w:sz w:val="24"/>
          <w:szCs w:val="24"/>
          <w:lang w:val="en-US"/>
        </w:rPr>
        <w:t xml:space="preserve"> about elementary school</w:t>
      </w:r>
      <w:r w:rsidRPr="003A457D">
        <w:rPr>
          <w:rFonts w:ascii="Garamond" w:hAnsi="Garamond"/>
          <w:sz w:val="24"/>
          <w:szCs w:val="24"/>
        </w:rPr>
        <w:t xml:space="preserve">. The first cluster </w:t>
      </w:r>
      <w:r w:rsidRPr="003A457D">
        <w:rPr>
          <w:rFonts w:ascii="Garamond" w:hAnsi="Garamond"/>
          <w:sz w:val="24"/>
          <w:szCs w:val="24"/>
          <w:lang w:val="en-US"/>
        </w:rPr>
        <w:t xml:space="preserve">is age, child, classroom, experience, high school, middle school, quality, teaching, and year. </w:t>
      </w:r>
      <w:r w:rsidRPr="003A457D">
        <w:rPr>
          <w:rFonts w:ascii="Garamond" w:hAnsi="Garamond"/>
          <w:sz w:val="24"/>
          <w:szCs w:val="24"/>
        </w:rPr>
        <w:t xml:space="preserve">The </w:t>
      </w:r>
      <w:r w:rsidRPr="003A457D">
        <w:rPr>
          <w:rFonts w:ascii="Garamond" w:hAnsi="Garamond"/>
          <w:sz w:val="24"/>
          <w:szCs w:val="24"/>
          <w:lang w:val="en-US"/>
        </w:rPr>
        <w:t xml:space="preserve">second </w:t>
      </w:r>
      <w:r w:rsidRPr="003A457D">
        <w:rPr>
          <w:rFonts w:ascii="Garamond" w:hAnsi="Garamond"/>
          <w:sz w:val="24"/>
          <w:szCs w:val="24"/>
        </w:rPr>
        <w:t xml:space="preserve">cluster </w:t>
      </w:r>
      <w:r w:rsidRPr="003A457D">
        <w:rPr>
          <w:rFonts w:ascii="Garamond" w:hAnsi="Garamond"/>
          <w:sz w:val="24"/>
          <w:szCs w:val="24"/>
          <w:lang w:val="en-US"/>
        </w:rPr>
        <w:t xml:space="preserve">is an ability, elementary school level, elementary student, order, paper, science, skill, and type. The three-cluster are district, fourth-grade student, implementation, model, and outcome. The fourth cluster is abstract, covid, development, </w:t>
      </w:r>
      <w:r w:rsidRPr="003A457D">
        <w:rPr>
          <w:rFonts w:ascii="Garamond" w:hAnsi="Garamond"/>
          <w:sz w:val="24"/>
          <w:szCs w:val="24"/>
          <w:lang w:val="en-US"/>
        </w:rPr>
        <w:lastRenderedPageBreak/>
        <w:t xml:space="preserve">effectiveness, medium, and use. The fifth cluster is elementary school child, factors, mathematics, and total. </w:t>
      </w:r>
    </w:p>
    <w:p w14:paraId="46A919B4" w14:textId="77777777" w:rsidR="003A457D" w:rsidRPr="003A457D" w:rsidRDefault="003A457D" w:rsidP="003A457D">
      <w:pPr>
        <w:spacing w:after="120"/>
        <w:ind w:firstLine="720"/>
        <w:jc w:val="both"/>
        <w:rPr>
          <w:rFonts w:ascii="Garamond" w:hAnsi="Garamond"/>
          <w:sz w:val="24"/>
          <w:szCs w:val="24"/>
          <w:lang w:val="en-US"/>
        </w:rPr>
      </w:pPr>
    </w:p>
    <w:p w14:paraId="604BE7EE" w14:textId="77777777" w:rsidR="003A457D" w:rsidRPr="003A457D" w:rsidRDefault="003A457D" w:rsidP="003A457D">
      <w:pPr>
        <w:pStyle w:val="JPEHeading1"/>
        <w:jc w:val="both"/>
        <w:rPr>
          <w:rFonts w:ascii="Garamond" w:hAnsi="Garamond"/>
          <w:sz w:val="24"/>
        </w:rPr>
      </w:pPr>
      <w:r w:rsidRPr="003A457D">
        <w:rPr>
          <w:rFonts w:ascii="Garamond" w:hAnsi="Garamond"/>
          <w:sz w:val="24"/>
        </w:rPr>
        <w:t xml:space="preserve">Acknowledgment </w:t>
      </w:r>
    </w:p>
    <w:p w14:paraId="5B0D719F" w14:textId="77777777" w:rsidR="003A457D" w:rsidRPr="003A457D" w:rsidRDefault="003A457D" w:rsidP="003A457D">
      <w:pPr>
        <w:pStyle w:val="JPEHeading1"/>
        <w:jc w:val="both"/>
        <w:rPr>
          <w:rFonts w:ascii="Garamond" w:hAnsi="Garamond"/>
          <w:b w:val="0"/>
          <w:bCs/>
          <w:sz w:val="24"/>
        </w:rPr>
      </w:pPr>
      <w:r w:rsidRPr="003A457D">
        <w:rPr>
          <w:rFonts w:ascii="Garamond" w:hAnsi="Garamond"/>
          <w:b w:val="0"/>
          <w:bCs/>
          <w:sz w:val="24"/>
        </w:rPr>
        <w:t>We thank the professionals for their substantial contributions to the instrument's programming development and design. We also want to thank everyone who helped make the study a success.</w:t>
      </w:r>
    </w:p>
    <w:p w14:paraId="2DCCCAA3" w14:textId="77777777" w:rsidR="003A457D" w:rsidRPr="003A457D" w:rsidRDefault="003A457D" w:rsidP="003A457D">
      <w:pPr>
        <w:pStyle w:val="JPEHeading1"/>
        <w:jc w:val="both"/>
        <w:rPr>
          <w:rFonts w:ascii="Garamond" w:hAnsi="Garamond"/>
          <w:sz w:val="24"/>
        </w:rPr>
      </w:pPr>
      <w:r w:rsidRPr="003A457D">
        <w:rPr>
          <w:rFonts w:ascii="Garamond" w:hAnsi="Garamond"/>
          <w:sz w:val="24"/>
        </w:rPr>
        <w:t xml:space="preserve">Conflicts of Interest </w:t>
      </w:r>
    </w:p>
    <w:p w14:paraId="24869BF2" w14:textId="77777777" w:rsidR="003A457D" w:rsidRPr="003A457D" w:rsidRDefault="003A457D" w:rsidP="003A457D">
      <w:pPr>
        <w:pStyle w:val="JPEHeading1"/>
        <w:jc w:val="both"/>
        <w:rPr>
          <w:rFonts w:ascii="Garamond" w:hAnsi="Garamond"/>
          <w:b w:val="0"/>
          <w:bCs/>
          <w:noProof/>
          <w:sz w:val="24"/>
        </w:rPr>
      </w:pPr>
      <w:r w:rsidRPr="003A457D">
        <w:rPr>
          <w:rFonts w:ascii="Garamond" w:hAnsi="Garamond"/>
          <w:b w:val="0"/>
          <w:bCs/>
          <w:sz w:val="24"/>
        </w:rPr>
        <w:t>The authors declare that there is no conflict of interest.</w:t>
      </w:r>
    </w:p>
    <w:p w14:paraId="5B194663" w14:textId="77777777" w:rsidR="003A457D" w:rsidRPr="003A457D" w:rsidRDefault="003A457D" w:rsidP="003A457D">
      <w:pPr>
        <w:shd w:val="clear" w:color="auto" w:fill="FFFFFF"/>
        <w:spacing w:before="100" w:beforeAutospacing="1" w:after="100" w:afterAutospacing="1" w:line="240" w:lineRule="auto"/>
        <w:jc w:val="both"/>
        <w:outlineLvl w:val="0"/>
        <w:rPr>
          <w:rFonts w:ascii="Garamond" w:hAnsi="Garamond"/>
          <w:b/>
          <w:bCs/>
          <w:sz w:val="24"/>
          <w:szCs w:val="24"/>
        </w:rPr>
      </w:pPr>
      <w:r w:rsidRPr="003A457D">
        <w:rPr>
          <w:rFonts w:ascii="Garamond" w:hAnsi="Garamond"/>
          <w:b/>
          <w:bCs/>
          <w:sz w:val="24"/>
          <w:szCs w:val="24"/>
        </w:rPr>
        <w:t xml:space="preserve">Conclusion </w:t>
      </w:r>
    </w:p>
    <w:p w14:paraId="73AE3BFF" w14:textId="77777777" w:rsidR="003A457D" w:rsidRPr="003A457D" w:rsidRDefault="003A457D" w:rsidP="003A457D">
      <w:pPr>
        <w:jc w:val="both"/>
        <w:rPr>
          <w:rFonts w:ascii="Garamond" w:hAnsi="Garamond"/>
          <w:bCs/>
          <w:color w:val="000000" w:themeColor="text1"/>
          <w:sz w:val="24"/>
          <w:szCs w:val="24"/>
        </w:rPr>
      </w:pPr>
      <w:r w:rsidRPr="003A457D">
        <w:rPr>
          <w:rFonts w:ascii="Garamond" w:hAnsi="Garamond"/>
          <w:bCs/>
          <w:color w:val="000000" w:themeColor="text1"/>
          <w:sz w:val="24"/>
          <w:szCs w:val="24"/>
        </w:rPr>
        <w:t xml:space="preserve">Religious character, discipline, and independence are all grown through school. The development of habits, the example provided by the principal and student supervisors, and the development of student motivation are all used to shape students' character through bibliometric studies from 2012 to 2022, an innovation in the role of religious teachers in </w:t>
      </w:r>
      <w:proofErr w:type="spellStart"/>
      <w:r w:rsidRPr="003A457D">
        <w:rPr>
          <w:rFonts w:ascii="Garamond" w:hAnsi="Garamond"/>
          <w:bCs/>
          <w:color w:val="000000" w:themeColor="text1"/>
          <w:sz w:val="24"/>
          <w:szCs w:val="24"/>
        </w:rPr>
        <w:t>counseling</w:t>
      </w:r>
      <w:proofErr w:type="spellEnd"/>
      <w:r w:rsidRPr="003A457D">
        <w:rPr>
          <w:rFonts w:ascii="Garamond" w:hAnsi="Garamond"/>
          <w:bCs/>
          <w:color w:val="000000" w:themeColor="text1"/>
          <w:sz w:val="24"/>
          <w:szCs w:val="24"/>
        </w:rPr>
        <w:t xml:space="preserve"> guidance in elementary schools. The bibliographic review taken was </w:t>
      </w:r>
      <w:proofErr w:type="spellStart"/>
      <w:r w:rsidRPr="003A457D">
        <w:rPr>
          <w:rFonts w:ascii="Garamond" w:hAnsi="Garamond"/>
          <w:bCs/>
          <w:color w:val="000000" w:themeColor="text1"/>
          <w:sz w:val="24"/>
          <w:szCs w:val="24"/>
        </w:rPr>
        <w:t>analyzed</w:t>
      </w:r>
      <w:proofErr w:type="spellEnd"/>
      <w:r w:rsidRPr="003A457D">
        <w:rPr>
          <w:rFonts w:ascii="Garamond" w:hAnsi="Garamond"/>
          <w:bCs/>
          <w:color w:val="000000" w:themeColor="text1"/>
          <w:sz w:val="24"/>
          <w:szCs w:val="24"/>
        </w:rPr>
        <w:t xml:space="preserve"> using the VOS viewer. The most prolific authors, journals, keywords, and citation references were all investigated. In 2021-2022 the relative growth rate and time required to double were calculated. The innovation of the role of religious teachers in </w:t>
      </w:r>
      <w:proofErr w:type="spellStart"/>
      <w:r w:rsidRPr="003A457D">
        <w:rPr>
          <w:rFonts w:ascii="Garamond" w:hAnsi="Garamond"/>
          <w:bCs/>
          <w:color w:val="000000" w:themeColor="text1"/>
          <w:sz w:val="24"/>
          <w:szCs w:val="24"/>
        </w:rPr>
        <w:t>counseling</w:t>
      </w:r>
      <w:proofErr w:type="spellEnd"/>
      <w:r w:rsidRPr="003A457D">
        <w:rPr>
          <w:rFonts w:ascii="Garamond" w:hAnsi="Garamond"/>
          <w:bCs/>
          <w:color w:val="000000" w:themeColor="text1"/>
          <w:sz w:val="24"/>
          <w:szCs w:val="24"/>
        </w:rPr>
        <w:t xml:space="preserve"> guidance in elementary schools is an innovation of the role of religious teachers as an example of associative social interaction, which requires cooperation in developing the character of students in elementary schools</w:t>
      </w:r>
      <w:proofErr w:type="gramStart"/>
      <w:r w:rsidRPr="003A457D">
        <w:rPr>
          <w:rFonts w:ascii="Garamond" w:hAnsi="Garamond"/>
          <w:bCs/>
          <w:color w:val="000000" w:themeColor="text1"/>
          <w:sz w:val="24"/>
          <w:szCs w:val="24"/>
        </w:rPr>
        <w:t>. .</w:t>
      </w:r>
      <w:proofErr w:type="gramEnd"/>
      <w:r w:rsidRPr="003A457D">
        <w:rPr>
          <w:rFonts w:ascii="Garamond" w:hAnsi="Garamond"/>
          <w:bCs/>
          <w:color w:val="000000" w:themeColor="text1"/>
          <w:sz w:val="24"/>
          <w:szCs w:val="24"/>
        </w:rPr>
        <w:t xml:space="preserve"> Based on the Al-Quran and As-Sunnah, Islam directs and guides humans to the path that is pleasing to Him by forming a personality with good morals. As the Messenger of Allah (SAW) said: "Indeed, I was sent to the perfect noble character. God sent the Prophet to guide and direct humans toward true goodness and as a </w:t>
      </w:r>
      <w:proofErr w:type="spellStart"/>
      <w:r w:rsidRPr="003A457D">
        <w:rPr>
          <w:rFonts w:ascii="Garamond" w:hAnsi="Garamond"/>
          <w:bCs/>
          <w:color w:val="000000" w:themeColor="text1"/>
          <w:sz w:val="24"/>
          <w:szCs w:val="24"/>
        </w:rPr>
        <w:t>counselor</w:t>
      </w:r>
      <w:proofErr w:type="spellEnd"/>
      <w:r w:rsidRPr="003A457D">
        <w:rPr>
          <w:rFonts w:ascii="Garamond" w:hAnsi="Garamond"/>
          <w:bCs/>
          <w:color w:val="000000" w:themeColor="text1"/>
          <w:sz w:val="24"/>
          <w:szCs w:val="24"/>
        </w:rPr>
        <w:t xml:space="preserve"> figure capable of solving various problems related to the human soul so that humans avoid all negative traits. Therefore, humans are expected to give each other guidance following their capacity and provide </w:t>
      </w:r>
      <w:proofErr w:type="spellStart"/>
      <w:r w:rsidRPr="003A457D">
        <w:rPr>
          <w:rFonts w:ascii="Garamond" w:hAnsi="Garamond"/>
          <w:bCs/>
          <w:color w:val="000000" w:themeColor="text1"/>
          <w:sz w:val="24"/>
          <w:szCs w:val="24"/>
        </w:rPr>
        <w:t>Counseling</w:t>
      </w:r>
      <w:proofErr w:type="spellEnd"/>
      <w:r w:rsidRPr="003A457D">
        <w:rPr>
          <w:rFonts w:ascii="Garamond" w:hAnsi="Garamond"/>
          <w:bCs/>
          <w:color w:val="000000" w:themeColor="text1"/>
          <w:sz w:val="24"/>
          <w:szCs w:val="24"/>
        </w:rPr>
        <w:t xml:space="preserve"> to remain patient and trusting in facing the real journey of life.</w:t>
      </w:r>
    </w:p>
    <w:p w14:paraId="7E40A563" w14:textId="77777777" w:rsidR="003A457D" w:rsidRPr="003A457D" w:rsidRDefault="003A457D" w:rsidP="003A457D">
      <w:pPr>
        <w:pStyle w:val="JPEHeading1"/>
        <w:spacing w:after="0"/>
        <w:jc w:val="both"/>
        <w:rPr>
          <w:rFonts w:ascii="Garamond" w:hAnsi="Garamond"/>
          <w:b w:val="0"/>
          <w:bCs/>
          <w:sz w:val="24"/>
        </w:rPr>
      </w:pPr>
    </w:p>
    <w:p w14:paraId="1115BBA2" w14:textId="77777777" w:rsidR="003A457D" w:rsidRPr="003A457D" w:rsidRDefault="003A457D" w:rsidP="003A457D">
      <w:pPr>
        <w:pStyle w:val="Els-reference-head"/>
        <w:keepNext w:val="0"/>
        <w:spacing w:before="360" w:after="240" w:line="240" w:lineRule="auto"/>
        <w:jc w:val="both"/>
        <w:rPr>
          <w:rFonts w:ascii="Garamond" w:hAnsi="Garamond"/>
          <w:sz w:val="24"/>
          <w:szCs w:val="24"/>
        </w:rPr>
      </w:pPr>
      <w:r w:rsidRPr="003A457D">
        <w:rPr>
          <w:rFonts w:ascii="Garamond" w:hAnsi="Garamond"/>
          <w:sz w:val="24"/>
          <w:szCs w:val="24"/>
        </w:rPr>
        <w:t>References</w:t>
      </w:r>
    </w:p>
    <w:p w14:paraId="09CBE24A" w14:textId="77777777" w:rsidR="003A457D" w:rsidRPr="003A457D" w:rsidRDefault="003A457D" w:rsidP="003A457D">
      <w:pPr>
        <w:jc w:val="both"/>
        <w:rPr>
          <w:rFonts w:ascii="Garamond" w:hAnsi="Garamond"/>
          <w:sz w:val="24"/>
          <w:szCs w:val="24"/>
          <w:lang w:val="en-US"/>
        </w:rPr>
      </w:pPr>
    </w:p>
    <w:p w14:paraId="6DB4D957" w14:textId="77777777" w:rsidR="003A457D" w:rsidRPr="003A457D" w:rsidRDefault="003A457D" w:rsidP="003A457D">
      <w:pPr>
        <w:pStyle w:val="Bibliography"/>
        <w:jc w:val="both"/>
        <w:rPr>
          <w:rFonts w:ascii="Garamond" w:hAnsi="Garamond"/>
          <w:sz w:val="24"/>
          <w:szCs w:val="24"/>
        </w:rPr>
      </w:pPr>
      <w:r w:rsidRPr="003A457D">
        <w:rPr>
          <w:rStyle w:val="Hyperlink"/>
          <w:rFonts w:ascii="Garamond" w:hAnsi="Garamond"/>
          <w:color w:val="222222"/>
          <w:sz w:val="24"/>
          <w:szCs w:val="24"/>
          <w:shd w:val="clear" w:color="auto" w:fill="FFFFFF"/>
          <w:lang w:val="en-US"/>
        </w:rPr>
        <w:fldChar w:fldCharType="begin"/>
      </w:r>
      <w:r w:rsidRPr="003A457D">
        <w:rPr>
          <w:rStyle w:val="Hyperlink"/>
          <w:rFonts w:ascii="Garamond" w:hAnsi="Garamond"/>
          <w:color w:val="222222"/>
          <w:sz w:val="24"/>
          <w:szCs w:val="24"/>
          <w:shd w:val="clear" w:color="auto" w:fill="FFFFFF"/>
          <w:lang w:val="en-US"/>
        </w:rPr>
        <w:instrText xml:space="preserve"> ADDIN ZOTERO_BIBL {"uncited":[],"omitted":[],"custom":[]} CSL_BIBLIOGRAPHY </w:instrText>
      </w:r>
      <w:r w:rsidRPr="003A457D">
        <w:rPr>
          <w:rStyle w:val="Hyperlink"/>
          <w:rFonts w:ascii="Garamond" w:hAnsi="Garamond"/>
          <w:color w:val="222222"/>
          <w:sz w:val="24"/>
          <w:szCs w:val="24"/>
          <w:shd w:val="clear" w:color="auto" w:fill="FFFFFF"/>
          <w:lang w:val="en-US"/>
        </w:rPr>
        <w:fldChar w:fldCharType="separate"/>
      </w:r>
      <w:r w:rsidRPr="003A457D">
        <w:rPr>
          <w:rFonts w:ascii="Garamond" w:hAnsi="Garamond"/>
          <w:sz w:val="24"/>
          <w:szCs w:val="24"/>
        </w:rPr>
        <w:t xml:space="preserve">Agarwal, S., and D. Roth. 2002. “Learning a Sparse Representation for Object Detection.” </w:t>
      </w:r>
      <w:proofErr w:type="spellStart"/>
      <w:r w:rsidRPr="003A457D">
        <w:rPr>
          <w:rFonts w:ascii="Garamond" w:hAnsi="Garamond"/>
          <w:sz w:val="24"/>
          <w:szCs w:val="24"/>
        </w:rPr>
        <w:t>doi</w:t>
      </w:r>
      <w:proofErr w:type="spellEnd"/>
      <w:r w:rsidRPr="003A457D">
        <w:rPr>
          <w:rFonts w:ascii="Garamond" w:hAnsi="Garamond"/>
          <w:sz w:val="24"/>
          <w:szCs w:val="24"/>
        </w:rPr>
        <w:t>: 10.1007/3-540-47979-1_8.</w:t>
      </w:r>
    </w:p>
    <w:p w14:paraId="4E02E21B"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Akyol, Zehra, and D. Garrison. 2008. “The Development of a Community of Inquiry over Time in an Online Course: Understanding the Progression and Integration of Social, Cognitive and Teaching Presence.” </w:t>
      </w:r>
      <w:r w:rsidRPr="003A457D">
        <w:rPr>
          <w:rFonts w:ascii="Garamond" w:hAnsi="Garamond"/>
          <w:i/>
          <w:iCs/>
          <w:sz w:val="24"/>
          <w:szCs w:val="24"/>
        </w:rPr>
        <w:t>Journal of Asynchronous Learning Networks</w:t>
      </w:r>
      <w:r w:rsidRPr="003A457D">
        <w:rPr>
          <w:rFonts w:ascii="Garamond" w:hAnsi="Garamond"/>
          <w:sz w:val="24"/>
          <w:szCs w:val="24"/>
        </w:rPr>
        <w:t xml:space="preserve"> 12:3–22. DOI: 10.24059/OLJ.V12I3.66.</w:t>
      </w:r>
    </w:p>
    <w:p w14:paraId="5FA8F741"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lastRenderedPageBreak/>
        <w:t xml:space="preserve">Akyol, Zehra, D. Garrison, and M. </w:t>
      </w:r>
      <w:proofErr w:type="spellStart"/>
      <w:r w:rsidRPr="003A457D">
        <w:rPr>
          <w:rFonts w:ascii="Garamond" w:hAnsi="Garamond"/>
          <w:sz w:val="24"/>
          <w:szCs w:val="24"/>
        </w:rPr>
        <w:t>Ozden</w:t>
      </w:r>
      <w:proofErr w:type="spellEnd"/>
      <w:r w:rsidRPr="003A457D">
        <w:rPr>
          <w:rFonts w:ascii="Garamond" w:hAnsi="Garamond"/>
          <w:sz w:val="24"/>
          <w:szCs w:val="24"/>
        </w:rPr>
        <w:t xml:space="preserve">. 2009. “Development of a Community of Inquiry in Online and Blended Learning Contexts.” </w:t>
      </w:r>
      <w:r w:rsidRPr="003A457D">
        <w:rPr>
          <w:rFonts w:ascii="Garamond" w:hAnsi="Garamond"/>
          <w:i/>
          <w:iCs/>
          <w:sz w:val="24"/>
          <w:szCs w:val="24"/>
        </w:rPr>
        <w:t xml:space="preserve">Procedia - Social and </w:t>
      </w:r>
      <w:proofErr w:type="spellStart"/>
      <w:r w:rsidRPr="003A457D">
        <w:rPr>
          <w:rFonts w:ascii="Garamond" w:hAnsi="Garamond"/>
          <w:i/>
          <w:iCs/>
          <w:sz w:val="24"/>
          <w:szCs w:val="24"/>
        </w:rPr>
        <w:t>Behavioral</w:t>
      </w:r>
      <w:proofErr w:type="spellEnd"/>
      <w:r w:rsidRPr="003A457D">
        <w:rPr>
          <w:rFonts w:ascii="Garamond" w:hAnsi="Garamond"/>
          <w:i/>
          <w:iCs/>
          <w:sz w:val="24"/>
          <w:szCs w:val="24"/>
        </w:rPr>
        <w:t xml:space="preserve"> Sciences</w:t>
      </w:r>
      <w:r w:rsidRPr="003A457D">
        <w:rPr>
          <w:rFonts w:ascii="Garamond" w:hAnsi="Garamond"/>
          <w:sz w:val="24"/>
          <w:szCs w:val="24"/>
        </w:rPr>
        <w:t xml:space="preserve"> 1:1834–38. DOI: 10.1016/J.SBSPRO.2009.01.324.</w:t>
      </w:r>
    </w:p>
    <w:p w14:paraId="70226375"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Akyol, Zehra, D. Garrison, and M. </w:t>
      </w:r>
      <w:proofErr w:type="spellStart"/>
      <w:r w:rsidRPr="003A457D">
        <w:rPr>
          <w:rFonts w:ascii="Garamond" w:hAnsi="Garamond"/>
          <w:sz w:val="24"/>
          <w:szCs w:val="24"/>
        </w:rPr>
        <w:t>Ozden</w:t>
      </w:r>
      <w:proofErr w:type="spellEnd"/>
      <w:r w:rsidRPr="003A457D">
        <w:rPr>
          <w:rFonts w:ascii="Garamond" w:hAnsi="Garamond"/>
          <w:sz w:val="24"/>
          <w:szCs w:val="24"/>
        </w:rPr>
        <w:t xml:space="preserve">. 2009. “Online and Blended Communities of Inquiry: Exploring the Developmental and </w:t>
      </w:r>
      <w:proofErr w:type="spellStart"/>
      <w:r w:rsidRPr="003A457D">
        <w:rPr>
          <w:rFonts w:ascii="Garamond" w:hAnsi="Garamond"/>
          <w:sz w:val="24"/>
          <w:szCs w:val="24"/>
        </w:rPr>
        <w:t>Perceptional</w:t>
      </w:r>
      <w:proofErr w:type="spellEnd"/>
      <w:r w:rsidRPr="003A457D">
        <w:rPr>
          <w:rFonts w:ascii="Garamond" w:hAnsi="Garamond"/>
          <w:sz w:val="24"/>
          <w:szCs w:val="24"/>
        </w:rPr>
        <w:t xml:space="preserve"> Differences.” </w:t>
      </w:r>
      <w:r w:rsidRPr="003A457D">
        <w:rPr>
          <w:rFonts w:ascii="Garamond" w:hAnsi="Garamond"/>
          <w:i/>
          <w:iCs/>
          <w:sz w:val="24"/>
          <w:szCs w:val="24"/>
        </w:rPr>
        <w:t>The International Review of Research in Open and Distributed Learning</w:t>
      </w:r>
      <w:r w:rsidRPr="003A457D">
        <w:rPr>
          <w:rFonts w:ascii="Garamond" w:hAnsi="Garamond"/>
          <w:sz w:val="24"/>
          <w:szCs w:val="24"/>
        </w:rPr>
        <w:t xml:space="preserve"> 10:65–83. DOI: 10.19173/IRRODL.V10I6.765.</w:t>
      </w:r>
    </w:p>
    <w:p w14:paraId="724E8074" w14:textId="77777777" w:rsidR="003A457D" w:rsidRPr="003A457D" w:rsidRDefault="003A457D" w:rsidP="003A457D">
      <w:pPr>
        <w:pStyle w:val="Bibliography"/>
        <w:jc w:val="both"/>
        <w:rPr>
          <w:rFonts w:ascii="Garamond" w:hAnsi="Garamond"/>
          <w:sz w:val="24"/>
          <w:szCs w:val="24"/>
        </w:rPr>
      </w:pPr>
      <w:proofErr w:type="spellStart"/>
      <w:r w:rsidRPr="003A457D">
        <w:rPr>
          <w:rFonts w:ascii="Garamond" w:hAnsi="Garamond"/>
          <w:sz w:val="24"/>
          <w:szCs w:val="24"/>
        </w:rPr>
        <w:t>Alavi</w:t>
      </w:r>
      <w:proofErr w:type="spellEnd"/>
      <w:r w:rsidRPr="003A457D">
        <w:rPr>
          <w:rFonts w:ascii="Garamond" w:hAnsi="Garamond"/>
          <w:sz w:val="24"/>
          <w:szCs w:val="24"/>
        </w:rPr>
        <w:t xml:space="preserve">, S. M., and M. </w:t>
      </w:r>
      <w:proofErr w:type="spellStart"/>
      <w:r w:rsidRPr="003A457D">
        <w:rPr>
          <w:rFonts w:ascii="Garamond" w:hAnsi="Garamond"/>
          <w:sz w:val="24"/>
          <w:szCs w:val="24"/>
        </w:rPr>
        <w:t>Taghizadeh</w:t>
      </w:r>
      <w:proofErr w:type="spellEnd"/>
      <w:r w:rsidRPr="003A457D">
        <w:rPr>
          <w:rFonts w:ascii="Garamond" w:hAnsi="Garamond"/>
          <w:sz w:val="24"/>
          <w:szCs w:val="24"/>
        </w:rPr>
        <w:t xml:space="preserve">. 2013. “Cognitive Presence in A Virtual Learning Community: An EFL Case.” </w:t>
      </w:r>
      <w:r w:rsidRPr="003A457D">
        <w:rPr>
          <w:rFonts w:ascii="Garamond" w:hAnsi="Garamond"/>
          <w:i/>
          <w:iCs/>
          <w:sz w:val="24"/>
          <w:szCs w:val="24"/>
        </w:rPr>
        <w:t>International Journal of E-Learning and Distance Education</w:t>
      </w:r>
      <w:r w:rsidRPr="003A457D">
        <w:rPr>
          <w:rFonts w:ascii="Garamond" w:hAnsi="Garamond"/>
          <w:sz w:val="24"/>
          <w:szCs w:val="24"/>
        </w:rPr>
        <w:t xml:space="preserve"> 27:1.</w:t>
      </w:r>
    </w:p>
    <w:p w14:paraId="48A2D335"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Annand, David. 2011. “Social Presence within the Community of Inquiry Framework.” </w:t>
      </w:r>
      <w:r w:rsidRPr="003A457D">
        <w:rPr>
          <w:rFonts w:ascii="Garamond" w:hAnsi="Garamond"/>
          <w:i/>
          <w:iCs/>
          <w:sz w:val="24"/>
          <w:szCs w:val="24"/>
        </w:rPr>
        <w:t>The International Review of Research in Open and Distributed Learning</w:t>
      </w:r>
      <w:r w:rsidRPr="003A457D">
        <w:rPr>
          <w:rFonts w:ascii="Garamond" w:hAnsi="Garamond"/>
          <w:sz w:val="24"/>
          <w:szCs w:val="24"/>
        </w:rPr>
        <w:t xml:space="preserve"> 12:40–56. DOI: 10.19173/IRRODL.V12I5.924.</w:t>
      </w:r>
    </w:p>
    <w:p w14:paraId="298D75D7" w14:textId="77777777" w:rsidR="003A457D" w:rsidRPr="003A457D" w:rsidRDefault="003A457D" w:rsidP="003A457D">
      <w:pPr>
        <w:pStyle w:val="Bibliography"/>
        <w:jc w:val="both"/>
        <w:rPr>
          <w:rFonts w:ascii="Garamond" w:hAnsi="Garamond"/>
          <w:sz w:val="24"/>
          <w:szCs w:val="24"/>
        </w:rPr>
      </w:pPr>
      <w:proofErr w:type="spellStart"/>
      <w:r w:rsidRPr="003A457D">
        <w:rPr>
          <w:rFonts w:ascii="Garamond" w:hAnsi="Garamond"/>
          <w:sz w:val="24"/>
          <w:szCs w:val="24"/>
        </w:rPr>
        <w:t>Arbaugh</w:t>
      </w:r>
      <w:proofErr w:type="spellEnd"/>
      <w:r w:rsidRPr="003A457D">
        <w:rPr>
          <w:rFonts w:ascii="Garamond" w:hAnsi="Garamond"/>
          <w:sz w:val="24"/>
          <w:szCs w:val="24"/>
        </w:rPr>
        <w:t xml:space="preserve">, J., A. </w:t>
      </w:r>
      <w:proofErr w:type="spellStart"/>
      <w:r w:rsidRPr="003A457D">
        <w:rPr>
          <w:rFonts w:ascii="Garamond" w:hAnsi="Garamond"/>
          <w:sz w:val="24"/>
          <w:szCs w:val="24"/>
        </w:rPr>
        <w:t>Bangert</w:t>
      </w:r>
      <w:proofErr w:type="spellEnd"/>
      <w:r w:rsidRPr="003A457D">
        <w:rPr>
          <w:rFonts w:ascii="Garamond" w:hAnsi="Garamond"/>
          <w:sz w:val="24"/>
          <w:szCs w:val="24"/>
        </w:rPr>
        <w:t>, and M. Cleveland-Innes. 2010. “Subject Matter Effects and the Community of Inquiry (</w:t>
      </w:r>
      <w:proofErr w:type="spellStart"/>
      <w:r w:rsidRPr="003A457D">
        <w:rPr>
          <w:rFonts w:ascii="Garamond" w:hAnsi="Garamond"/>
          <w:sz w:val="24"/>
          <w:szCs w:val="24"/>
        </w:rPr>
        <w:t>CoI</w:t>
      </w:r>
      <w:proofErr w:type="spellEnd"/>
      <w:r w:rsidRPr="003A457D">
        <w:rPr>
          <w:rFonts w:ascii="Garamond" w:hAnsi="Garamond"/>
          <w:sz w:val="24"/>
          <w:szCs w:val="24"/>
        </w:rPr>
        <w:t xml:space="preserve">) Framework: An Exploratory Study.” </w:t>
      </w:r>
      <w:r w:rsidRPr="003A457D">
        <w:rPr>
          <w:rFonts w:ascii="Garamond" w:hAnsi="Garamond"/>
          <w:i/>
          <w:iCs/>
          <w:sz w:val="24"/>
          <w:szCs w:val="24"/>
        </w:rPr>
        <w:t>Internet High. Educ.</w:t>
      </w:r>
      <w:r w:rsidRPr="003A457D">
        <w:rPr>
          <w:rFonts w:ascii="Garamond" w:hAnsi="Garamond"/>
          <w:sz w:val="24"/>
          <w:szCs w:val="24"/>
        </w:rPr>
        <w:t xml:space="preserve"> 13:37–44. </w:t>
      </w:r>
      <w:proofErr w:type="spellStart"/>
      <w:r w:rsidRPr="003A457D">
        <w:rPr>
          <w:rFonts w:ascii="Garamond" w:hAnsi="Garamond"/>
          <w:sz w:val="24"/>
          <w:szCs w:val="24"/>
        </w:rPr>
        <w:t>doi</w:t>
      </w:r>
      <w:proofErr w:type="spellEnd"/>
      <w:r w:rsidRPr="003A457D">
        <w:rPr>
          <w:rFonts w:ascii="Garamond" w:hAnsi="Garamond"/>
          <w:sz w:val="24"/>
          <w:szCs w:val="24"/>
        </w:rPr>
        <w:t>: 10.1016/J.IHEDUC.2009.10.006.</w:t>
      </w:r>
    </w:p>
    <w:p w14:paraId="32EE8DED" w14:textId="77777777" w:rsidR="003A457D" w:rsidRPr="003A457D" w:rsidRDefault="003A457D" w:rsidP="003A457D">
      <w:pPr>
        <w:pStyle w:val="Bibliography"/>
        <w:jc w:val="both"/>
        <w:rPr>
          <w:rFonts w:ascii="Garamond" w:hAnsi="Garamond"/>
          <w:sz w:val="24"/>
          <w:szCs w:val="24"/>
        </w:rPr>
      </w:pPr>
      <w:proofErr w:type="spellStart"/>
      <w:r w:rsidRPr="003A457D">
        <w:rPr>
          <w:rFonts w:ascii="Garamond" w:hAnsi="Garamond"/>
          <w:sz w:val="24"/>
          <w:szCs w:val="24"/>
        </w:rPr>
        <w:t>Arbaugh</w:t>
      </w:r>
      <w:proofErr w:type="spellEnd"/>
      <w:r w:rsidRPr="003A457D">
        <w:rPr>
          <w:rFonts w:ascii="Garamond" w:hAnsi="Garamond"/>
          <w:sz w:val="24"/>
          <w:szCs w:val="24"/>
        </w:rPr>
        <w:t xml:space="preserve">, J., and Raquel </w:t>
      </w:r>
      <w:proofErr w:type="spellStart"/>
      <w:r w:rsidRPr="003A457D">
        <w:rPr>
          <w:rFonts w:ascii="Garamond" w:hAnsi="Garamond"/>
          <w:sz w:val="24"/>
          <w:szCs w:val="24"/>
        </w:rPr>
        <w:t>Benbunan</w:t>
      </w:r>
      <w:proofErr w:type="spellEnd"/>
      <w:r w:rsidRPr="003A457D">
        <w:rPr>
          <w:rFonts w:ascii="Garamond" w:hAnsi="Garamond"/>
          <w:sz w:val="24"/>
          <w:szCs w:val="24"/>
        </w:rPr>
        <w:t xml:space="preserve">-Finch. 2006. “An Investigation of Epistemological and Social Dimensions of Teaching in Online Learning Environments.” </w:t>
      </w:r>
      <w:r w:rsidRPr="003A457D">
        <w:rPr>
          <w:rFonts w:ascii="Garamond" w:hAnsi="Garamond"/>
          <w:i/>
          <w:iCs/>
          <w:sz w:val="24"/>
          <w:szCs w:val="24"/>
        </w:rPr>
        <w:t>Academy of Management Learning and Education</w:t>
      </w:r>
      <w:r w:rsidRPr="003A457D">
        <w:rPr>
          <w:rFonts w:ascii="Garamond" w:hAnsi="Garamond"/>
          <w:sz w:val="24"/>
          <w:szCs w:val="24"/>
        </w:rPr>
        <w:t xml:space="preserve"> 5:435–47. DOI: 10.5465/AMLE.2006.23473204.</w:t>
      </w:r>
    </w:p>
    <w:p w14:paraId="04C78841" w14:textId="77777777" w:rsidR="003A457D" w:rsidRPr="003A457D" w:rsidRDefault="003A457D" w:rsidP="003A457D">
      <w:pPr>
        <w:pStyle w:val="Bibliography"/>
        <w:jc w:val="both"/>
        <w:rPr>
          <w:rFonts w:ascii="Garamond" w:hAnsi="Garamond"/>
          <w:sz w:val="24"/>
          <w:szCs w:val="24"/>
        </w:rPr>
      </w:pPr>
      <w:proofErr w:type="spellStart"/>
      <w:r w:rsidRPr="003A457D">
        <w:rPr>
          <w:rFonts w:ascii="Garamond" w:hAnsi="Garamond"/>
          <w:sz w:val="24"/>
          <w:szCs w:val="24"/>
        </w:rPr>
        <w:t>Arbaugh</w:t>
      </w:r>
      <w:proofErr w:type="spellEnd"/>
      <w:r w:rsidRPr="003A457D">
        <w:rPr>
          <w:rFonts w:ascii="Garamond" w:hAnsi="Garamond"/>
          <w:sz w:val="24"/>
          <w:szCs w:val="24"/>
        </w:rPr>
        <w:t xml:space="preserve">, J., and B. Rau. 2007. “A Study of Disciplinary, Structural, and </w:t>
      </w:r>
      <w:proofErr w:type="spellStart"/>
      <w:r w:rsidRPr="003A457D">
        <w:rPr>
          <w:rFonts w:ascii="Garamond" w:hAnsi="Garamond"/>
          <w:sz w:val="24"/>
          <w:szCs w:val="24"/>
        </w:rPr>
        <w:t>Behavioral</w:t>
      </w:r>
      <w:proofErr w:type="spellEnd"/>
      <w:r w:rsidRPr="003A457D">
        <w:rPr>
          <w:rFonts w:ascii="Garamond" w:hAnsi="Garamond"/>
          <w:sz w:val="24"/>
          <w:szCs w:val="24"/>
        </w:rPr>
        <w:t xml:space="preserve"> Effects on Course Outcomes in Online MBA Courses.” </w:t>
      </w:r>
      <w:r w:rsidRPr="003A457D">
        <w:rPr>
          <w:rFonts w:ascii="Garamond" w:hAnsi="Garamond"/>
          <w:i/>
          <w:iCs/>
          <w:sz w:val="24"/>
          <w:szCs w:val="24"/>
        </w:rPr>
        <w:t>Decision Sciences Journal of Innovative Education</w:t>
      </w:r>
      <w:r w:rsidRPr="003A457D">
        <w:rPr>
          <w:rFonts w:ascii="Garamond" w:hAnsi="Garamond"/>
          <w:sz w:val="24"/>
          <w:szCs w:val="24"/>
        </w:rPr>
        <w:t xml:space="preserve"> 5:65–95. DOI: 10.1111/J.1540-4609.2007.</w:t>
      </w:r>
      <w:proofErr w:type="gramStart"/>
      <w:r w:rsidRPr="003A457D">
        <w:rPr>
          <w:rFonts w:ascii="Garamond" w:hAnsi="Garamond"/>
          <w:sz w:val="24"/>
          <w:szCs w:val="24"/>
        </w:rPr>
        <w:t>00128.X.</w:t>
      </w:r>
      <w:proofErr w:type="gramEnd"/>
    </w:p>
    <w:p w14:paraId="75C2E034"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Diaz, S., Karen Swan, P. Ice, and L. </w:t>
      </w:r>
      <w:proofErr w:type="spellStart"/>
      <w:r w:rsidRPr="003A457D">
        <w:rPr>
          <w:rFonts w:ascii="Garamond" w:hAnsi="Garamond"/>
          <w:sz w:val="24"/>
          <w:szCs w:val="24"/>
        </w:rPr>
        <w:t>Kupczynski</w:t>
      </w:r>
      <w:proofErr w:type="spellEnd"/>
      <w:r w:rsidRPr="003A457D">
        <w:rPr>
          <w:rFonts w:ascii="Garamond" w:hAnsi="Garamond"/>
          <w:sz w:val="24"/>
          <w:szCs w:val="24"/>
        </w:rPr>
        <w:t xml:space="preserve">. 2010. “Student Ratings of the Importance of Survey Items, Multiplicative Factor Analysis, and the Validity of the Community of Inquiry Survey.” </w:t>
      </w:r>
      <w:r w:rsidRPr="003A457D">
        <w:rPr>
          <w:rFonts w:ascii="Garamond" w:hAnsi="Garamond"/>
          <w:i/>
          <w:iCs/>
          <w:sz w:val="24"/>
          <w:szCs w:val="24"/>
        </w:rPr>
        <w:t>Internet High. Educ.</w:t>
      </w:r>
      <w:r w:rsidRPr="003A457D">
        <w:rPr>
          <w:rFonts w:ascii="Garamond" w:hAnsi="Garamond"/>
          <w:sz w:val="24"/>
          <w:szCs w:val="24"/>
        </w:rPr>
        <w:t xml:space="preserve"> 13:22–30. </w:t>
      </w:r>
      <w:proofErr w:type="spellStart"/>
      <w:r w:rsidRPr="003A457D">
        <w:rPr>
          <w:rFonts w:ascii="Garamond" w:hAnsi="Garamond"/>
          <w:sz w:val="24"/>
          <w:szCs w:val="24"/>
        </w:rPr>
        <w:t>doi</w:t>
      </w:r>
      <w:proofErr w:type="spellEnd"/>
      <w:r w:rsidRPr="003A457D">
        <w:rPr>
          <w:rFonts w:ascii="Garamond" w:hAnsi="Garamond"/>
          <w:sz w:val="24"/>
          <w:szCs w:val="24"/>
        </w:rPr>
        <w:t>: 10.1016/J.IHEDUC.2009.11.004.</w:t>
      </w:r>
    </w:p>
    <w:p w14:paraId="50202CBE"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Duggan, S. 1996. “Education, Teacher Training and Prospects for Economic Recovery in Cambodia.” </w:t>
      </w:r>
      <w:proofErr w:type="spellStart"/>
      <w:r w:rsidRPr="003A457D">
        <w:rPr>
          <w:rFonts w:ascii="Garamond" w:hAnsi="Garamond"/>
          <w:sz w:val="24"/>
          <w:szCs w:val="24"/>
        </w:rPr>
        <w:t>doi</w:t>
      </w:r>
      <w:proofErr w:type="spellEnd"/>
      <w:r w:rsidRPr="003A457D">
        <w:rPr>
          <w:rFonts w:ascii="Garamond" w:hAnsi="Garamond"/>
          <w:sz w:val="24"/>
          <w:szCs w:val="24"/>
        </w:rPr>
        <w:t>: 10.1080/03050069628768.</w:t>
      </w:r>
    </w:p>
    <w:p w14:paraId="7D61469E"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Fergus, R., P. </w:t>
      </w:r>
      <w:proofErr w:type="spellStart"/>
      <w:r w:rsidRPr="003A457D">
        <w:rPr>
          <w:rFonts w:ascii="Garamond" w:hAnsi="Garamond"/>
          <w:sz w:val="24"/>
          <w:szCs w:val="24"/>
        </w:rPr>
        <w:t>Perona</w:t>
      </w:r>
      <w:proofErr w:type="spellEnd"/>
      <w:r w:rsidRPr="003A457D">
        <w:rPr>
          <w:rFonts w:ascii="Garamond" w:hAnsi="Garamond"/>
          <w:sz w:val="24"/>
          <w:szCs w:val="24"/>
        </w:rPr>
        <w:t xml:space="preserve">, and Andrew Zisserman. 2003. “Object Class Recognition by Unsupervised Scale-Invariant Learning.” </w:t>
      </w:r>
      <w:r w:rsidRPr="003A457D">
        <w:rPr>
          <w:rFonts w:ascii="Garamond" w:hAnsi="Garamond"/>
          <w:i/>
          <w:iCs/>
          <w:sz w:val="24"/>
          <w:szCs w:val="24"/>
        </w:rPr>
        <w:t>2003 IEEE Computer Society Conference on Computer Vision and Pattern Recognition, 2003. Proceedings.</w:t>
      </w:r>
      <w:r w:rsidRPr="003A457D">
        <w:rPr>
          <w:rFonts w:ascii="Garamond" w:hAnsi="Garamond"/>
          <w:sz w:val="24"/>
          <w:szCs w:val="24"/>
        </w:rPr>
        <w:t xml:space="preserve"> </w:t>
      </w:r>
      <w:proofErr w:type="gramStart"/>
      <w:r w:rsidRPr="003A457D">
        <w:rPr>
          <w:rFonts w:ascii="Garamond" w:hAnsi="Garamond"/>
          <w:sz w:val="24"/>
          <w:szCs w:val="24"/>
        </w:rPr>
        <w:t>2:II</w:t>
      </w:r>
      <w:proofErr w:type="gramEnd"/>
      <w:r w:rsidRPr="003A457D">
        <w:rPr>
          <w:rFonts w:ascii="Garamond" w:hAnsi="Garamond"/>
          <w:sz w:val="24"/>
          <w:szCs w:val="24"/>
        </w:rPr>
        <w:t>–II. DOI: 10.1109/CVPR.2003.1211479.</w:t>
      </w:r>
    </w:p>
    <w:p w14:paraId="17DF1430"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Garrison, D., T. Anderson, and R. Garrison. 2003. “E-Learning in the 21st Century: A Framework for Research and Practice.” </w:t>
      </w:r>
      <w:proofErr w:type="spellStart"/>
      <w:r w:rsidRPr="003A457D">
        <w:rPr>
          <w:rFonts w:ascii="Garamond" w:hAnsi="Garamond"/>
          <w:sz w:val="24"/>
          <w:szCs w:val="24"/>
        </w:rPr>
        <w:t>doi</w:t>
      </w:r>
      <w:proofErr w:type="spellEnd"/>
      <w:r w:rsidRPr="003A457D">
        <w:rPr>
          <w:rFonts w:ascii="Garamond" w:hAnsi="Garamond"/>
          <w:sz w:val="24"/>
          <w:szCs w:val="24"/>
        </w:rPr>
        <w:t>: 10.4324/9780203166093.</w:t>
      </w:r>
    </w:p>
    <w:p w14:paraId="6416216B"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Holmes, E., R. O’Connor, V. Perry, I. Tracey, S. </w:t>
      </w:r>
      <w:proofErr w:type="spellStart"/>
      <w:r w:rsidRPr="003A457D">
        <w:rPr>
          <w:rFonts w:ascii="Garamond" w:hAnsi="Garamond"/>
          <w:sz w:val="24"/>
          <w:szCs w:val="24"/>
        </w:rPr>
        <w:t>Wessely</w:t>
      </w:r>
      <w:proofErr w:type="spellEnd"/>
      <w:r w:rsidRPr="003A457D">
        <w:rPr>
          <w:rFonts w:ascii="Garamond" w:hAnsi="Garamond"/>
          <w:sz w:val="24"/>
          <w:szCs w:val="24"/>
        </w:rPr>
        <w:t xml:space="preserve">, L. Arseneault, C. Ballard, H. Christensen, Roxane Cohen Silver, I. Everall, T. Ford, A. John, T. Kabir, Kate King, I. Madan, S. Michie, Andrew K. Przybylski, R. </w:t>
      </w:r>
      <w:proofErr w:type="spellStart"/>
      <w:r w:rsidRPr="003A457D">
        <w:rPr>
          <w:rFonts w:ascii="Garamond" w:hAnsi="Garamond"/>
          <w:sz w:val="24"/>
          <w:szCs w:val="24"/>
        </w:rPr>
        <w:t>Shafran</w:t>
      </w:r>
      <w:proofErr w:type="spellEnd"/>
      <w:r w:rsidRPr="003A457D">
        <w:rPr>
          <w:rFonts w:ascii="Garamond" w:hAnsi="Garamond"/>
          <w:sz w:val="24"/>
          <w:szCs w:val="24"/>
        </w:rPr>
        <w:t xml:space="preserve">, A. Sweeney, C. </w:t>
      </w:r>
      <w:proofErr w:type="spellStart"/>
      <w:r w:rsidRPr="003A457D">
        <w:rPr>
          <w:rFonts w:ascii="Garamond" w:hAnsi="Garamond"/>
          <w:sz w:val="24"/>
          <w:szCs w:val="24"/>
        </w:rPr>
        <w:t>Worthman</w:t>
      </w:r>
      <w:proofErr w:type="spellEnd"/>
      <w:r w:rsidRPr="003A457D">
        <w:rPr>
          <w:rFonts w:ascii="Garamond" w:hAnsi="Garamond"/>
          <w:sz w:val="24"/>
          <w:szCs w:val="24"/>
        </w:rPr>
        <w:t xml:space="preserve">, L. Yardley, K. Cowan, C. Cope, M. </w:t>
      </w:r>
      <w:proofErr w:type="spellStart"/>
      <w:r w:rsidRPr="003A457D">
        <w:rPr>
          <w:rFonts w:ascii="Garamond" w:hAnsi="Garamond"/>
          <w:sz w:val="24"/>
          <w:szCs w:val="24"/>
        </w:rPr>
        <w:t>Hotopf</w:t>
      </w:r>
      <w:proofErr w:type="spellEnd"/>
      <w:r w:rsidRPr="003A457D">
        <w:rPr>
          <w:rFonts w:ascii="Garamond" w:hAnsi="Garamond"/>
          <w:sz w:val="24"/>
          <w:szCs w:val="24"/>
        </w:rPr>
        <w:t xml:space="preserve">, and E. </w:t>
      </w:r>
      <w:proofErr w:type="spellStart"/>
      <w:r w:rsidRPr="003A457D">
        <w:rPr>
          <w:rFonts w:ascii="Garamond" w:hAnsi="Garamond"/>
          <w:sz w:val="24"/>
          <w:szCs w:val="24"/>
        </w:rPr>
        <w:t>Bullmore</w:t>
      </w:r>
      <w:proofErr w:type="spellEnd"/>
      <w:r w:rsidRPr="003A457D">
        <w:rPr>
          <w:rFonts w:ascii="Garamond" w:hAnsi="Garamond"/>
          <w:sz w:val="24"/>
          <w:szCs w:val="24"/>
        </w:rPr>
        <w:t xml:space="preserve">. 2020. “Multidisciplinary Research Priorities for the COVID-19 Pandemic: A Call for Action for Mental Health Science.” </w:t>
      </w:r>
      <w:proofErr w:type="spellStart"/>
      <w:r w:rsidRPr="003A457D">
        <w:rPr>
          <w:rFonts w:ascii="Garamond" w:hAnsi="Garamond"/>
          <w:sz w:val="24"/>
          <w:szCs w:val="24"/>
        </w:rPr>
        <w:t>doi</w:t>
      </w:r>
      <w:proofErr w:type="spellEnd"/>
      <w:r w:rsidRPr="003A457D">
        <w:rPr>
          <w:rFonts w:ascii="Garamond" w:hAnsi="Garamond"/>
          <w:sz w:val="24"/>
          <w:szCs w:val="24"/>
        </w:rPr>
        <w:t>: 10.1016/S2215-0366(20)30168-1.</w:t>
      </w:r>
    </w:p>
    <w:p w14:paraId="400CF79D" w14:textId="77777777" w:rsidR="003A457D" w:rsidRPr="003A457D" w:rsidRDefault="003A457D" w:rsidP="003A457D">
      <w:pPr>
        <w:pStyle w:val="Bibliography"/>
        <w:jc w:val="both"/>
        <w:rPr>
          <w:rFonts w:ascii="Garamond" w:hAnsi="Garamond"/>
          <w:sz w:val="24"/>
          <w:szCs w:val="24"/>
        </w:rPr>
      </w:pPr>
      <w:proofErr w:type="spellStart"/>
      <w:r w:rsidRPr="003A457D">
        <w:rPr>
          <w:rFonts w:ascii="Garamond" w:hAnsi="Garamond"/>
          <w:sz w:val="24"/>
          <w:szCs w:val="24"/>
        </w:rPr>
        <w:lastRenderedPageBreak/>
        <w:t>Kadiyono</w:t>
      </w:r>
      <w:proofErr w:type="spellEnd"/>
      <w:r w:rsidRPr="003A457D">
        <w:rPr>
          <w:rFonts w:ascii="Garamond" w:hAnsi="Garamond"/>
          <w:sz w:val="24"/>
          <w:szCs w:val="24"/>
        </w:rPr>
        <w:t xml:space="preserve">, A., </w:t>
      </w:r>
      <w:proofErr w:type="spellStart"/>
      <w:r w:rsidRPr="003A457D">
        <w:rPr>
          <w:rFonts w:ascii="Garamond" w:hAnsi="Garamond"/>
          <w:sz w:val="24"/>
          <w:szCs w:val="24"/>
        </w:rPr>
        <w:t>Rezki</w:t>
      </w:r>
      <w:proofErr w:type="spellEnd"/>
      <w:r w:rsidRPr="003A457D">
        <w:rPr>
          <w:rFonts w:ascii="Garamond" w:hAnsi="Garamond"/>
          <w:sz w:val="24"/>
          <w:szCs w:val="24"/>
        </w:rPr>
        <w:t xml:space="preserve"> </w:t>
      </w:r>
      <w:proofErr w:type="spellStart"/>
      <w:r w:rsidRPr="003A457D">
        <w:rPr>
          <w:rFonts w:ascii="Garamond" w:hAnsi="Garamond"/>
          <w:sz w:val="24"/>
          <w:szCs w:val="24"/>
        </w:rPr>
        <w:t>Ashriyana</w:t>
      </w:r>
      <w:proofErr w:type="spellEnd"/>
      <w:r w:rsidRPr="003A457D">
        <w:rPr>
          <w:rFonts w:ascii="Garamond" w:hAnsi="Garamond"/>
          <w:sz w:val="24"/>
          <w:szCs w:val="24"/>
        </w:rPr>
        <w:t xml:space="preserve"> </w:t>
      </w:r>
      <w:proofErr w:type="spellStart"/>
      <w:r w:rsidRPr="003A457D">
        <w:rPr>
          <w:rFonts w:ascii="Garamond" w:hAnsi="Garamond"/>
          <w:sz w:val="24"/>
          <w:szCs w:val="24"/>
        </w:rPr>
        <w:t>Sulistiobudi</w:t>
      </w:r>
      <w:proofErr w:type="spellEnd"/>
      <w:r w:rsidRPr="003A457D">
        <w:rPr>
          <w:rFonts w:ascii="Garamond" w:hAnsi="Garamond"/>
          <w:sz w:val="24"/>
          <w:szCs w:val="24"/>
        </w:rPr>
        <w:t xml:space="preserve">, I. </w:t>
      </w:r>
      <w:proofErr w:type="spellStart"/>
      <w:r w:rsidRPr="003A457D">
        <w:rPr>
          <w:rFonts w:ascii="Garamond" w:hAnsi="Garamond"/>
          <w:sz w:val="24"/>
          <w:szCs w:val="24"/>
        </w:rPr>
        <w:t>Haris</w:t>
      </w:r>
      <w:proofErr w:type="spellEnd"/>
      <w:r w:rsidRPr="003A457D">
        <w:rPr>
          <w:rFonts w:ascii="Garamond" w:hAnsi="Garamond"/>
          <w:sz w:val="24"/>
          <w:szCs w:val="24"/>
        </w:rPr>
        <w:t xml:space="preserve">, </w:t>
      </w:r>
      <w:proofErr w:type="spellStart"/>
      <w:r w:rsidRPr="003A457D">
        <w:rPr>
          <w:rFonts w:ascii="Garamond" w:hAnsi="Garamond"/>
          <w:sz w:val="24"/>
          <w:szCs w:val="24"/>
        </w:rPr>
        <w:t>Mohd</w:t>
      </w:r>
      <w:proofErr w:type="spellEnd"/>
      <w:r w:rsidRPr="003A457D">
        <w:rPr>
          <w:rFonts w:ascii="Garamond" w:hAnsi="Garamond"/>
          <w:sz w:val="24"/>
          <w:szCs w:val="24"/>
        </w:rPr>
        <w:t xml:space="preserve"> Hanif Abdul Wahab, I. </w:t>
      </w:r>
      <w:proofErr w:type="spellStart"/>
      <w:r w:rsidRPr="003A457D">
        <w:rPr>
          <w:rFonts w:ascii="Garamond" w:hAnsi="Garamond"/>
          <w:sz w:val="24"/>
          <w:szCs w:val="24"/>
        </w:rPr>
        <w:t>Ramdani</w:t>
      </w:r>
      <w:proofErr w:type="spellEnd"/>
      <w:r w:rsidRPr="003A457D">
        <w:rPr>
          <w:rFonts w:ascii="Garamond" w:hAnsi="Garamond"/>
          <w:sz w:val="24"/>
          <w:szCs w:val="24"/>
        </w:rPr>
        <w:t xml:space="preserve">, A. </w:t>
      </w:r>
      <w:proofErr w:type="spellStart"/>
      <w:r w:rsidRPr="003A457D">
        <w:rPr>
          <w:rFonts w:ascii="Garamond" w:hAnsi="Garamond"/>
          <w:sz w:val="24"/>
          <w:szCs w:val="24"/>
        </w:rPr>
        <w:t>Purwanto</w:t>
      </w:r>
      <w:proofErr w:type="spellEnd"/>
      <w:r w:rsidRPr="003A457D">
        <w:rPr>
          <w:rFonts w:ascii="Garamond" w:hAnsi="Garamond"/>
          <w:sz w:val="24"/>
          <w:szCs w:val="24"/>
        </w:rPr>
        <w:t xml:space="preserve">, A. </w:t>
      </w:r>
      <w:proofErr w:type="spellStart"/>
      <w:r w:rsidRPr="003A457D">
        <w:rPr>
          <w:rFonts w:ascii="Garamond" w:hAnsi="Garamond"/>
          <w:sz w:val="24"/>
          <w:szCs w:val="24"/>
        </w:rPr>
        <w:t>Mufid</w:t>
      </w:r>
      <w:proofErr w:type="spellEnd"/>
      <w:r w:rsidRPr="003A457D">
        <w:rPr>
          <w:rFonts w:ascii="Garamond" w:hAnsi="Garamond"/>
          <w:sz w:val="24"/>
          <w:szCs w:val="24"/>
        </w:rPr>
        <w:t xml:space="preserve">, Muhammad </w:t>
      </w:r>
      <w:proofErr w:type="spellStart"/>
      <w:r w:rsidRPr="003A457D">
        <w:rPr>
          <w:rFonts w:ascii="Garamond" w:hAnsi="Garamond"/>
          <w:sz w:val="24"/>
          <w:szCs w:val="24"/>
        </w:rPr>
        <w:t>Rikza</w:t>
      </w:r>
      <w:proofErr w:type="spellEnd"/>
      <w:r w:rsidRPr="003A457D">
        <w:rPr>
          <w:rFonts w:ascii="Garamond" w:hAnsi="Garamond"/>
          <w:sz w:val="24"/>
          <w:szCs w:val="24"/>
        </w:rPr>
        <w:t xml:space="preserve"> Muqtada, M. </w:t>
      </w:r>
      <w:proofErr w:type="spellStart"/>
      <w:r w:rsidRPr="003A457D">
        <w:rPr>
          <w:rFonts w:ascii="Garamond" w:hAnsi="Garamond"/>
          <w:sz w:val="24"/>
          <w:szCs w:val="24"/>
        </w:rPr>
        <w:t>Gufron</w:t>
      </w:r>
      <w:proofErr w:type="spellEnd"/>
      <w:r w:rsidRPr="003A457D">
        <w:rPr>
          <w:rFonts w:ascii="Garamond" w:hAnsi="Garamond"/>
          <w:sz w:val="24"/>
          <w:szCs w:val="24"/>
        </w:rPr>
        <w:t xml:space="preserve">, Mohamad </w:t>
      </w:r>
      <w:proofErr w:type="spellStart"/>
      <w:r w:rsidRPr="003A457D">
        <w:rPr>
          <w:rFonts w:ascii="Garamond" w:hAnsi="Garamond"/>
          <w:sz w:val="24"/>
          <w:szCs w:val="24"/>
        </w:rPr>
        <w:t>Nuryansah</w:t>
      </w:r>
      <w:proofErr w:type="spellEnd"/>
      <w:r w:rsidRPr="003A457D">
        <w:rPr>
          <w:rFonts w:ascii="Garamond" w:hAnsi="Garamond"/>
          <w:sz w:val="24"/>
          <w:szCs w:val="24"/>
        </w:rPr>
        <w:t xml:space="preserve">, Lina Aris </w:t>
      </w:r>
      <w:proofErr w:type="spellStart"/>
      <w:r w:rsidRPr="003A457D">
        <w:rPr>
          <w:rFonts w:ascii="Garamond" w:hAnsi="Garamond"/>
          <w:sz w:val="24"/>
          <w:szCs w:val="24"/>
        </w:rPr>
        <w:t>Ficayuma</w:t>
      </w:r>
      <w:proofErr w:type="spellEnd"/>
      <w:r w:rsidRPr="003A457D">
        <w:rPr>
          <w:rFonts w:ascii="Garamond" w:hAnsi="Garamond"/>
          <w:sz w:val="24"/>
          <w:szCs w:val="24"/>
        </w:rPr>
        <w:t xml:space="preserve">, M. </w:t>
      </w:r>
      <w:proofErr w:type="spellStart"/>
      <w:r w:rsidRPr="003A457D">
        <w:rPr>
          <w:rFonts w:ascii="Garamond" w:hAnsi="Garamond"/>
          <w:sz w:val="24"/>
          <w:szCs w:val="24"/>
        </w:rPr>
        <w:t>Fahlevi</w:t>
      </w:r>
      <w:proofErr w:type="spellEnd"/>
      <w:r w:rsidRPr="003A457D">
        <w:rPr>
          <w:rFonts w:ascii="Garamond" w:hAnsi="Garamond"/>
          <w:sz w:val="24"/>
          <w:szCs w:val="24"/>
        </w:rPr>
        <w:t xml:space="preserve">, and Susila </w:t>
      </w:r>
      <w:proofErr w:type="spellStart"/>
      <w:r w:rsidRPr="003A457D">
        <w:rPr>
          <w:rFonts w:ascii="Garamond" w:hAnsi="Garamond"/>
          <w:sz w:val="24"/>
          <w:szCs w:val="24"/>
        </w:rPr>
        <w:t>Sumartiningsih</w:t>
      </w:r>
      <w:proofErr w:type="spellEnd"/>
      <w:r w:rsidRPr="003A457D">
        <w:rPr>
          <w:rFonts w:ascii="Garamond" w:hAnsi="Garamond"/>
          <w:sz w:val="24"/>
          <w:szCs w:val="24"/>
        </w:rPr>
        <w:t xml:space="preserve">. 2020. “Develop Leadership Style Model for Indonesian Teachers Performance in Education 4.0 Era.” </w:t>
      </w:r>
      <w:r w:rsidRPr="003A457D">
        <w:rPr>
          <w:rFonts w:ascii="Garamond" w:hAnsi="Garamond"/>
          <w:i/>
          <w:iCs/>
          <w:sz w:val="24"/>
          <w:szCs w:val="24"/>
        </w:rPr>
        <w:t>Systematic Reviews in Pharmacy</w:t>
      </w:r>
      <w:r w:rsidRPr="003A457D">
        <w:rPr>
          <w:rFonts w:ascii="Garamond" w:hAnsi="Garamond"/>
          <w:sz w:val="24"/>
          <w:szCs w:val="24"/>
        </w:rPr>
        <w:t xml:space="preserve"> 11:363–73.</w:t>
      </w:r>
    </w:p>
    <w:p w14:paraId="4C841189"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Kumar, Swapna, K. Dawson, E. Black, Cathy Cavanaugh, and Christopher D. </w:t>
      </w:r>
      <w:proofErr w:type="spellStart"/>
      <w:r w:rsidRPr="003A457D">
        <w:rPr>
          <w:rFonts w:ascii="Garamond" w:hAnsi="Garamond"/>
          <w:sz w:val="24"/>
          <w:szCs w:val="24"/>
        </w:rPr>
        <w:t>Sessums</w:t>
      </w:r>
      <w:proofErr w:type="spellEnd"/>
      <w:r w:rsidRPr="003A457D">
        <w:rPr>
          <w:rFonts w:ascii="Garamond" w:hAnsi="Garamond"/>
          <w:sz w:val="24"/>
          <w:szCs w:val="24"/>
        </w:rPr>
        <w:t xml:space="preserve">. 2011. “Applying the Community of Inquiry Framework to an Online Professional Practice Doctoral Program.” </w:t>
      </w:r>
      <w:r w:rsidRPr="003A457D">
        <w:rPr>
          <w:rFonts w:ascii="Garamond" w:hAnsi="Garamond"/>
          <w:i/>
          <w:iCs/>
          <w:sz w:val="24"/>
          <w:szCs w:val="24"/>
        </w:rPr>
        <w:t>The International Review of Research in Open and Distributed Learning</w:t>
      </w:r>
      <w:r w:rsidRPr="003A457D">
        <w:rPr>
          <w:rFonts w:ascii="Garamond" w:hAnsi="Garamond"/>
          <w:sz w:val="24"/>
          <w:szCs w:val="24"/>
        </w:rPr>
        <w:t xml:space="preserve"> 12:126–42. DOI: 10.19173/IRRODL.V12I6.978.</w:t>
      </w:r>
    </w:p>
    <w:p w14:paraId="01A183E6"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Lowe, D. 1999. “Object Recognition from Local Scale-Invariant Features.” </w:t>
      </w:r>
      <w:r w:rsidRPr="003A457D">
        <w:rPr>
          <w:rFonts w:ascii="Garamond" w:hAnsi="Garamond"/>
          <w:i/>
          <w:iCs/>
          <w:sz w:val="24"/>
          <w:szCs w:val="24"/>
        </w:rPr>
        <w:t>Proceedings of the Seventh IEEE International Conference on Computer Vision</w:t>
      </w:r>
      <w:r w:rsidRPr="003A457D">
        <w:rPr>
          <w:rFonts w:ascii="Garamond" w:hAnsi="Garamond"/>
          <w:sz w:val="24"/>
          <w:szCs w:val="24"/>
        </w:rPr>
        <w:t xml:space="preserve"> 2:1150–57 vol.2. DOI: 10.1109/ICCV.1999.790410.</w:t>
      </w:r>
    </w:p>
    <w:p w14:paraId="2C4DBAD7"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Osuna, E., R. Freund, and F. </w:t>
      </w:r>
      <w:proofErr w:type="spellStart"/>
      <w:r w:rsidRPr="003A457D">
        <w:rPr>
          <w:rFonts w:ascii="Garamond" w:hAnsi="Garamond"/>
          <w:sz w:val="24"/>
          <w:szCs w:val="24"/>
        </w:rPr>
        <w:t>Girosi</w:t>
      </w:r>
      <w:proofErr w:type="spellEnd"/>
      <w:r w:rsidRPr="003A457D">
        <w:rPr>
          <w:rFonts w:ascii="Garamond" w:hAnsi="Garamond"/>
          <w:sz w:val="24"/>
          <w:szCs w:val="24"/>
        </w:rPr>
        <w:t xml:space="preserve">. 1997. “Training Support Vector Machines: An Application to Face Detection.” </w:t>
      </w:r>
      <w:r w:rsidRPr="003A457D">
        <w:rPr>
          <w:rFonts w:ascii="Garamond" w:hAnsi="Garamond"/>
          <w:i/>
          <w:iCs/>
          <w:sz w:val="24"/>
          <w:szCs w:val="24"/>
        </w:rPr>
        <w:t>Proceedings of IEEE Computer Society Conference on Computer Vision and Pattern Recognition</w:t>
      </w:r>
      <w:r w:rsidRPr="003A457D">
        <w:rPr>
          <w:rFonts w:ascii="Garamond" w:hAnsi="Garamond"/>
          <w:sz w:val="24"/>
          <w:szCs w:val="24"/>
        </w:rPr>
        <w:t xml:space="preserve"> 130–36. DOI: 10.1109/CVPR.1997.609310.</w:t>
      </w:r>
    </w:p>
    <w:p w14:paraId="3D058AFF"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Rourke, L., T. Anderson, D. Garrison, and W. Archer. 2007. “Methodological Issues in the Content Analysis of Computer Conference Transcripts.”</w:t>
      </w:r>
    </w:p>
    <w:p w14:paraId="18B22328"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Rowley, H., S. </w:t>
      </w:r>
      <w:proofErr w:type="spellStart"/>
      <w:r w:rsidRPr="003A457D">
        <w:rPr>
          <w:rFonts w:ascii="Garamond" w:hAnsi="Garamond"/>
          <w:sz w:val="24"/>
          <w:szCs w:val="24"/>
        </w:rPr>
        <w:t>Baluja</w:t>
      </w:r>
      <w:proofErr w:type="spellEnd"/>
      <w:r w:rsidRPr="003A457D">
        <w:rPr>
          <w:rFonts w:ascii="Garamond" w:hAnsi="Garamond"/>
          <w:sz w:val="24"/>
          <w:szCs w:val="24"/>
        </w:rPr>
        <w:t xml:space="preserve">, and T. </w:t>
      </w:r>
      <w:proofErr w:type="spellStart"/>
      <w:r w:rsidRPr="003A457D">
        <w:rPr>
          <w:rFonts w:ascii="Garamond" w:hAnsi="Garamond"/>
          <w:sz w:val="24"/>
          <w:szCs w:val="24"/>
        </w:rPr>
        <w:t>Kanade</w:t>
      </w:r>
      <w:proofErr w:type="spellEnd"/>
      <w:r w:rsidRPr="003A457D">
        <w:rPr>
          <w:rFonts w:ascii="Garamond" w:hAnsi="Garamond"/>
          <w:sz w:val="24"/>
          <w:szCs w:val="24"/>
        </w:rPr>
        <w:t xml:space="preserve">. 1998. “Neural Network-Based Face Detection.” </w:t>
      </w:r>
      <w:r w:rsidRPr="003A457D">
        <w:rPr>
          <w:rFonts w:ascii="Garamond" w:hAnsi="Garamond"/>
          <w:i/>
          <w:iCs/>
          <w:sz w:val="24"/>
          <w:szCs w:val="24"/>
        </w:rPr>
        <w:t xml:space="preserve">IEEE Trans. Pattern Anal. Mach. </w:t>
      </w:r>
      <w:proofErr w:type="spellStart"/>
      <w:r w:rsidRPr="003A457D">
        <w:rPr>
          <w:rFonts w:ascii="Garamond" w:hAnsi="Garamond"/>
          <w:i/>
          <w:iCs/>
          <w:sz w:val="24"/>
          <w:szCs w:val="24"/>
        </w:rPr>
        <w:t>Intell</w:t>
      </w:r>
      <w:proofErr w:type="spellEnd"/>
      <w:r w:rsidRPr="003A457D">
        <w:rPr>
          <w:rFonts w:ascii="Garamond" w:hAnsi="Garamond"/>
          <w:i/>
          <w:iCs/>
          <w:sz w:val="24"/>
          <w:szCs w:val="24"/>
        </w:rPr>
        <w:t>.</w:t>
      </w:r>
      <w:r w:rsidRPr="003A457D">
        <w:rPr>
          <w:rFonts w:ascii="Garamond" w:hAnsi="Garamond"/>
          <w:sz w:val="24"/>
          <w:szCs w:val="24"/>
        </w:rPr>
        <w:t xml:space="preserve"> 20:23–38. </w:t>
      </w:r>
      <w:proofErr w:type="spellStart"/>
      <w:r w:rsidRPr="003A457D">
        <w:rPr>
          <w:rFonts w:ascii="Garamond" w:hAnsi="Garamond"/>
          <w:sz w:val="24"/>
          <w:szCs w:val="24"/>
        </w:rPr>
        <w:t>doi</w:t>
      </w:r>
      <w:proofErr w:type="spellEnd"/>
      <w:r w:rsidRPr="003A457D">
        <w:rPr>
          <w:rFonts w:ascii="Garamond" w:hAnsi="Garamond"/>
          <w:sz w:val="24"/>
          <w:szCs w:val="24"/>
        </w:rPr>
        <w:t>: 10.1109/34.655647.</w:t>
      </w:r>
    </w:p>
    <w:p w14:paraId="04FB6E7B" w14:textId="77777777" w:rsidR="003A457D" w:rsidRPr="003A457D" w:rsidRDefault="003A457D" w:rsidP="003A457D">
      <w:pPr>
        <w:pStyle w:val="Bibliography"/>
        <w:jc w:val="both"/>
        <w:rPr>
          <w:rFonts w:ascii="Garamond" w:hAnsi="Garamond"/>
          <w:sz w:val="24"/>
          <w:szCs w:val="24"/>
        </w:rPr>
      </w:pPr>
      <w:proofErr w:type="spellStart"/>
      <w:r w:rsidRPr="003A457D">
        <w:rPr>
          <w:rFonts w:ascii="Garamond" w:hAnsi="Garamond"/>
          <w:sz w:val="24"/>
          <w:szCs w:val="24"/>
        </w:rPr>
        <w:t>Supriadi</w:t>
      </w:r>
      <w:proofErr w:type="spellEnd"/>
      <w:r w:rsidRPr="003A457D">
        <w:rPr>
          <w:rFonts w:ascii="Garamond" w:hAnsi="Garamond"/>
          <w:sz w:val="24"/>
          <w:szCs w:val="24"/>
        </w:rPr>
        <w:t xml:space="preserve">, </w:t>
      </w:r>
      <w:proofErr w:type="spellStart"/>
      <w:r w:rsidRPr="003A457D">
        <w:rPr>
          <w:rFonts w:ascii="Garamond" w:hAnsi="Garamond"/>
          <w:sz w:val="24"/>
          <w:szCs w:val="24"/>
        </w:rPr>
        <w:t>Oding</w:t>
      </w:r>
      <w:proofErr w:type="spellEnd"/>
      <w:r w:rsidRPr="003A457D">
        <w:rPr>
          <w:rFonts w:ascii="Garamond" w:hAnsi="Garamond"/>
          <w:sz w:val="24"/>
          <w:szCs w:val="24"/>
        </w:rPr>
        <w:t xml:space="preserve">, </w:t>
      </w:r>
      <w:proofErr w:type="spellStart"/>
      <w:r w:rsidRPr="003A457D">
        <w:rPr>
          <w:rFonts w:ascii="Garamond" w:hAnsi="Garamond"/>
          <w:sz w:val="24"/>
          <w:szCs w:val="24"/>
        </w:rPr>
        <w:t>Zulkifli</w:t>
      </w:r>
      <w:proofErr w:type="spellEnd"/>
      <w:r w:rsidRPr="003A457D">
        <w:rPr>
          <w:rFonts w:ascii="Garamond" w:hAnsi="Garamond"/>
          <w:sz w:val="24"/>
          <w:szCs w:val="24"/>
        </w:rPr>
        <w:t xml:space="preserve"> </w:t>
      </w:r>
      <w:proofErr w:type="spellStart"/>
      <w:r w:rsidRPr="003A457D">
        <w:rPr>
          <w:rFonts w:ascii="Garamond" w:hAnsi="Garamond"/>
          <w:sz w:val="24"/>
          <w:szCs w:val="24"/>
        </w:rPr>
        <w:t>Musthan</w:t>
      </w:r>
      <w:proofErr w:type="spellEnd"/>
      <w:r w:rsidRPr="003A457D">
        <w:rPr>
          <w:rFonts w:ascii="Garamond" w:hAnsi="Garamond"/>
          <w:sz w:val="24"/>
          <w:szCs w:val="24"/>
        </w:rPr>
        <w:t xml:space="preserve">, </w:t>
      </w:r>
      <w:proofErr w:type="spellStart"/>
      <w:r w:rsidRPr="003A457D">
        <w:rPr>
          <w:rFonts w:ascii="Garamond" w:hAnsi="Garamond"/>
          <w:sz w:val="24"/>
          <w:szCs w:val="24"/>
        </w:rPr>
        <w:t>Sa’odah</w:t>
      </w:r>
      <w:proofErr w:type="spellEnd"/>
      <w:r w:rsidRPr="003A457D">
        <w:rPr>
          <w:rFonts w:ascii="Garamond" w:hAnsi="Garamond"/>
          <w:sz w:val="24"/>
          <w:szCs w:val="24"/>
        </w:rPr>
        <w:t xml:space="preserve">, </w:t>
      </w:r>
      <w:proofErr w:type="spellStart"/>
      <w:r w:rsidRPr="003A457D">
        <w:rPr>
          <w:rFonts w:ascii="Garamond" w:hAnsi="Garamond"/>
          <w:sz w:val="24"/>
          <w:szCs w:val="24"/>
        </w:rPr>
        <w:t>Rizki</w:t>
      </w:r>
      <w:proofErr w:type="spellEnd"/>
      <w:r w:rsidRPr="003A457D">
        <w:rPr>
          <w:rFonts w:ascii="Garamond" w:hAnsi="Garamond"/>
          <w:sz w:val="24"/>
          <w:szCs w:val="24"/>
        </w:rPr>
        <w:t xml:space="preserve"> </w:t>
      </w:r>
      <w:proofErr w:type="spellStart"/>
      <w:r w:rsidRPr="003A457D">
        <w:rPr>
          <w:rFonts w:ascii="Garamond" w:hAnsi="Garamond"/>
          <w:sz w:val="24"/>
          <w:szCs w:val="24"/>
        </w:rPr>
        <w:t>Nurjehan</w:t>
      </w:r>
      <w:proofErr w:type="spellEnd"/>
      <w:r w:rsidRPr="003A457D">
        <w:rPr>
          <w:rFonts w:ascii="Garamond" w:hAnsi="Garamond"/>
          <w:sz w:val="24"/>
          <w:szCs w:val="24"/>
        </w:rPr>
        <w:t xml:space="preserve">, Y. </w:t>
      </w:r>
      <w:proofErr w:type="spellStart"/>
      <w:r w:rsidRPr="003A457D">
        <w:rPr>
          <w:rFonts w:ascii="Garamond" w:hAnsi="Garamond"/>
          <w:sz w:val="24"/>
          <w:szCs w:val="24"/>
        </w:rPr>
        <w:t>Haryanti</w:t>
      </w:r>
      <w:proofErr w:type="spellEnd"/>
      <w:r w:rsidRPr="003A457D">
        <w:rPr>
          <w:rFonts w:ascii="Garamond" w:hAnsi="Garamond"/>
          <w:sz w:val="24"/>
          <w:szCs w:val="24"/>
        </w:rPr>
        <w:t xml:space="preserve">, M. R. </w:t>
      </w:r>
      <w:proofErr w:type="spellStart"/>
      <w:r w:rsidRPr="003A457D">
        <w:rPr>
          <w:rFonts w:ascii="Garamond" w:hAnsi="Garamond"/>
          <w:sz w:val="24"/>
          <w:szCs w:val="24"/>
        </w:rPr>
        <w:t>Marwal</w:t>
      </w:r>
      <w:proofErr w:type="spellEnd"/>
      <w:r w:rsidRPr="003A457D">
        <w:rPr>
          <w:rFonts w:ascii="Garamond" w:hAnsi="Garamond"/>
          <w:sz w:val="24"/>
          <w:szCs w:val="24"/>
        </w:rPr>
        <w:t xml:space="preserve">, A. </w:t>
      </w:r>
      <w:proofErr w:type="spellStart"/>
      <w:r w:rsidRPr="003A457D">
        <w:rPr>
          <w:rFonts w:ascii="Garamond" w:hAnsi="Garamond"/>
          <w:sz w:val="24"/>
          <w:szCs w:val="24"/>
        </w:rPr>
        <w:t>Purwanto</w:t>
      </w:r>
      <w:proofErr w:type="spellEnd"/>
      <w:r w:rsidRPr="003A457D">
        <w:rPr>
          <w:rFonts w:ascii="Garamond" w:hAnsi="Garamond"/>
          <w:sz w:val="24"/>
          <w:szCs w:val="24"/>
        </w:rPr>
        <w:t xml:space="preserve">, A. </w:t>
      </w:r>
      <w:proofErr w:type="spellStart"/>
      <w:r w:rsidRPr="003A457D">
        <w:rPr>
          <w:rFonts w:ascii="Garamond" w:hAnsi="Garamond"/>
          <w:sz w:val="24"/>
          <w:szCs w:val="24"/>
        </w:rPr>
        <w:t>Mufid</w:t>
      </w:r>
      <w:proofErr w:type="spellEnd"/>
      <w:r w:rsidRPr="003A457D">
        <w:rPr>
          <w:rFonts w:ascii="Garamond" w:hAnsi="Garamond"/>
          <w:sz w:val="24"/>
          <w:szCs w:val="24"/>
        </w:rPr>
        <w:t xml:space="preserve">, </w:t>
      </w:r>
      <w:proofErr w:type="spellStart"/>
      <w:r w:rsidRPr="003A457D">
        <w:rPr>
          <w:rFonts w:ascii="Garamond" w:hAnsi="Garamond"/>
          <w:sz w:val="24"/>
          <w:szCs w:val="24"/>
        </w:rPr>
        <w:t>Rohmad</w:t>
      </w:r>
      <w:proofErr w:type="spellEnd"/>
      <w:r w:rsidRPr="003A457D">
        <w:rPr>
          <w:rFonts w:ascii="Garamond" w:hAnsi="Garamond"/>
          <w:sz w:val="24"/>
          <w:szCs w:val="24"/>
        </w:rPr>
        <w:t xml:space="preserve"> Adi </w:t>
      </w:r>
      <w:proofErr w:type="spellStart"/>
      <w:r w:rsidRPr="003A457D">
        <w:rPr>
          <w:rFonts w:ascii="Garamond" w:hAnsi="Garamond"/>
          <w:sz w:val="24"/>
          <w:szCs w:val="24"/>
        </w:rPr>
        <w:t>Yulianto</w:t>
      </w:r>
      <w:proofErr w:type="spellEnd"/>
      <w:r w:rsidRPr="003A457D">
        <w:rPr>
          <w:rFonts w:ascii="Garamond" w:hAnsi="Garamond"/>
          <w:sz w:val="24"/>
          <w:szCs w:val="24"/>
        </w:rPr>
        <w:t xml:space="preserve">, </w:t>
      </w:r>
      <w:proofErr w:type="spellStart"/>
      <w:r w:rsidRPr="003A457D">
        <w:rPr>
          <w:rFonts w:ascii="Garamond" w:hAnsi="Garamond"/>
          <w:sz w:val="24"/>
          <w:szCs w:val="24"/>
        </w:rPr>
        <w:t>Moh</w:t>
      </w:r>
      <w:proofErr w:type="spellEnd"/>
      <w:r w:rsidRPr="003A457D">
        <w:rPr>
          <w:rFonts w:ascii="Garamond" w:hAnsi="Garamond"/>
          <w:sz w:val="24"/>
          <w:szCs w:val="24"/>
        </w:rPr>
        <w:t xml:space="preserve"> Farhan, A. </w:t>
      </w:r>
      <w:proofErr w:type="spellStart"/>
      <w:r w:rsidRPr="003A457D">
        <w:rPr>
          <w:rFonts w:ascii="Garamond" w:hAnsi="Garamond"/>
          <w:sz w:val="24"/>
          <w:szCs w:val="24"/>
        </w:rPr>
        <w:t>Fitri</w:t>
      </w:r>
      <w:proofErr w:type="spellEnd"/>
      <w:r w:rsidRPr="003A457D">
        <w:rPr>
          <w:rFonts w:ascii="Garamond" w:hAnsi="Garamond"/>
          <w:sz w:val="24"/>
          <w:szCs w:val="24"/>
        </w:rPr>
        <w:t xml:space="preserve">, M. </w:t>
      </w:r>
      <w:proofErr w:type="spellStart"/>
      <w:r w:rsidRPr="003A457D">
        <w:rPr>
          <w:rFonts w:ascii="Garamond" w:hAnsi="Garamond"/>
          <w:sz w:val="24"/>
          <w:szCs w:val="24"/>
        </w:rPr>
        <w:t>Fahlevi</w:t>
      </w:r>
      <w:proofErr w:type="spellEnd"/>
      <w:r w:rsidRPr="003A457D">
        <w:rPr>
          <w:rFonts w:ascii="Garamond" w:hAnsi="Garamond"/>
          <w:sz w:val="24"/>
          <w:szCs w:val="24"/>
        </w:rPr>
        <w:t xml:space="preserve">, and Susila </w:t>
      </w:r>
      <w:proofErr w:type="spellStart"/>
      <w:r w:rsidRPr="003A457D">
        <w:rPr>
          <w:rFonts w:ascii="Garamond" w:hAnsi="Garamond"/>
          <w:sz w:val="24"/>
          <w:szCs w:val="24"/>
        </w:rPr>
        <w:t>Sumartiningsih</w:t>
      </w:r>
      <w:proofErr w:type="spellEnd"/>
      <w:r w:rsidRPr="003A457D">
        <w:rPr>
          <w:rFonts w:ascii="Garamond" w:hAnsi="Garamond"/>
          <w:sz w:val="24"/>
          <w:szCs w:val="24"/>
        </w:rPr>
        <w:t xml:space="preserve">. 2020. “Did Transformational, Transactional Leadership Style and Organizational Learning Influence Innovation Capabilities of School Teachers during Covid-19 Pandemic?” </w:t>
      </w:r>
      <w:r w:rsidRPr="003A457D">
        <w:rPr>
          <w:rFonts w:ascii="Garamond" w:hAnsi="Garamond"/>
          <w:i/>
          <w:iCs/>
          <w:sz w:val="24"/>
          <w:szCs w:val="24"/>
        </w:rPr>
        <w:t>Systematic Reviews in Pharmacy</w:t>
      </w:r>
      <w:r w:rsidRPr="003A457D">
        <w:rPr>
          <w:rFonts w:ascii="Garamond" w:hAnsi="Garamond"/>
          <w:sz w:val="24"/>
          <w:szCs w:val="24"/>
        </w:rPr>
        <w:t xml:space="preserve"> 11:299–311. DOI: 10.31838/SRP.2020.9.47.</w:t>
      </w:r>
    </w:p>
    <w:p w14:paraId="3CCA19F5"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Vaillant, </w:t>
      </w:r>
      <w:proofErr w:type="spellStart"/>
      <w:r w:rsidRPr="003A457D">
        <w:rPr>
          <w:rFonts w:ascii="Garamond" w:hAnsi="Garamond"/>
          <w:sz w:val="24"/>
          <w:szCs w:val="24"/>
        </w:rPr>
        <w:t>Régis</w:t>
      </w:r>
      <w:proofErr w:type="spellEnd"/>
      <w:r w:rsidRPr="003A457D">
        <w:rPr>
          <w:rFonts w:ascii="Garamond" w:hAnsi="Garamond"/>
          <w:sz w:val="24"/>
          <w:szCs w:val="24"/>
        </w:rPr>
        <w:t xml:space="preserve">, C. </w:t>
      </w:r>
      <w:proofErr w:type="spellStart"/>
      <w:r w:rsidRPr="003A457D">
        <w:rPr>
          <w:rFonts w:ascii="Garamond" w:hAnsi="Garamond"/>
          <w:sz w:val="24"/>
          <w:szCs w:val="24"/>
        </w:rPr>
        <w:t>Monrocq</w:t>
      </w:r>
      <w:proofErr w:type="spellEnd"/>
      <w:r w:rsidRPr="003A457D">
        <w:rPr>
          <w:rFonts w:ascii="Garamond" w:hAnsi="Garamond"/>
          <w:sz w:val="24"/>
          <w:szCs w:val="24"/>
        </w:rPr>
        <w:t xml:space="preserve">, and Y. L. </w:t>
      </w:r>
      <w:proofErr w:type="spellStart"/>
      <w:r w:rsidRPr="003A457D">
        <w:rPr>
          <w:rFonts w:ascii="Garamond" w:hAnsi="Garamond"/>
          <w:sz w:val="24"/>
          <w:szCs w:val="24"/>
        </w:rPr>
        <w:t>Cun</w:t>
      </w:r>
      <w:proofErr w:type="spellEnd"/>
      <w:r w:rsidRPr="003A457D">
        <w:rPr>
          <w:rFonts w:ascii="Garamond" w:hAnsi="Garamond"/>
          <w:sz w:val="24"/>
          <w:szCs w:val="24"/>
        </w:rPr>
        <w:t xml:space="preserve">. 1994. “Original Approach for the Localisation of Objects in Images.” </w:t>
      </w:r>
      <w:proofErr w:type="spellStart"/>
      <w:r w:rsidRPr="003A457D">
        <w:rPr>
          <w:rFonts w:ascii="Garamond" w:hAnsi="Garamond"/>
          <w:sz w:val="24"/>
          <w:szCs w:val="24"/>
        </w:rPr>
        <w:t>doi</w:t>
      </w:r>
      <w:proofErr w:type="spellEnd"/>
      <w:r w:rsidRPr="003A457D">
        <w:rPr>
          <w:rFonts w:ascii="Garamond" w:hAnsi="Garamond"/>
          <w:sz w:val="24"/>
          <w:szCs w:val="24"/>
        </w:rPr>
        <w:t>: 10.1049/IP-VIS:19941301.</w:t>
      </w:r>
    </w:p>
    <w:p w14:paraId="3052AB77"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Viola, Paul A., and Michael J. Jones. 2001. “Rapid Object Detection Using a Boosted Cascade of Simple Features.” </w:t>
      </w:r>
      <w:r w:rsidRPr="003A457D">
        <w:rPr>
          <w:rFonts w:ascii="Garamond" w:hAnsi="Garamond"/>
          <w:i/>
          <w:iCs/>
          <w:sz w:val="24"/>
          <w:szCs w:val="24"/>
        </w:rPr>
        <w:t>Proceedings of the 2001 IEEE Computer Society Conference on Computer Vision and Pattern Recognition. CVPR 2001</w:t>
      </w:r>
      <w:r w:rsidRPr="003A457D">
        <w:rPr>
          <w:rFonts w:ascii="Garamond" w:hAnsi="Garamond"/>
          <w:sz w:val="24"/>
          <w:szCs w:val="24"/>
        </w:rPr>
        <w:t xml:space="preserve"> </w:t>
      </w:r>
      <w:proofErr w:type="gramStart"/>
      <w:r w:rsidRPr="003A457D">
        <w:rPr>
          <w:rFonts w:ascii="Garamond" w:hAnsi="Garamond"/>
          <w:sz w:val="24"/>
          <w:szCs w:val="24"/>
        </w:rPr>
        <w:t>1:I</w:t>
      </w:r>
      <w:proofErr w:type="gramEnd"/>
      <w:r w:rsidRPr="003A457D">
        <w:rPr>
          <w:rFonts w:ascii="Garamond" w:hAnsi="Garamond"/>
          <w:sz w:val="24"/>
          <w:szCs w:val="24"/>
        </w:rPr>
        <w:t>–I. DOI: 10.1109/CVPR.2001.990517.</w:t>
      </w:r>
    </w:p>
    <w:p w14:paraId="6E88B770" w14:textId="77777777" w:rsidR="003A457D" w:rsidRPr="003A457D" w:rsidRDefault="003A457D" w:rsidP="003A457D">
      <w:pPr>
        <w:pStyle w:val="Bibliography"/>
        <w:jc w:val="both"/>
        <w:rPr>
          <w:rFonts w:ascii="Garamond" w:hAnsi="Garamond"/>
          <w:sz w:val="24"/>
          <w:szCs w:val="24"/>
        </w:rPr>
      </w:pPr>
      <w:r w:rsidRPr="003A457D">
        <w:rPr>
          <w:rFonts w:ascii="Garamond" w:hAnsi="Garamond"/>
          <w:sz w:val="24"/>
          <w:szCs w:val="24"/>
        </w:rPr>
        <w:t xml:space="preserve">Weber, Markus, M. Welling, and P. </w:t>
      </w:r>
      <w:proofErr w:type="spellStart"/>
      <w:r w:rsidRPr="003A457D">
        <w:rPr>
          <w:rFonts w:ascii="Garamond" w:hAnsi="Garamond"/>
          <w:sz w:val="24"/>
          <w:szCs w:val="24"/>
        </w:rPr>
        <w:t>Perona</w:t>
      </w:r>
      <w:proofErr w:type="spellEnd"/>
      <w:r w:rsidRPr="003A457D">
        <w:rPr>
          <w:rFonts w:ascii="Garamond" w:hAnsi="Garamond"/>
          <w:sz w:val="24"/>
          <w:szCs w:val="24"/>
        </w:rPr>
        <w:t xml:space="preserve">. 2000. “Unsupervised Learning of Models for Recognition.” </w:t>
      </w:r>
      <w:proofErr w:type="spellStart"/>
      <w:r w:rsidRPr="003A457D">
        <w:rPr>
          <w:rFonts w:ascii="Garamond" w:hAnsi="Garamond"/>
          <w:sz w:val="24"/>
          <w:szCs w:val="24"/>
        </w:rPr>
        <w:t>doi</w:t>
      </w:r>
      <w:proofErr w:type="spellEnd"/>
      <w:r w:rsidRPr="003A457D">
        <w:rPr>
          <w:rFonts w:ascii="Garamond" w:hAnsi="Garamond"/>
          <w:sz w:val="24"/>
          <w:szCs w:val="24"/>
        </w:rPr>
        <w:t>: 10.1007/3-540-45054-8_2</w:t>
      </w:r>
    </w:p>
    <w:p w14:paraId="0DF24145" w14:textId="77777777" w:rsidR="003A457D" w:rsidRPr="003A457D" w:rsidRDefault="003A457D" w:rsidP="003A457D">
      <w:pPr>
        <w:jc w:val="both"/>
        <w:rPr>
          <w:rFonts w:ascii="Garamond" w:hAnsi="Garamond"/>
          <w:sz w:val="24"/>
          <w:szCs w:val="24"/>
        </w:rPr>
      </w:pPr>
    </w:p>
    <w:p w14:paraId="21BEB807" w14:textId="77777777" w:rsidR="003A457D" w:rsidRPr="003A457D" w:rsidRDefault="003A457D" w:rsidP="003A457D">
      <w:pPr>
        <w:pStyle w:val="Bibliography"/>
        <w:jc w:val="both"/>
        <w:rPr>
          <w:rStyle w:val="Hyperlink"/>
          <w:rFonts w:ascii="Garamond" w:hAnsi="Garamond"/>
          <w:color w:val="222222"/>
          <w:sz w:val="24"/>
          <w:szCs w:val="24"/>
          <w:shd w:val="clear" w:color="auto" w:fill="FFFFFF"/>
          <w:lang w:val="en-US"/>
        </w:rPr>
      </w:pPr>
      <w:r w:rsidRPr="003A457D">
        <w:rPr>
          <w:rStyle w:val="Hyperlink"/>
          <w:rFonts w:ascii="Garamond" w:hAnsi="Garamond"/>
          <w:color w:val="222222"/>
          <w:sz w:val="24"/>
          <w:szCs w:val="24"/>
          <w:shd w:val="clear" w:color="auto" w:fill="FFFFFF"/>
          <w:lang w:val="en-US"/>
        </w:rPr>
        <w:fldChar w:fldCharType="end"/>
      </w:r>
      <w:r w:rsidRPr="003A457D">
        <w:rPr>
          <w:rStyle w:val="Hyperlink"/>
          <w:rFonts w:ascii="Garamond" w:hAnsi="Garamond"/>
          <w:color w:val="222222"/>
          <w:sz w:val="24"/>
          <w:szCs w:val="24"/>
          <w:shd w:val="clear" w:color="auto" w:fill="FFFFFF"/>
          <w:lang w:val="en-US"/>
        </w:rPr>
        <w:t xml:space="preserve"> </w:t>
      </w:r>
    </w:p>
    <w:p w14:paraId="2CA6B4B8" w14:textId="77777777" w:rsidR="003A457D" w:rsidRPr="003A457D" w:rsidRDefault="003A457D" w:rsidP="003A457D">
      <w:pPr>
        <w:ind w:left="450" w:hanging="450"/>
        <w:jc w:val="both"/>
        <w:rPr>
          <w:rStyle w:val="Hyperlink"/>
          <w:rFonts w:ascii="Garamond" w:hAnsi="Garamond"/>
          <w:color w:val="222222"/>
          <w:sz w:val="24"/>
          <w:szCs w:val="24"/>
          <w:shd w:val="clear" w:color="auto" w:fill="FFFFFF"/>
          <w:lang w:val="en-US"/>
        </w:rPr>
      </w:pPr>
    </w:p>
    <w:p w14:paraId="126FB7F6" w14:textId="77777777" w:rsidR="003A457D" w:rsidRPr="003A457D" w:rsidRDefault="003A457D" w:rsidP="003A457D">
      <w:pPr>
        <w:pStyle w:val="ListParagraph"/>
        <w:ind w:left="360"/>
        <w:jc w:val="both"/>
        <w:rPr>
          <w:rFonts w:ascii="Garamond" w:hAnsi="Garamond"/>
          <w:color w:val="222222"/>
          <w:sz w:val="24"/>
          <w:szCs w:val="24"/>
          <w:shd w:val="clear" w:color="auto" w:fill="FFFFFF"/>
        </w:rPr>
      </w:pPr>
    </w:p>
    <w:p w14:paraId="62F105EC" w14:textId="77777777" w:rsidR="003A457D" w:rsidRPr="003A457D" w:rsidRDefault="003A457D" w:rsidP="003A457D">
      <w:pPr>
        <w:jc w:val="both"/>
        <w:rPr>
          <w:rFonts w:ascii="Garamond" w:hAnsi="Garamond"/>
          <w:sz w:val="24"/>
          <w:szCs w:val="24"/>
        </w:rPr>
      </w:pPr>
    </w:p>
    <w:p w14:paraId="537D195B" w14:textId="77777777" w:rsidR="003A457D" w:rsidRPr="003A457D" w:rsidRDefault="003A457D" w:rsidP="003A457D">
      <w:pPr>
        <w:pStyle w:val="ListParagraph"/>
        <w:ind w:left="360"/>
        <w:jc w:val="both"/>
        <w:rPr>
          <w:rFonts w:ascii="Garamond" w:hAnsi="Garamond"/>
          <w:color w:val="4472C4"/>
          <w:sz w:val="24"/>
          <w:szCs w:val="24"/>
        </w:rPr>
      </w:pPr>
    </w:p>
    <w:p w14:paraId="0142A41C" w14:textId="77777777" w:rsidR="003A457D" w:rsidRPr="003A457D" w:rsidRDefault="003A457D" w:rsidP="003A457D">
      <w:pPr>
        <w:pStyle w:val="ListParagraph"/>
        <w:ind w:left="360"/>
        <w:jc w:val="both"/>
        <w:rPr>
          <w:rFonts w:ascii="Garamond" w:hAnsi="Garamond"/>
          <w:sz w:val="24"/>
          <w:szCs w:val="24"/>
        </w:rPr>
      </w:pPr>
    </w:p>
    <w:p w14:paraId="749E76CC" w14:textId="77777777" w:rsidR="003A457D" w:rsidRPr="003A457D" w:rsidRDefault="003A457D" w:rsidP="003A457D">
      <w:pPr>
        <w:pStyle w:val="ListParagraph"/>
        <w:ind w:left="360"/>
        <w:jc w:val="both"/>
        <w:rPr>
          <w:rFonts w:ascii="Garamond" w:hAnsi="Garamond"/>
          <w:sz w:val="24"/>
          <w:szCs w:val="24"/>
        </w:rPr>
      </w:pPr>
    </w:p>
    <w:p w14:paraId="7E406BE3" w14:textId="77777777" w:rsidR="003A457D" w:rsidRPr="003A457D" w:rsidRDefault="003A457D" w:rsidP="003A457D">
      <w:pPr>
        <w:pStyle w:val="ListParagraph"/>
        <w:ind w:left="360"/>
        <w:jc w:val="both"/>
        <w:rPr>
          <w:rFonts w:ascii="Garamond" w:hAnsi="Garamond"/>
          <w:sz w:val="24"/>
          <w:szCs w:val="24"/>
        </w:rPr>
      </w:pPr>
    </w:p>
    <w:p w14:paraId="0877F1E8" w14:textId="77777777" w:rsidR="003A457D" w:rsidRPr="003A457D" w:rsidRDefault="003A457D" w:rsidP="003A457D">
      <w:pPr>
        <w:pStyle w:val="ListParagraph"/>
        <w:spacing w:after="0" w:line="240" w:lineRule="auto"/>
        <w:ind w:left="360"/>
        <w:jc w:val="both"/>
        <w:rPr>
          <w:rFonts w:ascii="Garamond" w:hAnsi="Garamond"/>
          <w:sz w:val="24"/>
          <w:szCs w:val="24"/>
        </w:rPr>
      </w:pPr>
    </w:p>
    <w:p w14:paraId="0D7BA5D4" w14:textId="77777777" w:rsidR="00C271F2" w:rsidRPr="003A457D" w:rsidRDefault="00C271F2" w:rsidP="003A457D">
      <w:pPr>
        <w:tabs>
          <w:tab w:val="center" w:pos="4398"/>
        </w:tabs>
        <w:spacing w:after="0" w:line="240" w:lineRule="auto"/>
        <w:jc w:val="both"/>
        <w:rPr>
          <w:rFonts w:ascii="Garamond" w:eastAsia="Garamond" w:hAnsi="Garamond" w:cs="Garamond"/>
          <w:sz w:val="24"/>
          <w:szCs w:val="24"/>
        </w:rPr>
      </w:pPr>
    </w:p>
    <w:sectPr w:rsidR="00C271F2" w:rsidRPr="003A457D">
      <w:headerReference w:type="even" r:id="rId31"/>
      <w:headerReference w:type="default" r:id="rId32"/>
      <w:footerReference w:type="even" r:id="rId33"/>
      <w:footerReference w:type="default" r:id="rId34"/>
      <w:headerReference w:type="first" r:id="rId35"/>
      <w:pgSz w:w="11907" w:h="16840"/>
      <w:pgMar w:top="1701" w:right="1418" w:bottom="1701" w:left="1701" w:header="907"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70AB5" w14:textId="77777777" w:rsidR="003E0DA6" w:rsidRDefault="003E0DA6">
      <w:pPr>
        <w:spacing w:after="0" w:line="240" w:lineRule="auto"/>
      </w:pPr>
      <w:r>
        <w:separator/>
      </w:r>
    </w:p>
  </w:endnote>
  <w:endnote w:type="continuationSeparator" w:id="0">
    <w:p w14:paraId="1FC82E5C" w14:textId="77777777" w:rsidR="003E0DA6" w:rsidRDefault="003E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ramo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CFE6" w14:textId="77777777" w:rsidR="00C271F2" w:rsidRDefault="00000000">
    <w:pPr>
      <w:tabs>
        <w:tab w:val="right" w:pos="8789"/>
        <w:tab w:val="right" w:pos="9360"/>
      </w:tabs>
      <w:spacing w:after="0" w:line="240" w:lineRule="auto"/>
    </w:pPr>
    <w:r>
      <w:rPr>
        <w:rFonts w:ascii="Garamond" w:eastAsia="Garamond" w:hAnsi="Garamond" w:cs="Garamond"/>
        <w:sz w:val="20"/>
        <w:szCs w:val="20"/>
      </w:rPr>
      <w:t xml:space="preserve">        Vol. …., No. …, …. 20… M/…. H                                                                                                page            </w:t>
    </w:r>
    <w:r>
      <w:rPr>
        <w:noProof/>
      </w:rPr>
      <w:drawing>
        <wp:anchor distT="0" distB="0" distL="114300" distR="114300" simplePos="0" relativeHeight="251659264" behindDoc="0" locked="0" layoutInCell="1" hidden="0" allowOverlap="1" wp14:anchorId="521BA339" wp14:editId="095193D5">
          <wp:simplePos x="0" y="0"/>
          <wp:positionH relativeFrom="column">
            <wp:posOffset>7622</wp:posOffset>
          </wp:positionH>
          <wp:positionV relativeFrom="paragraph">
            <wp:posOffset>-31114</wp:posOffset>
          </wp:positionV>
          <wp:extent cx="215900" cy="161925"/>
          <wp:effectExtent l="0" t="0" r="0" b="0"/>
          <wp:wrapNone/>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215900" cy="16192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65C6" w14:textId="77777777" w:rsidR="00C271F2" w:rsidRDefault="00000000">
    <w:pPr>
      <w:tabs>
        <w:tab w:val="right" w:pos="8789"/>
      </w:tabs>
      <w:spacing w:after="0" w:line="240" w:lineRule="auto"/>
    </w:pPr>
    <w:r>
      <w:rPr>
        <w:rFonts w:ascii="Garamond" w:eastAsia="Garamond" w:hAnsi="Garamond" w:cs="Garamond"/>
        <w:sz w:val="20"/>
        <w:szCs w:val="20"/>
      </w:rPr>
      <w:t xml:space="preserve">       Vol. …., No. …, </w:t>
    </w:r>
    <w:proofErr w:type="gramStart"/>
    <w:r>
      <w:rPr>
        <w:rFonts w:ascii="Garamond" w:eastAsia="Garamond" w:hAnsi="Garamond" w:cs="Garamond"/>
        <w:sz w:val="20"/>
        <w:szCs w:val="20"/>
      </w:rPr>
      <w:t>…..</w:t>
    </w:r>
    <w:proofErr w:type="gramEnd"/>
    <w:r>
      <w:rPr>
        <w:rFonts w:ascii="Garamond" w:eastAsia="Garamond" w:hAnsi="Garamond" w:cs="Garamond"/>
        <w:sz w:val="20"/>
        <w:szCs w:val="20"/>
      </w:rPr>
      <w:t xml:space="preserve"> 20…. M/…. H</w:t>
    </w:r>
    <w:r>
      <w:t xml:space="preserve"> </w:t>
    </w:r>
    <w:r>
      <w:tab/>
    </w:r>
    <w:r>
      <w:rPr>
        <w:rFonts w:ascii="Garamond" w:eastAsia="Garamond" w:hAnsi="Garamond" w:cs="Garamond"/>
        <w:sz w:val="20"/>
        <w:szCs w:val="20"/>
      </w:rPr>
      <w:t xml:space="preserve">page </w:t>
    </w:r>
    <w:r>
      <w:rPr>
        <w:noProof/>
      </w:rPr>
      <w:drawing>
        <wp:anchor distT="0" distB="0" distL="114300" distR="114300" simplePos="0" relativeHeight="251658240" behindDoc="0" locked="0" layoutInCell="1" hidden="0" allowOverlap="1" wp14:anchorId="19A108DB" wp14:editId="51DD6F0E">
          <wp:simplePos x="0" y="0"/>
          <wp:positionH relativeFrom="column">
            <wp:posOffset>-24129</wp:posOffset>
          </wp:positionH>
          <wp:positionV relativeFrom="paragraph">
            <wp:posOffset>-21589</wp:posOffset>
          </wp:positionV>
          <wp:extent cx="215900" cy="161925"/>
          <wp:effectExtent l="0" t="0" r="0" b="0"/>
          <wp:wrapNone/>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215900" cy="1619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CFE4A" w14:textId="77777777" w:rsidR="003E0DA6" w:rsidRDefault="003E0DA6">
      <w:pPr>
        <w:spacing w:after="0" w:line="240" w:lineRule="auto"/>
      </w:pPr>
      <w:r>
        <w:separator/>
      </w:r>
    </w:p>
  </w:footnote>
  <w:footnote w:type="continuationSeparator" w:id="0">
    <w:p w14:paraId="3B24DB2C" w14:textId="77777777" w:rsidR="003E0DA6" w:rsidRDefault="003E0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AE74" w14:textId="77777777" w:rsidR="00C271F2" w:rsidRDefault="00000000">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CEBD" w14:textId="77777777" w:rsidR="00C271F2" w:rsidRDefault="00000000">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FDA0" w14:textId="77777777" w:rsidR="00C271F2" w:rsidRDefault="00C271F2">
    <w:pPr>
      <w:widowControl w:val="0"/>
      <w:pBdr>
        <w:top w:val="nil"/>
        <w:left w:val="nil"/>
        <w:bottom w:val="nil"/>
        <w:right w:val="nil"/>
        <w:between w:val="nil"/>
      </w:pBdr>
      <w:spacing w:after="0"/>
      <w:rPr>
        <w:rFonts w:ascii="Garamond" w:eastAsia="Garamond" w:hAnsi="Garamond" w:cs="Garamond"/>
        <w:color w:val="000000"/>
        <w:sz w:val="18"/>
        <w:szCs w:val="18"/>
      </w:rPr>
    </w:pPr>
  </w:p>
  <w:tbl>
    <w:tblPr>
      <w:tblStyle w:val="a1"/>
      <w:tblW w:w="8897" w:type="dxa"/>
      <w:tblBorders>
        <w:top w:val="nil"/>
        <w:left w:val="nil"/>
        <w:bottom w:val="nil"/>
        <w:right w:val="nil"/>
        <w:insideH w:val="nil"/>
        <w:insideV w:val="nil"/>
      </w:tblBorders>
      <w:tblLayout w:type="fixed"/>
      <w:tblLook w:val="0400" w:firstRow="0" w:lastRow="0" w:firstColumn="0" w:lastColumn="0" w:noHBand="0" w:noVBand="1"/>
    </w:tblPr>
    <w:tblGrid>
      <w:gridCol w:w="1809"/>
      <w:gridCol w:w="5245"/>
      <w:gridCol w:w="1843"/>
    </w:tblGrid>
    <w:tr w:rsidR="00C271F2" w14:paraId="5DA11BA6" w14:textId="77777777">
      <w:trPr>
        <w:trHeight w:val="988"/>
      </w:trPr>
      <w:tc>
        <w:tcPr>
          <w:tcW w:w="1809" w:type="dxa"/>
        </w:tcPr>
        <w:p w14:paraId="5AB4DB89" w14:textId="77777777" w:rsidR="00C271F2" w:rsidRDefault="00000000">
          <w:pPr>
            <w:ind w:left="-57" w:firstLine="284"/>
          </w:pPr>
          <w:r>
            <w:object w:dxaOrig="1567" w:dyaOrig="1212" w14:anchorId="36FA6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4pt">
                <v:imagedata r:id="rId1" o:title=""/>
              </v:shape>
              <o:OLEObject Type="Embed" ProgID="CorelDraw.Graphic.16" ShapeID="_x0000_i1025" DrawAspect="Content" ObjectID="_1720478977" r:id="rId2"/>
            </w:object>
          </w:r>
        </w:p>
        <w:p w14:paraId="6756ECA3" w14:textId="77777777" w:rsidR="00C271F2" w:rsidRDefault="00000000">
          <w:r>
            <w:rPr>
              <w:noProof/>
            </w:rPr>
            <w:drawing>
              <wp:inline distT="0" distB="0" distL="0" distR="0" wp14:anchorId="3E52F8FD" wp14:editId="1026DA41">
                <wp:extent cx="904875" cy="114409"/>
                <wp:effectExtent l="0" t="0" r="0" b="0"/>
                <wp:docPr id="16" name="image4.jpg" descr="C:\Users\Revy\AppData\Local\Microsoft\Windows\Temporary Internet Files\Content.Word\1.jpg"/>
                <wp:cNvGraphicFramePr/>
                <a:graphic xmlns:a="http://schemas.openxmlformats.org/drawingml/2006/main">
                  <a:graphicData uri="http://schemas.openxmlformats.org/drawingml/2006/picture">
                    <pic:pic xmlns:pic="http://schemas.openxmlformats.org/drawingml/2006/picture">
                      <pic:nvPicPr>
                        <pic:cNvPr id="0" name="image4.jpg" descr="C:\Users\Revy\AppData\Local\Microsoft\Windows\Temporary Internet Files\Content.Word\1.jpg"/>
                        <pic:cNvPicPr preferRelativeResize="0"/>
                      </pic:nvPicPr>
                      <pic:blipFill>
                        <a:blip r:embed="rId3"/>
                        <a:srcRect/>
                        <a:stretch>
                          <a:fillRect/>
                        </a:stretch>
                      </pic:blipFill>
                      <pic:spPr>
                        <a:xfrm>
                          <a:off x="0" y="0"/>
                          <a:ext cx="904875" cy="114409"/>
                        </a:xfrm>
                        <a:prstGeom prst="rect">
                          <a:avLst/>
                        </a:prstGeom>
                        <a:ln/>
                      </pic:spPr>
                    </pic:pic>
                  </a:graphicData>
                </a:graphic>
              </wp:inline>
            </w:drawing>
          </w:r>
        </w:p>
      </w:tc>
      <w:tc>
        <w:tcPr>
          <w:tcW w:w="5245" w:type="dxa"/>
        </w:tcPr>
        <w:p w14:paraId="0CC10934" w14:textId="77777777" w:rsidR="00C271F2" w:rsidRDefault="00C271F2">
          <w:pPr>
            <w:spacing w:line="259" w:lineRule="auto"/>
            <w:jc w:val="center"/>
            <w:rPr>
              <w:rFonts w:ascii="Garamond" w:eastAsia="Garamond" w:hAnsi="Garamond" w:cs="Garamond"/>
              <w:sz w:val="20"/>
              <w:szCs w:val="20"/>
            </w:rPr>
          </w:pPr>
        </w:p>
        <w:p w14:paraId="648AB727" w14:textId="77777777" w:rsidR="00C271F2" w:rsidRDefault="00000000">
          <w:pPr>
            <w:spacing w:line="259" w:lineRule="auto"/>
            <w:jc w:val="center"/>
            <w:rPr>
              <w:rFonts w:ascii="Garamond" w:eastAsia="Garamond" w:hAnsi="Garamond" w:cs="Garamond"/>
              <w:sz w:val="20"/>
              <w:szCs w:val="20"/>
            </w:rPr>
          </w:pPr>
          <w:proofErr w:type="spellStart"/>
          <w:r>
            <w:rPr>
              <w:rFonts w:ascii="Garamond" w:eastAsia="Garamond" w:hAnsi="Garamond" w:cs="Garamond"/>
              <w:sz w:val="20"/>
              <w:szCs w:val="20"/>
            </w:rPr>
            <w:t>Jurnal</w:t>
          </w:r>
          <w:proofErr w:type="spellEnd"/>
          <w:r>
            <w:rPr>
              <w:rFonts w:ascii="Garamond" w:eastAsia="Garamond" w:hAnsi="Garamond" w:cs="Garamond"/>
              <w:sz w:val="20"/>
              <w:szCs w:val="20"/>
            </w:rPr>
            <w:t xml:space="preserve"> Pendidikan Islam</w:t>
          </w:r>
          <w:proofErr w:type="gramStart"/>
          <w:r>
            <w:rPr>
              <w:rFonts w:ascii="Garamond" w:eastAsia="Garamond" w:hAnsi="Garamond" w:cs="Garamond"/>
              <w:sz w:val="20"/>
              <w:szCs w:val="20"/>
            </w:rPr>
            <w:t xml:space="preserve"> ..</w:t>
          </w:r>
          <w:proofErr w:type="gramEnd"/>
          <w:r>
            <w:rPr>
              <w:rFonts w:ascii="Garamond" w:eastAsia="Garamond" w:hAnsi="Garamond" w:cs="Garamond"/>
              <w:sz w:val="20"/>
              <w:szCs w:val="20"/>
            </w:rPr>
            <w:t xml:space="preserve"> (…) (….) ….</w:t>
          </w:r>
        </w:p>
        <w:p w14:paraId="38A133E7" w14:textId="77777777" w:rsidR="00C271F2" w:rsidRDefault="00000000">
          <w:pPr>
            <w:spacing w:line="259" w:lineRule="auto"/>
            <w:jc w:val="center"/>
            <w:rPr>
              <w:rFonts w:ascii="Garamond" w:eastAsia="Garamond" w:hAnsi="Garamond" w:cs="Garamond"/>
              <w:sz w:val="20"/>
              <w:szCs w:val="20"/>
            </w:rPr>
          </w:pPr>
          <w:r>
            <w:rPr>
              <w:rFonts w:ascii="Garamond" w:eastAsia="Garamond" w:hAnsi="Garamond" w:cs="Garamond"/>
              <w:sz w:val="20"/>
              <w:szCs w:val="20"/>
            </w:rPr>
            <w:t>DOI: ………………………</w:t>
          </w:r>
        </w:p>
        <w:p w14:paraId="1B50EB81" w14:textId="77777777" w:rsidR="00C271F2" w:rsidRDefault="00000000">
          <w:pPr>
            <w:spacing w:line="259" w:lineRule="auto"/>
            <w:jc w:val="center"/>
            <w:rPr>
              <w:rFonts w:ascii="Garamond" w:eastAsia="Garamond" w:hAnsi="Garamond" w:cs="Garamond"/>
              <w:sz w:val="20"/>
              <w:szCs w:val="20"/>
            </w:rPr>
          </w:pPr>
          <w:r>
            <w:rPr>
              <w:rFonts w:ascii="Garamond" w:eastAsia="Garamond" w:hAnsi="Garamond" w:cs="Garamond"/>
              <w:sz w:val="20"/>
              <w:szCs w:val="20"/>
            </w:rPr>
            <w:t>http://journal.uinsgd.ac.id/index.php/jpi</w:t>
          </w:r>
        </w:p>
      </w:tc>
      <w:tc>
        <w:tcPr>
          <w:tcW w:w="1843" w:type="dxa"/>
        </w:tcPr>
        <w:p w14:paraId="0A676B64" w14:textId="77777777" w:rsidR="00C271F2" w:rsidRDefault="00C271F2">
          <w:pPr>
            <w:spacing w:line="259" w:lineRule="auto"/>
            <w:jc w:val="right"/>
            <w:rPr>
              <w:rFonts w:ascii="Garamond" w:eastAsia="Garamond" w:hAnsi="Garamond" w:cs="Garamond"/>
              <w:sz w:val="20"/>
              <w:szCs w:val="20"/>
            </w:rPr>
          </w:pPr>
        </w:p>
        <w:p w14:paraId="3C8F7F4B" w14:textId="77777777" w:rsidR="00C271F2" w:rsidRDefault="00000000">
          <w:pPr>
            <w:spacing w:line="259" w:lineRule="auto"/>
            <w:ind w:right="-113"/>
            <w:jc w:val="right"/>
            <w:rPr>
              <w:rFonts w:ascii="Garamond" w:eastAsia="Garamond" w:hAnsi="Garamond" w:cs="Garamond"/>
              <w:sz w:val="20"/>
              <w:szCs w:val="20"/>
            </w:rPr>
          </w:pPr>
          <w:r>
            <w:rPr>
              <w:rFonts w:ascii="Garamond" w:eastAsia="Garamond" w:hAnsi="Garamond" w:cs="Garamond"/>
              <w:sz w:val="20"/>
              <w:szCs w:val="20"/>
            </w:rPr>
            <w:t xml:space="preserve">p-ISSN: 2355-4339 </w:t>
          </w:r>
        </w:p>
        <w:p w14:paraId="68134147" w14:textId="77777777" w:rsidR="00C271F2" w:rsidRDefault="00000000">
          <w:pPr>
            <w:spacing w:line="259" w:lineRule="auto"/>
            <w:ind w:right="-113"/>
            <w:jc w:val="right"/>
            <w:rPr>
              <w:rFonts w:ascii="Garamond" w:eastAsia="Garamond" w:hAnsi="Garamond" w:cs="Garamond"/>
              <w:sz w:val="20"/>
              <w:szCs w:val="20"/>
            </w:rPr>
          </w:pPr>
          <w:r>
            <w:rPr>
              <w:rFonts w:ascii="Garamond" w:eastAsia="Garamond" w:hAnsi="Garamond" w:cs="Garamond"/>
              <w:sz w:val="20"/>
              <w:szCs w:val="20"/>
            </w:rPr>
            <w:t>e-ISSN: 2355-4339</w:t>
          </w:r>
        </w:p>
        <w:p w14:paraId="45BC2340" w14:textId="77777777" w:rsidR="00C271F2" w:rsidRDefault="00C271F2">
          <w:pPr>
            <w:rPr>
              <w:rFonts w:ascii="Garamond" w:eastAsia="Garamond" w:hAnsi="Garamond" w:cs="Garamond"/>
              <w:sz w:val="24"/>
              <w:szCs w:val="24"/>
            </w:rPr>
          </w:pPr>
        </w:p>
      </w:tc>
    </w:tr>
  </w:tbl>
  <w:p w14:paraId="08AEA180" w14:textId="77777777" w:rsidR="00C271F2" w:rsidRDefault="00C271F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B6B"/>
    <w:multiLevelType w:val="multilevel"/>
    <w:tmpl w:val="28883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B85185"/>
    <w:multiLevelType w:val="hybridMultilevel"/>
    <w:tmpl w:val="F4562928"/>
    <w:lvl w:ilvl="0" w:tplc="36140318">
      <w:start w:val="1"/>
      <w:numFmt w:val="decimal"/>
      <w:lvlText w:val="%1."/>
      <w:lvlJc w:val="left"/>
      <w:pPr>
        <w:ind w:left="360" w:hanging="360"/>
      </w:pPr>
      <w:rPr>
        <w:rFonts w:hint="default"/>
        <w:b/>
        <w:bCs/>
        <w:sz w:val="22"/>
        <w:szCs w:val="22"/>
      </w:rPr>
    </w:lvl>
    <w:lvl w:ilvl="1" w:tplc="F252DB22" w:tentative="1">
      <w:start w:val="1"/>
      <w:numFmt w:val="lowerLetter"/>
      <w:lvlText w:val="%2."/>
      <w:lvlJc w:val="left"/>
      <w:pPr>
        <w:ind w:left="1080" w:hanging="360"/>
      </w:pPr>
    </w:lvl>
    <w:lvl w:ilvl="2" w:tplc="44DAE450" w:tentative="1">
      <w:start w:val="1"/>
      <w:numFmt w:val="lowerRoman"/>
      <w:lvlText w:val="%3."/>
      <w:lvlJc w:val="right"/>
      <w:pPr>
        <w:ind w:left="1800" w:hanging="180"/>
      </w:pPr>
    </w:lvl>
    <w:lvl w:ilvl="3" w:tplc="7D1E6A28" w:tentative="1">
      <w:start w:val="1"/>
      <w:numFmt w:val="decimal"/>
      <w:lvlText w:val="%4."/>
      <w:lvlJc w:val="left"/>
      <w:pPr>
        <w:ind w:left="2520" w:hanging="360"/>
      </w:pPr>
    </w:lvl>
    <w:lvl w:ilvl="4" w:tplc="127CA540" w:tentative="1">
      <w:start w:val="1"/>
      <w:numFmt w:val="lowerLetter"/>
      <w:lvlText w:val="%5."/>
      <w:lvlJc w:val="left"/>
      <w:pPr>
        <w:ind w:left="3240" w:hanging="360"/>
      </w:pPr>
    </w:lvl>
    <w:lvl w:ilvl="5" w:tplc="2A707E44" w:tentative="1">
      <w:start w:val="1"/>
      <w:numFmt w:val="lowerRoman"/>
      <w:lvlText w:val="%6."/>
      <w:lvlJc w:val="right"/>
      <w:pPr>
        <w:ind w:left="3960" w:hanging="180"/>
      </w:pPr>
    </w:lvl>
    <w:lvl w:ilvl="6" w:tplc="766C97B0" w:tentative="1">
      <w:start w:val="1"/>
      <w:numFmt w:val="decimal"/>
      <w:lvlText w:val="%7."/>
      <w:lvlJc w:val="left"/>
      <w:pPr>
        <w:ind w:left="4680" w:hanging="360"/>
      </w:pPr>
    </w:lvl>
    <w:lvl w:ilvl="7" w:tplc="D3B8E880" w:tentative="1">
      <w:start w:val="1"/>
      <w:numFmt w:val="lowerLetter"/>
      <w:lvlText w:val="%8."/>
      <w:lvlJc w:val="left"/>
      <w:pPr>
        <w:ind w:left="5400" w:hanging="360"/>
      </w:pPr>
    </w:lvl>
    <w:lvl w:ilvl="8" w:tplc="0AE40F0E" w:tentative="1">
      <w:start w:val="1"/>
      <w:numFmt w:val="lowerRoman"/>
      <w:lvlText w:val="%9."/>
      <w:lvlJc w:val="right"/>
      <w:pPr>
        <w:ind w:left="6120" w:hanging="180"/>
      </w:pPr>
    </w:lvl>
  </w:abstractNum>
  <w:abstractNum w:abstractNumId="2" w15:restartNumberingAfterBreak="0">
    <w:nsid w:val="3EAC1282"/>
    <w:multiLevelType w:val="multilevel"/>
    <w:tmpl w:val="8F60E5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3C5304"/>
    <w:multiLevelType w:val="multilevel"/>
    <w:tmpl w:val="310AA59C"/>
    <w:lvl w:ilvl="0">
      <w:start w:val="1"/>
      <w:numFmt w:val="decimal"/>
      <w:lvlText w:val="%1."/>
      <w:lvlJc w:val="left"/>
      <w:pPr>
        <w:ind w:left="720" w:hanging="360"/>
      </w:pPr>
      <w:rPr>
        <w:rFonts w:ascii="Garamond" w:eastAsia="Garamond" w:hAnsi="Garamond" w:cs="Garamond"/>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5269052">
    <w:abstractNumId w:val="3"/>
  </w:num>
  <w:num w:numId="2" w16cid:durableId="155346386">
    <w:abstractNumId w:val="2"/>
  </w:num>
  <w:num w:numId="3" w16cid:durableId="1516262600">
    <w:abstractNumId w:val="0"/>
  </w:num>
  <w:num w:numId="4" w16cid:durableId="588655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1F2"/>
    <w:rsid w:val="00197662"/>
    <w:rsid w:val="003A457D"/>
    <w:rsid w:val="003E0DA6"/>
    <w:rsid w:val="006257A4"/>
    <w:rsid w:val="00B60D99"/>
    <w:rsid w:val="00B84D5D"/>
    <w:rsid w:val="00C271F2"/>
    <w:rsid w:val="00CA1ADF"/>
    <w:rsid w:val="00DD7363"/>
    <w:rsid w:val="00EF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6F1B1"/>
  <w15:docId w15:val="{9F8CE55A-3B30-47E2-B93F-30904B4A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customStyle="1" w:styleId="ICESTTitle">
    <w:name w:val="ICEST_Title"/>
    <w:basedOn w:val="Normal"/>
    <w:rsid w:val="00B84D5D"/>
    <w:pPr>
      <w:autoSpaceDE w:val="0"/>
      <w:autoSpaceDN w:val="0"/>
      <w:adjustRightInd w:val="0"/>
      <w:spacing w:after="0" w:line="240" w:lineRule="auto"/>
      <w:jc w:val="center"/>
    </w:pPr>
    <w:rPr>
      <w:rFonts w:ascii="Times New Roman" w:eastAsia="Times New Roman" w:hAnsi="Times New Roman" w:cs="Arial"/>
      <w:sz w:val="44"/>
      <w:lang w:val="en-US"/>
    </w:rPr>
  </w:style>
  <w:style w:type="paragraph" w:customStyle="1" w:styleId="ICESTAbstract">
    <w:name w:val="ICEST_Abstract"/>
    <w:basedOn w:val="Normal"/>
    <w:rsid w:val="00B84D5D"/>
    <w:pPr>
      <w:spacing w:after="0" w:line="240" w:lineRule="auto"/>
      <w:ind w:firstLine="198"/>
      <w:jc w:val="both"/>
    </w:pPr>
    <w:rPr>
      <w:rFonts w:ascii="Times New Roman" w:eastAsia="Times New Roman" w:hAnsi="Times New Roman" w:cs="Times New Roman"/>
      <w:b/>
      <w:sz w:val="18"/>
      <w:szCs w:val="24"/>
      <w:lang w:val="en-GB"/>
    </w:rPr>
  </w:style>
  <w:style w:type="character" w:styleId="Emphasis">
    <w:name w:val="Emphasis"/>
    <w:basedOn w:val="DefaultParagraphFont"/>
    <w:uiPriority w:val="20"/>
    <w:qFormat/>
    <w:rsid w:val="00197662"/>
    <w:rPr>
      <w:i/>
      <w:iCs/>
    </w:rPr>
  </w:style>
  <w:style w:type="paragraph" w:customStyle="1" w:styleId="JPEHeading1">
    <w:name w:val="JPE_Heading 1"/>
    <w:basedOn w:val="Normal"/>
    <w:qFormat/>
    <w:rsid w:val="003A457D"/>
    <w:pPr>
      <w:spacing w:before="120" w:after="120" w:line="240" w:lineRule="auto"/>
    </w:pPr>
    <w:rPr>
      <w:rFonts w:ascii="Times New Roman" w:eastAsia="Times New Roman" w:hAnsi="Times New Roman" w:cs="Times New Roman"/>
      <w:b/>
      <w:szCs w:val="24"/>
      <w:lang w:val="en-US"/>
    </w:rPr>
  </w:style>
  <w:style w:type="paragraph" w:customStyle="1" w:styleId="JPEBody">
    <w:name w:val="JPE_Body"/>
    <w:basedOn w:val="Normal"/>
    <w:qFormat/>
    <w:rsid w:val="003A457D"/>
    <w:pPr>
      <w:spacing w:after="0" w:line="240" w:lineRule="auto"/>
      <w:ind w:firstLine="567"/>
      <w:jc w:val="both"/>
    </w:pPr>
    <w:rPr>
      <w:rFonts w:ascii="Times New Roman" w:eastAsia="Times New Roman" w:hAnsi="Times New Roman" w:cs="Times New Roman"/>
      <w:szCs w:val="24"/>
      <w:lang w:val="id-ID"/>
    </w:rPr>
  </w:style>
  <w:style w:type="paragraph" w:styleId="Bibliography">
    <w:name w:val="Bibliography"/>
    <w:basedOn w:val="Normal"/>
    <w:next w:val="Normal"/>
    <w:uiPriority w:val="37"/>
    <w:semiHidden/>
    <w:unhideWhenUsed/>
    <w:rsid w:val="003A457D"/>
  </w:style>
  <w:style w:type="paragraph" w:customStyle="1" w:styleId="Els-reference-head">
    <w:name w:val="Els-reference-head"/>
    <w:next w:val="Normal"/>
    <w:rsid w:val="003A457D"/>
    <w:pPr>
      <w:keepNext/>
      <w:spacing w:before="480" w:line="220" w:lineRule="exact"/>
    </w:pPr>
    <w:rPr>
      <w:rFonts w:ascii="Times New Roman" w:eastAsia="SimSun" w:hAnsi="Times New Roman" w:cs="Times New Roman"/>
      <w:b/>
      <w:sz w:val="20"/>
      <w:szCs w:val="20"/>
      <w:lang w:val="en-US"/>
    </w:rPr>
  </w:style>
  <w:style w:type="table" w:styleId="PlainTable4">
    <w:name w:val="Plain Table 4"/>
    <w:basedOn w:val="TableNormal"/>
    <w:uiPriority w:val="44"/>
    <w:rsid w:val="003A457D"/>
    <w:pPr>
      <w:spacing w:after="0" w:line="240" w:lineRule="auto"/>
      <w:ind w:right="425"/>
      <w:jc w:val="both"/>
    </w:pPr>
    <w:rPr>
      <w:rFonts w:ascii="Times New Roman" w:eastAsia="Times New Roman" w:hAnsi="Times New Roman" w:cs="Times New Roman"/>
      <w:sz w:val="24"/>
      <w:szCs w:val="24"/>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hescipub.com/jss" TargetMode="External"/><Relationship Id="rId18" Type="http://schemas.openxmlformats.org/officeDocument/2006/relationships/image" Target="media/image7.png"/><Relationship Id="rId26" Type="http://schemas.openxmlformats.org/officeDocument/2006/relationships/hyperlink" Target="https://link.springer.com/article/10.1007/s10775-022-09526-2" TargetMode="External"/><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urnals.elsevier.com/applied-soft-computing" TargetMode="External"/><Relationship Id="rId17" Type="http://schemas.openxmlformats.org/officeDocument/2006/relationships/image" Target="media/image6.png"/><Relationship Id="rId25" Type="http://schemas.openxmlformats.org/officeDocument/2006/relationships/hyperlink" Target="https://ummaspul.e-journal.id/Edupsycouns/article/view/2307"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pub.org/" TargetMode="External"/><Relationship Id="rId24" Type="http://schemas.openxmlformats.org/officeDocument/2006/relationships/hyperlink" Target="https://doi.org/10.1002/jgc4.1365"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edscience.ru/jour/article/view/2106?locale=en_US" TargetMode="External"/><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ourworldindata.org/grapher/revenues-for-public-schools-by-source-gdp-u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s://ejournal.umm.ac.id/index.php/jcse/article/view/17630" TargetMode="External"/><Relationship Id="rId27" Type="http://schemas.openxmlformats.org/officeDocument/2006/relationships/hyperlink" Target="http://ejurnal.mercubuana-yogya.ac.id/index.php/IJAGC/article/view/1592" TargetMode="External"/><Relationship Id="rId30" Type="http://schemas.openxmlformats.org/officeDocument/2006/relationships/image" Target="media/image12.pn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3.jpg"/></Relationships>
</file>

<file path=word/_rels/footer2.xml.rels><?xml version="1.0" encoding="UTF-8" standalone="yes"?>
<Relationships xmlns="http://schemas.openxmlformats.org/package/2006/relationships"><Relationship Id="rId1" Type="http://schemas.openxmlformats.org/officeDocument/2006/relationships/image" Target="media/image13.jpg"/></Relationships>
</file>

<file path=word/_rels/header3.xml.rels><?xml version="1.0" encoding="UTF-8" standalone="yes"?>
<Relationships xmlns="http://schemas.openxmlformats.org/package/2006/relationships"><Relationship Id="rId3" Type="http://schemas.openxmlformats.org/officeDocument/2006/relationships/image" Target="media/image15.jpg"/><Relationship Id="rId2" Type="http://schemas.openxmlformats.org/officeDocument/2006/relationships/oleObject" Target="embeddings/oleObject1.bin"/><Relationship Id="rId1" Type="http://schemas.openxmlformats.org/officeDocument/2006/relationships/image" Target="media/image14.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648841354723704E-2"/>
          <c:y val="3.5490605427974949E-2"/>
          <c:w val="0.60071301247771836"/>
          <c:h val="0.83924843423799578"/>
        </c:manualLayout>
      </c:layout>
      <c:surface3DChart>
        <c:wireframe val="0"/>
        <c:ser>
          <c:idx val="0"/>
          <c:order val="0"/>
          <c:tx>
            <c:strRef>
              <c:f>Sheet1!$A$2</c:f>
              <c:strCache>
                <c:ptCount val="1"/>
                <c:pt idx="0">
                  <c:v>Citation</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numRef>
              <c:f>Sheet1!$B$1:$E$1</c:f>
              <c:numCache>
                <c:formatCode>General</c:formatCode>
                <c:ptCount val="4"/>
                <c:pt idx="0">
                  <c:v>2012</c:v>
                </c:pt>
                <c:pt idx="1">
                  <c:v>2022</c:v>
                </c:pt>
              </c:numCache>
            </c:numRef>
          </c:cat>
          <c:val>
            <c:numRef>
              <c:f>Sheet1!$B$2:$E$2</c:f>
              <c:numCache>
                <c:formatCode>General</c:formatCode>
                <c:ptCount val="4"/>
                <c:pt idx="0">
                  <c:v>20.399999999999999</c:v>
                </c:pt>
                <c:pt idx="1">
                  <c:v>27.4</c:v>
                </c:pt>
              </c:numCache>
            </c:numRef>
          </c:val>
          <c:extLst>
            <c:ext xmlns:c16="http://schemas.microsoft.com/office/drawing/2014/chart" uri="{C3380CC4-5D6E-409C-BE32-E72D297353CC}">
              <c16:uniqueId val="{00000000-B25B-422C-83AB-46BA66DF577F}"/>
            </c:ext>
          </c:extLst>
        </c:ser>
        <c:ser>
          <c:idx val="1"/>
          <c:order val="1"/>
          <c:tx>
            <c:strRef>
              <c:f>Sheet1!$A$3</c:f>
              <c:strCache>
                <c:ptCount val="1"/>
                <c:pt idx="0">
                  <c:v>Citation</c:v>
                </c:pt>
              </c:strCache>
            </c:strRef>
          </c:tx>
          <c:spPr>
            <a:gradFill rotWithShape="1">
              <a:gsLst>
                <a:gs pos="0">
                  <a:schemeClr val="accent3">
                    <a:tint val="100000"/>
                    <a:shade val="100000"/>
                    <a:satMod val="130000"/>
                  </a:schemeClr>
                </a:gs>
                <a:gs pos="100000">
                  <a:schemeClr val="accent3">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numRef>
              <c:f>Sheet1!$B$1:$E$1</c:f>
              <c:numCache>
                <c:formatCode>General</c:formatCode>
                <c:ptCount val="4"/>
                <c:pt idx="0">
                  <c:v>2012</c:v>
                </c:pt>
                <c:pt idx="1">
                  <c:v>2022</c:v>
                </c:pt>
              </c:numCache>
            </c:numRef>
          </c:cat>
          <c:val>
            <c:numRef>
              <c:f>Sheet1!$B$3:$E$3</c:f>
              <c:numCache>
                <c:formatCode>General</c:formatCode>
                <c:ptCount val="4"/>
                <c:pt idx="0">
                  <c:v>30.6</c:v>
                </c:pt>
                <c:pt idx="1">
                  <c:v>38.6</c:v>
                </c:pt>
              </c:numCache>
            </c:numRef>
          </c:val>
          <c:extLst>
            <c:ext xmlns:c16="http://schemas.microsoft.com/office/drawing/2014/chart" uri="{C3380CC4-5D6E-409C-BE32-E72D297353CC}">
              <c16:uniqueId val="{00000001-B25B-422C-83AB-46BA66DF577F}"/>
            </c:ext>
          </c:extLst>
        </c:ser>
        <c:bandFmts>
          <c:bandFmt>
            <c:idx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1"/>
            <c:spPr>
              <a:gradFill rotWithShape="1">
                <a:gsLst>
                  <a:gs pos="0">
                    <a:schemeClr val="accent3">
                      <a:tint val="100000"/>
                      <a:shade val="100000"/>
                      <a:satMod val="130000"/>
                    </a:schemeClr>
                  </a:gs>
                  <a:gs pos="100000">
                    <a:schemeClr val="accent3">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2"/>
            <c:spPr>
              <a:gradFill rotWithShape="1">
                <a:gsLst>
                  <a:gs pos="0">
                    <a:schemeClr val="accent5">
                      <a:tint val="100000"/>
                      <a:shade val="100000"/>
                      <a:satMod val="130000"/>
                    </a:schemeClr>
                  </a:gs>
                  <a:gs pos="100000">
                    <a:schemeClr val="accent5">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3"/>
            <c:spPr>
              <a:gradFill rotWithShape="1">
                <a:gsLst>
                  <a:gs pos="0">
                    <a:schemeClr val="accent1">
                      <a:lumMod val="60000"/>
                      <a:tint val="100000"/>
                      <a:shade val="100000"/>
                      <a:satMod val="130000"/>
                    </a:schemeClr>
                  </a:gs>
                  <a:gs pos="100000">
                    <a:schemeClr val="accent1">
                      <a:lumMod val="6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4"/>
            <c:spPr>
              <a:gradFill rotWithShape="1">
                <a:gsLst>
                  <a:gs pos="0">
                    <a:schemeClr val="accent3">
                      <a:lumMod val="60000"/>
                      <a:tint val="100000"/>
                      <a:shade val="100000"/>
                      <a:satMod val="130000"/>
                    </a:schemeClr>
                  </a:gs>
                  <a:gs pos="100000">
                    <a:schemeClr val="accent3">
                      <a:lumMod val="6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5"/>
            <c:spPr>
              <a:gradFill rotWithShape="1">
                <a:gsLst>
                  <a:gs pos="0">
                    <a:schemeClr val="accent5">
                      <a:lumMod val="60000"/>
                      <a:tint val="100000"/>
                      <a:shade val="100000"/>
                      <a:satMod val="130000"/>
                    </a:schemeClr>
                  </a:gs>
                  <a:gs pos="100000">
                    <a:schemeClr val="accent5">
                      <a:lumMod val="6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6"/>
            <c:spPr>
              <a:gradFill rotWithShape="1">
                <a:gsLst>
                  <a:gs pos="0">
                    <a:schemeClr val="accent1">
                      <a:lumMod val="80000"/>
                      <a:lumOff val="20000"/>
                      <a:tint val="100000"/>
                      <a:shade val="100000"/>
                      <a:satMod val="130000"/>
                    </a:schemeClr>
                  </a:gs>
                  <a:gs pos="100000">
                    <a:schemeClr val="accent1">
                      <a:lumMod val="80000"/>
                      <a:lumOff val="2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7"/>
            <c:spPr>
              <a:gradFill rotWithShape="1">
                <a:gsLst>
                  <a:gs pos="0">
                    <a:schemeClr val="accent3">
                      <a:lumMod val="80000"/>
                      <a:lumOff val="20000"/>
                      <a:tint val="100000"/>
                      <a:shade val="100000"/>
                      <a:satMod val="130000"/>
                    </a:schemeClr>
                  </a:gs>
                  <a:gs pos="100000">
                    <a:schemeClr val="accent3">
                      <a:lumMod val="80000"/>
                      <a:lumOff val="2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8"/>
            <c:spPr>
              <a:gradFill rotWithShape="1">
                <a:gsLst>
                  <a:gs pos="0">
                    <a:schemeClr val="accent5">
                      <a:lumMod val="80000"/>
                      <a:lumOff val="20000"/>
                      <a:tint val="100000"/>
                      <a:shade val="100000"/>
                      <a:satMod val="130000"/>
                    </a:schemeClr>
                  </a:gs>
                  <a:gs pos="100000">
                    <a:schemeClr val="accent5">
                      <a:lumMod val="80000"/>
                      <a:lumOff val="2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9"/>
            <c:spPr>
              <a:gradFill rotWithShape="1">
                <a:gsLst>
                  <a:gs pos="0">
                    <a:schemeClr val="accent1">
                      <a:lumMod val="80000"/>
                      <a:tint val="100000"/>
                      <a:shade val="100000"/>
                      <a:satMod val="130000"/>
                    </a:schemeClr>
                  </a:gs>
                  <a:gs pos="100000">
                    <a:schemeClr val="accent1">
                      <a:lumMod val="8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10"/>
            <c:spPr>
              <a:gradFill rotWithShape="1">
                <a:gsLst>
                  <a:gs pos="0">
                    <a:schemeClr val="accent3">
                      <a:lumMod val="80000"/>
                      <a:tint val="100000"/>
                      <a:shade val="100000"/>
                      <a:satMod val="130000"/>
                    </a:schemeClr>
                  </a:gs>
                  <a:gs pos="100000">
                    <a:schemeClr val="accent3">
                      <a:lumMod val="8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11"/>
            <c:spPr>
              <a:gradFill rotWithShape="1">
                <a:gsLst>
                  <a:gs pos="0">
                    <a:schemeClr val="accent5">
                      <a:lumMod val="80000"/>
                      <a:tint val="100000"/>
                      <a:shade val="100000"/>
                      <a:satMod val="130000"/>
                    </a:schemeClr>
                  </a:gs>
                  <a:gs pos="100000">
                    <a:schemeClr val="accent5">
                      <a:lumMod val="8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12"/>
            <c:spPr>
              <a:gradFill rotWithShape="1">
                <a:gsLst>
                  <a:gs pos="0">
                    <a:schemeClr val="accent1">
                      <a:lumMod val="60000"/>
                      <a:lumOff val="40000"/>
                      <a:tint val="100000"/>
                      <a:shade val="100000"/>
                      <a:satMod val="130000"/>
                    </a:schemeClr>
                  </a:gs>
                  <a:gs pos="100000">
                    <a:schemeClr val="accent1">
                      <a:lumMod val="60000"/>
                      <a:lumOff val="4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13"/>
            <c:spPr>
              <a:gradFill rotWithShape="1">
                <a:gsLst>
                  <a:gs pos="0">
                    <a:schemeClr val="accent3">
                      <a:lumMod val="60000"/>
                      <a:lumOff val="40000"/>
                      <a:tint val="100000"/>
                      <a:shade val="100000"/>
                      <a:satMod val="130000"/>
                    </a:schemeClr>
                  </a:gs>
                  <a:gs pos="100000">
                    <a:schemeClr val="accent3">
                      <a:lumMod val="60000"/>
                      <a:lumOff val="4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
            <c:idx val="14"/>
            <c:spPr>
              <a:gradFill rotWithShape="1">
                <a:gsLst>
                  <a:gs pos="0">
                    <a:schemeClr val="accent5">
                      <a:lumMod val="60000"/>
                      <a:lumOff val="40000"/>
                      <a:tint val="100000"/>
                      <a:shade val="100000"/>
                      <a:satMod val="130000"/>
                    </a:schemeClr>
                  </a:gs>
                  <a:gs pos="100000">
                    <a:schemeClr val="accent5">
                      <a:lumMod val="60000"/>
                      <a:lumOff val="40000"/>
                      <a:tint val="50000"/>
                      <a:shade val="100000"/>
                      <a:satMod val="350000"/>
                    </a:schemeClr>
                  </a:gs>
                </a:gsLst>
                <a:lin ang="16200000" scaled="0"/>
              </a:gradFill>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bandFmt>
        </c:bandFmts>
        <c:axId val="1752875551"/>
        <c:axId val="1"/>
        <c:axId val="2"/>
      </c:surface3DChart>
      <c:catAx>
        <c:axId val="1752875551"/>
        <c:scaling>
          <c:orientation val="minMax"/>
        </c:scaling>
        <c:delete val="0"/>
        <c:axPos val="b"/>
        <c:numFmt formatCode="General" sourceLinked="1"/>
        <c:majorTickMark val="out"/>
        <c:minorTickMark val="none"/>
        <c:tickLblPos val="low"/>
        <c:spPr>
          <a:noFill/>
          <a:ln w="9525">
            <a:solidFill>
              <a:schemeClr val="dk1">
                <a:lumMod val="50000"/>
                <a:lumOff val="50000"/>
              </a:schemeClr>
            </a:solidFill>
            <a:round/>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
        <c:crosses val="autoZero"/>
        <c:auto val="1"/>
        <c:lblAlgn val="ctr"/>
        <c:lblOffset val="100"/>
        <c:tickLblSkip val="1"/>
        <c:tickMarkSkip val="1"/>
        <c:noMultiLvlLbl val="1"/>
      </c:catAx>
      <c:valAx>
        <c:axId val="1"/>
        <c:scaling>
          <c:orientation val="minMax"/>
        </c:scaling>
        <c:delete val="0"/>
        <c:axPos val="l"/>
        <c:majorGridlines>
          <c:spPr>
            <a:ln w="9525">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52875551"/>
        <c:crosses val="autoZero"/>
        <c:crossBetween val="between"/>
      </c:valAx>
      <c:serAx>
        <c:axId val="2"/>
        <c:scaling>
          <c:orientation val="minMax"/>
        </c:scaling>
        <c:delete val="0"/>
        <c:axPos val="b"/>
        <c:numFmt formatCode="General" sourceLinked="1"/>
        <c:majorTickMark val="out"/>
        <c:minorTickMark val="none"/>
        <c:tickLblPos val="low"/>
        <c:spPr>
          <a:noFill/>
          <a:ln w="9525">
            <a:solidFill>
              <a:schemeClr val="dk1">
                <a:lumMod val="50000"/>
                <a:lumOff val="50000"/>
              </a:schemeClr>
            </a:solidFill>
            <a:round/>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
        <c:crosses val="autoZero"/>
        <c:tickLblSkip val="3"/>
        <c:tickMarkSkip val="1"/>
      </c:ser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6eDNAZGBNPcsOwA0wz4Zalgt3Q==">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20090</Words>
  <Characters>114513</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AVITA</cp:lastModifiedBy>
  <cp:revision>2</cp:revision>
  <dcterms:created xsi:type="dcterms:W3CDTF">2022-07-28T09:03:00Z</dcterms:created>
  <dcterms:modified xsi:type="dcterms:W3CDTF">2022-07-28T09:03:00Z</dcterms:modified>
</cp:coreProperties>
</file>