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5160C6" w14:textId="07C7C5ED" w:rsidR="009165C1" w:rsidRPr="00265885" w:rsidRDefault="00361833" w:rsidP="00182D9C">
      <w:pPr>
        <w:spacing w:after="240" w:line="240" w:lineRule="auto"/>
        <w:jc w:val="center"/>
        <w:rPr>
          <w:rFonts w:asciiTheme="minorHAnsi" w:eastAsia="Times New Roman" w:hAnsiTheme="minorHAnsi"/>
          <w:b/>
          <w:bCs/>
          <w:sz w:val="26"/>
          <w:szCs w:val="26"/>
        </w:rPr>
      </w:pPr>
      <w:bookmarkStart w:id="0" w:name="_Hlk159225958"/>
      <w:r w:rsidRPr="00265885">
        <w:rPr>
          <w:rFonts w:asciiTheme="minorHAnsi" w:hAnsiTheme="minorHAnsi"/>
          <w:b/>
          <w:bCs/>
          <w:sz w:val="26"/>
          <w:szCs w:val="26"/>
        </w:rPr>
        <w:t>THE CONCERNS OF NATION-STATE SOVEREIGNTY AND INTERNATIONAL COMMERCIAL LAW</w:t>
      </w:r>
      <w:bookmarkEnd w:id="0"/>
      <w:r w:rsidRPr="00265885">
        <w:rPr>
          <w:rFonts w:asciiTheme="minorHAnsi" w:hAnsiTheme="minorHAnsi"/>
          <w:b/>
          <w:bCs/>
          <w:sz w:val="26"/>
          <w:szCs w:val="26"/>
        </w:rPr>
        <w:t>: A PATH TO HARMONISATION</w:t>
      </w:r>
    </w:p>
    <w:p w14:paraId="314155D7" w14:textId="1EF7717D" w:rsidR="0098725F" w:rsidRPr="00265885" w:rsidRDefault="0098725F" w:rsidP="00265885">
      <w:pPr>
        <w:spacing w:line="240" w:lineRule="auto"/>
        <w:jc w:val="center"/>
        <w:rPr>
          <w:rFonts w:asciiTheme="minorHAnsi" w:eastAsia="Times New Roman" w:hAnsiTheme="minorHAnsi"/>
          <w:b/>
        </w:rPr>
      </w:pPr>
      <w:bookmarkStart w:id="1" w:name="_Hlk159226041"/>
      <w:r w:rsidRPr="00265885">
        <w:rPr>
          <w:rFonts w:asciiTheme="minorHAnsi" w:eastAsia="Times New Roman" w:hAnsiTheme="minorHAnsi"/>
          <w:b/>
        </w:rPr>
        <w:t>Tran Vang-Phu</w:t>
      </w:r>
      <w:r w:rsidR="00AC44DD" w:rsidRPr="00265885">
        <w:rPr>
          <w:rFonts w:asciiTheme="minorHAnsi" w:eastAsia="Times New Roman" w:hAnsiTheme="minorHAnsi"/>
          <w:b/>
          <w:vertAlign w:val="superscript"/>
        </w:rPr>
        <w:t>1</w:t>
      </w:r>
      <w:r w:rsidR="00757094">
        <w:rPr>
          <w:rFonts w:asciiTheme="minorHAnsi" w:eastAsia="Times New Roman" w:hAnsiTheme="minorHAnsi"/>
          <w:b/>
          <w:vertAlign w:val="superscript"/>
        </w:rPr>
        <w:t>*</w:t>
      </w:r>
      <w:r w:rsidR="00AC44DD" w:rsidRPr="00265885">
        <w:rPr>
          <w:rFonts w:asciiTheme="minorHAnsi" w:eastAsia="Times New Roman" w:hAnsiTheme="minorHAnsi"/>
          <w:b/>
        </w:rPr>
        <w:t>, Duong Anh Son</w:t>
      </w:r>
      <w:bookmarkEnd w:id="1"/>
      <w:r w:rsidR="00AC44DD" w:rsidRPr="00265885">
        <w:rPr>
          <w:rFonts w:asciiTheme="minorHAnsi" w:eastAsia="Times New Roman" w:hAnsiTheme="minorHAnsi"/>
          <w:b/>
          <w:vertAlign w:val="superscript"/>
        </w:rPr>
        <w:t>2</w:t>
      </w:r>
    </w:p>
    <w:p w14:paraId="183A463F" w14:textId="016B20D3" w:rsidR="00AC44DD" w:rsidRPr="00265885" w:rsidRDefault="00182D9C" w:rsidP="00265885">
      <w:pPr>
        <w:spacing w:line="240" w:lineRule="auto"/>
        <w:jc w:val="center"/>
        <w:rPr>
          <w:rFonts w:asciiTheme="minorHAnsi" w:hAnsiTheme="minorHAnsi"/>
          <w:sz w:val="20"/>
          <w:szCs w:val="20"/>
          <w:lang w:eastAsia="zh-CN"/>
        </w:rPr>
      </w:pPr>
      <w:r>
        <w:rPr>
          <w:rFonts w:asciiTheme="minorHAnsi" w:hAnsiTheme="minorHAnsi"/>
          <w:sz w:val="20"/>
          <w:szCs w:val="20"/>
          <w:lang w:eastAsia="zh-CN"/>
        </w:rPr>
        <w:t>1</w:t>
      </w:r>
      <w:r w:rsidR="00757094">
        <w:rPr>
          <w:rFonts w:asciiTheme="minorHAnsi" w:hAnsiTheme="minorHAnsi"/>
          <w:sz w:val="20"/>
          <w:szCs w:val="20"/>
          <w:lang w:eastAsia="zh-CN"/>
        </w:rPr>
        <w:t xml:space="preserve"> </w:t>
      </w:r>
      <w:r w:rsidR="00AC44DD" w:rsidRPr="00265885">
        <w:rPr>
          <w:rFonts w:asciiTheme="minorHAnsi" w:hAnsiTheme="minorHAnsi"/>
          <w:sz w:val="20"/>
          <w:szCs w:val="20"/>
          <w:lang w:eastAsia="zh-CN"/>
        </w:rPr>
        <w:t>Can Tho University, Vietnam</w:t>
      </w:r>
    </w:p>
    <w:p w14:paraId="0EA59B0F" w14:textId="4A1E5D8A" w:rsidR="00AC44DD" w:rsidRPr="00265885" w:rsidRDefault="00757094" w:rsidP="00265885">
      <w:pPr>
        <w:spacing w:line="240" w:lineRule="auto"/>
        <w:jc w:val="center"/>
        <w:rPr>
          <w:rFonts w:asciiTheme="minorHAnsi" w:eastAsia="Times New Roman" w:hAnsiTheme="minorHAnsi"/>
          <w:b/>
          <w:sz w:val="20"/>
          <w:szCs w:val="20"/>
        </w:rPr>
      </w:pPr>
      <w:r>
        <w:rPr>
          <w:rFonts w:asciiTheme="minorHAnsi" w:eastAsia="Times New Roman" w:hAnsiTheme="minorHAnsi"/>
          <w:bCs/>
          <w:sz w:val="20"/>
          <w:szCs w:val="20"/>
        </w:rPr>
        <w:t xml:space="preserve">*Corresponding Author </w:t>
      </w:r>
      <w:r w:rsidR="00AC44DD" w:rsidRPr="00265885">
        <w:rPr>
          <w:rFonts w:asciiTheme="minorHAnsi" w:eastAsia="Times New Roman" w:hAnsiTheme="minorHAnsi"/>
          <w:bCs/>
          <w:sz w:val="20"/>
          <w:szCs w:val="20"/>
        </w:rPr>
        <w:t xml:space="preserve">Email: </w:t>
      </w:r>
      <w:hyperlink r:id="rId7" w:history="1">
        <w:r w:rsidR="00AC44DD" w:rsidRPr="00265885">
          <w:rPr>
            <w:rStyle w:val="Hyperlink"/>
            <w:rFonts w:asciiTheme="minorHAnsi" w:eastAsia="Times New Roman" w:hAnsiTheme="minorHAnsi"/>
            <w:bCs/>
            <w:sz w:val="20"/>
            <w:szCs w:val="20"/>
          </w:rPr>
          <w:t>vangphu@gmail.com</w:t>
        </w:r>
      </w:hyperlink>
    </w:p>
    <w:p w14:paraId="3286F5A5" w14:textId="0F7DFF23" w:rsidR="0098725F" w:rsidRPr="00265885" w:rsidRDefault="00757094" w:rsidP="00265885">
      <w:pPr>
        <w:spacing w:line="240" w:lineRule="auto"/>
        <w:jc w:val="center"/>
        <w:rPr>
          <w:rFonts w:asciiTheme="minorHAnsi" w:hAnsiTheme="minorHAnsi"/>
          <w:sz w:val="20"/>
          <w:szCs w:val="20"/>
          <w:lang w:eastAsia="zh-CN"/>
        </w:rPr>
      </w:pPr>
      <w:r>
        <w:rPr>
          <w:rFonts w:asciiTheme="minorHAnsi" w:hAnsiTheme="minorHAnsi"/>
          <w:sz w:val="20"/>
          <w:szCs w:val="20"/>
          <w:lang w:eastAsia="zh-CN"/>
        </w:rPr>
        <w:t xml:space="preserve"> </w:t>
      </w:r>
      <w:r w:rsidR="00AC44DD" w:rsidRPr="00265885">
        <w:rPr>
          <w:rFonts w:asciiTheme="minorHAnsi" w:hAnsiTheme="minorHAnsi"/>
          <w:sz w:val="20"/>
          <w:szCs w:val="20"/>
          <w:lang w:eastAsia="zh-CN"/>
        </w:rPr>
        <w:t>2</w:t>
      </w:r>
      <w:r>
        <w:rPr>
          <w:rFonts w:asciiTheme="minorHAnsi" w:hAnsiTheme="minorHAnsi"/>
          <w:sz w:val="20"/>
          <w:szCs w:val="20"/>
          <w:lang w:eastAsia="zh-CN"/>
        </w:rPr>
        <w:t xml:space="preserve"> </w:t>
      </w:r>
      <w:r w:rsidR="0098725F" w:rsidRPr="00265885">
        <w:rPr>
          <w:rFonts w:asciiTheme="minorHAnsi" w:hAnsiTheme="minorHAnsi"/>
          <w:sz w:val="20"/>
          <w:szCs w:val="20"/>
          <w:lang w:eastAsia="zh-CN"/>
        </w:rPr>
        <w:t xml:space="preserve">University of Economics and </w:t>
      </w:r>
      <w:r w:rsidR="00AC44DD" w:rsidRPr="00265885">
        <w:rPr>
          <w:rFonts w:asciiTheme="minorHAnsi" w:hAnsiTheme="minorHAnsi"/>
          <w:sz w:val="20"/>
          <w:szCs w:val="20"/>
          <w:lang w:eastAsia="zh-CN"/>
        </w:rPr>
        <w:t>Finance, Vietnam</w:t>
      </w:r>
    </w:p>
    <w:p w14:paraId="1A934D34" w14:textId="58A1AA45" w:rsidR="00D34AA7" w:rsidRPr="00182D9C" w:rsidRDefault="00D34AA7" w:rsidP="00182D9C">
      <w:pPr>
        <w:spacing w:line="240" w:lineRule="auto"/>
        <w:jc w:val="center"/>
        <w:rPr>
          <w:rFonts w:asciiTheme="minorHAnsi" w:hAnsiTheme="minorHAnsi"/>
          <w:sz w:val="20"/>
          <w:szCs w:val="20"/>
          <w:lang w:eastAsia="zh-CN"/>
        </w:rPr>
      </w:pPr>
      <w:r w:rsidRPr="00265885">
        <w:rPr>
          <w:rFonts w:asciiTheme="minorHAnsi" w:hAnsiTheme="minorHAnsi"/>
          <w:sz w:val="20"/>
          <w:szCs w:val="20"/>
          <w:lang w:eastAsia="zh-CN"/>
        </w:rPr>
        <w:t xml:space="preserve">Email: </w:t>
      </w:r>
      <w:hyperlink r:id="rId8" w:history="1">
        <w:r w:rsidR="00AC44DD" w:rsidRPr="00265885">
          <w:rPr>
            <w:rStyle w:val="Hyperlink"/>
            <w:rFonts w:asciiTheme="minorHAnsi" w:hAnsiTheme="minorHAnsi"/>
            <w:sz w:val="20"/>
            <w:szCs w:val="20"/>
            <w:lang w:eastAsia="zh-CN"/>
          </w:rPr>
          <w:t>duonganhson@gmail.com</w:t>
        </w:r>
      </w:hyperlink>
    </w:p>
    <w:p w14:paraId="00000002" w14:textId="77777777" w:rsidR="00A2167D" w:rsidRPr="00265885" w:rsidRDefault="00750CA3" w:rsidP="00265885">
      <w:pPr>
        <w:spacing w:before="240" w:line="480" w:lineRule="auto"/>
        <w:jc w:val="center"/>
        <w:rPr>
          <w:rFonts w:asciiTheme="minorHAnsi" w:eastAsia="Times New Roman" w:hAnsiTheme="minorHAnsi"/>
          <w:b/>
          <w:caps/>
        </w:rPr>
      </w:pPr>
      <w:r w:rsidRPr="00265885">
        <w:rPr>
          <w:rFonts w:asciiTheme="minorHAnsi" w:eastAsia="Times New Roman" w:hAnsiTheme="minorHAnsi"/>
          <w:b/>
          <w:caps/>
        </w:rPr>
        <w:t>Abstract</w:t>
      </w:r>
    </w:p>
    <w:p w14:paraId="00000003" w14:textId="783BD533" w:rsidR="00A2167D" w:rsidRPr="00265885" w:rsidRDefault="00E47DA2" w:rsidP="00265885">
      <w:pPr>
        <w:spacing w:line="240" w:lineRule="auto"/>
        <w:jc w:val="both"/>
        <w:rPr>
          <w:rFonts w:asciiTheme="minorHAnsi" w:eastAsia="Times New Roman" w:hAnsiTheme="minorHAnsi"/>
          <w:sz w:val="18"/>
          <w:szCs w:val="18"/>
        </w:rPr>
      </w:pPr>
      <w:r w:rsidRPr="00265885">
        <w:rPr>
          <w:rFonts w:asciiTheme="minorHAnsi" w:hAnsiTheme="minorHAnsi"/>
          <w:sz w:val="18"/>
          <w:szCs w:val="18"/>
        </w:rPr>
        <w:t xml:space="preserve">The current body of literature on international business and commercial laws demonstrates the inherent conflict between the legal system and the sovereignty of nation-states. The phenomenon of </w:t>
      </w:r>
      <w:proofErr w:type="spellStart"/>
      <w:r w:rsidRPr="00265885">
        <w:rPr>
          <w:rFonts w:asciiTheme="minorHAnsi" w:hAnsiTheme="minorHAnsi"/>
          <w:sz w:val="18"/>
          <w:szCs w:val="18"/>
        </w:rPr>
        <w:t>globalisation</w:t>
      </w:r>
      <w:proofErr w:type="spellEnd"/>
      <w:r w:rsidRPr="00265885">
        <w:rPr>
          <w:rFonts w:asciiTheme="minorHAnsi" w:hAnsiTheme="minorHAnsi"/>
          <w:sz w:val="18"/>
          <w:szCs w:val="18"/>
        </w:rPr>
        <w:t xml:space="preserve"> has amplified the influence of non-state actors, regional </w:t>
      </w:r>
      <w:proofErr w:type="spellStart"/>
      <w:r w:rsidRPr="00265885">
        <w:rPr>
          <w:rFonts w:asciiTheme="minorHAnsi" w:hAnsiTheme="minorHAnsi"/>
          <w:sz w:val="18"/>
          <w:szCs w:val="18"/>
        </w:rPr>
        <w:t>organisations</w:t>
      </w:r>
      <w:proofErr w:type="spellEnd"/>
      <w:r w:rsidRPr="00265885">
        <w:rPr>
          <w:rFonts w:asciiTheme="minorHAnsi" w:hAnsiTheme="minorHAnsi"/>
          <w:sz w:val="18"/>
          <w:szCs w:val="18"/>
        </w:rPr>
        <w:t xml:space="preserve">, and free trade agreements, resulting in a significant demand for international arbitration. The incorporation of international commercial laws into the current standard is increasingly prevalent, as nation-states discover the benefits of adhering to such laws. Conversely, the concept of national sovereignty, which exerted significant influence in recent years, appears to be facing substantial challenges due to the emerging trends in an increasingly interconnected </w:t>
      </w:r>
      <w:proofErr w:type="spellStart"/>
      <w:r w:rsidRPr="00265885">
        <w:rPr>
          <w:rFonts w:asciiTheme="minorHAnsi" w:hAnsiTheme="minorHAnsi"/>
          <w:sz w:val="18"/>
          <w:szCs w:val="18"/>
        </w:rPr>
        <w:t>globalised</w:t>
      </w:r>
      <w:proofErr w:type="spellEnd"/>
      <w:r w:rsidRPr="00265885">
        <w:rPr>
          <w:rFonts w:asciiTheme="minorHAnsi" w:hAnsiTheme="minorHAnsi"/>
          <w:sz w:val="18"/>
          <w:szCs w:val="18"/>
        </w:rPr>
        <w:t xml:space="preserve"> world. Nevertheless, the nation-state and its sovereignty maintain a significant impact on the dynamics of power and trade between different nation-states. This paper analyses the significant clash between international commercial law and the sovereignty of nation-states, with a particular emphasis on the potential for </w:t>
      </w:r>
      <w:proofErr w:type="spellStart"/>
      <w:r w:rsidRPr="00265885">
        <w:rPr>
          <w:rFonts w:asciiTheme="minorHAnsi" w:hAnsiTheme="minorHAnsi"/>
          <w:sz w:val="18"/>
          <w:szCs w:val="18"/>
        </w:rPr>
        <w:t>harmonisation</w:t>
      </w:r>
      <w:proofErr w:type="spellEnd"/>
      <w:r w:rsidRPr="00265885">
        <w:rPr>
          <w:rFonts w:asciiTheme="minorHAnsi" w:hAnsiTheme="minorHAnsi"/>
          <w:sz w:val="18"/>
          <w:szCs w:val="18"/>
        </w:rPr>
        <w:t xml:space="preserve">. The paper also examines the dynamics and difficulties of the process of </w:t>
      </w:r>
      <w:proofErr w:type="spellStart"/>
      <w:r w:rsidRPr="00265885">
        <w:rPr>
          <w:rFonts w:asciiTheme="minorHAnsi" w:hAnsiTheme="minorHAnsi"/>
          <w:sz w:val="18"/>
          <w:szCs w:val="18"/>
        </w:rPr>
        <w:t>harmonisation</w:t>
      </w:r>
      <w:proofErr w:type="spellEnd"/>
      <w:r w:rsidRPr="00265885">
        <w:rPr>
          <w:rFonts w:asciiTheme="minorHAnsi" w:hAnsiTheme="minorHAnsi"/>
          <w:sz w:val="18"/>
          <w:szCs w:val="18"/>
        </w:rPr>
        <w:t xml:space="preserve"> in this </w:t>
      </w:r>
      <w:proofErr w:type="gramStart"/>
      <w:r w:rsidRPr="00265885">
        <w:rPr>
          <w:rFonts w:asciiTheme="minorHAnsi" w:hAnsiTheme="minorHAnsi"/>
          <w:sz w:val="18"/>
          <w:szCs w:val="18"/>
        </w:rPr>
        <w:t>particular context</w:t>
      </w:r>
      <w:proofErr w:type="gramEnd"/>
      <w:r w:rsidRPr="00265885">
        <w:rPr>
          <w:rFonts w:asciiTheme="minorHAnsi" w:hAnsiTheme="minorHAnsi"/>
          <w:sz w:val="18"/>
          <w:szCs w:val="18"/>
        </w:rPr>
        <w:t>.</w:t>
      </w:r>
    </w:p>
    <w:p w14:paraId="7428554D" w14:textId="77777777" w:rsidR="00265885" w:rsidRDefault="00265885" w:rsidP="00265885">
      <w:pPr>
        <w:spacing w:line="240" w:lineRule="auto"/>
        <w:jc w:val="both"/>
        <w:rPr>
          <w:rFonts w:asciiTheme="minorHAnsi" w:eastAsia="Times New Roman" w:hAnsiTheme="minorHAnsi"/>
          <w:bCs/>
          <w:sz w:val="18"/>
          <w:szCs w:val="18"/>
        </w:rPr>
      </w:pPr>
    </w:p>
    <w:p w14:paraId="00000005" w14:textId="759B7605" w:rsidR="00A2167D" w:rsidRDefault="00750CA3" w:rsidP="00265885">
      <w:pPr>
        <w:spacing w:line="240" w:lineRule="auto"/>
        <w:jc w:val="both"/>
        <w:rPr>
          <w:rFonts w:asciiTheme="minorHAnsi" w:eastAsia="Times New Roman" w:hAnsiTheme="minorHAnsi"/>
          <w:sz w:val="18"/>
          <w:szCs w:val="18"/>
        </w:rPr>
      </w:pPr>
      <w:r w:rsidRPr="00265885">
        <w:rPr>
          <w:rFonts w:asciiTheme="minorHAnsi" w:eastAsia="Times New Roman" w:hAnsiTheme="minorHAnsi"/>
          <w:bCs/>
          <w:sz w:val="18"/>
          <w:szCs w:val="18"/>
        </w:rPr>
        <w:t>Keywords</w:t>
      </w:r>
      <w:r w:rsidR="00265885" w:rsidRPr="00265885">
        <w:rPr>
          <w:rFonts w:asciiTheme="minorHAnsi" w:eastAsia="Times New Roman" w:hAnsiTheme="minorHAnsi"/>
          <w:bCs/>
          <w:sz w:val="18"/>
          <w:szCs w:val="18"/>
        </w:rPr>
        <w:t>:</w:t>
      </w:r>
      <w:r w:rsidR="00265885">
        <w:rPr>
          <w:rFonts w:asciiTheme="minorHAnsi" w:eastAsia="Times New Roman" w:hAnsiTheme="minorHAnsi"/>
          <w:b/>
          <w:sz w:val="18"/>
          <w:szCs w:val="18"/>
        </w:rPr>
        <w:t xml:space="preserve"> </w:t>
      </w:r>
      <w:r w:rsidR="005649D4" w:rsidRPr="00265885">
        <w:rPr>
          <w:rFonts w:asciiTheme="minorHAnsi" w:eastAsia="Times New Roman" w:hAnsiTheme="minorHAnsi"/>
          <w:sz w:val="18"/>
          <w:szCs w:val="18"/>
        </w:rPr>
        <w:t>Commercial Law</w:t>
      </w:r>
      <w:r w:rsidR="005649D4">
        <w:rPr>
          <w:rFonts w:asciiTheme="minorHAnsi" w:eastAsia="Times New Roman" w:hAnsiTheme="minorHAnsi"/>
          <w:sz w:val="18"/>
          <w:szCs w:val="18"/>
        </w:rPr>
        <w:t>,</w:t>
      </w:r>
      <w:r w:rsidR="005649D4" w:rsidRPr="00265885">
        <w:rPr>
          <w:rFonts w:asciiTheme="minorHAnsi" w:eastAsia="Times New Roman" w:hAnsiTheme="minorHAnsi"/>
          <w:sz w:val="18"/>
          <w:szCs w:val="18"/>
        </w:rPr>
        <w:t xml:space="preserve"> </w:t>
      </w:r>
      <w:r w:rsidRPr="00265885">
        <w:rPr>
          <w:rFonts w:asciiTheme="minorHAnsi" w:eastAsia="Times New Roman" w:hAnsiTheme="minorHAnsi"/>
          <w:sz w:val="18"/>
          <w:szCs w:val="18"/>
        </w:rPr>
        <w:t xml:space="preserve">Globalization, </w:t>
      </w:r>
      <w:r w:rsidR="005649D4">
        <w:rPr>
          <w:rFonts w:asciiTheme="minorHAnsi" w:eastAsia="Times New Roman" w:hAnsiTheme="minorHAnsi"/>
          <w:sz w:val="18"/>
          <w:szCs w:val="18"/>
        </w:rPr>
        <w:t>H</w:t>
      </w:r>
      <w:r w:rsidR="005649D4" w:rsidRPr="00265885">
        <w:rPr>
          <w:rFonts w:asciiTheme="minorHAnsi" w:eastAsia="Times New Roman" w:hAnsiTheme="minorHAnsi"/>
          <w:sz w:val="18"/>
          <w:szCs w:val="18"/>
        </w:rPr>
        <w:t>armonization</w:t>
      </w:r>
      <w:r w:rsidR="005649D4">
        <w:rPr>
          <w:rFonts w:asciiTheme="minorHAnsi" w:eastAsia="Times New Roman" w:hAnsiTheme="minorHAnsi"/>
          <w:sz w:val="18"/>
          <w:szCs w:val="18"/>
        </w:rPr>
        <w:t>,</w:t>
      </w:r>
      <w:r w:rsidR="005649D4" w:rsidRPr="00265885">
        <w:rPr>
          <w:rFonts w:asciiTheme="minorHAnsi" w:eastAsia="Times New Roman" w:hAnsiTheme="minorHAnsi"/>
          <w:sz w:val="18"/>
          <w:szCs w:val="18"/>
        </w:rPr>
        <w:t xml:space="preserve"> </w:t>
      </w:r>
      <w:r w:rsidRPr="00265885">
        <w:rPr>
          <w:rFonts w:asciiTheme="minorHAnsi" w:eastAsia="Times New Roman" w:hAnsiTheme="minorHAnsi"/>
          <w:sz w:val="18"/>
          <w:szCs w:val="18"/>
        </w:rPr>
        <w:t xml:space="preserve">International Commerce, </w:t>
      </w:r>
      <w:r w:rsidR="005649D4">
        <w:rPr>
          <w:rFonts w:asciiTheme="minorHAnsi" w:eastAsia="Times New Roman" w:hAnsiTheme="minorHAnsi"/>
          <w:sz w:val="18"/>
          <w:szCs w:val="18"/>
        </w:rPr>
        <w:t>N</w:t>
      </w:r>
      <w:r w:rsidRPr="00265885">
        <w:rPr>
          <w:rFonts w:asciiTheme="minorHAnsi" w:eastAsia="Times New Roman" w:hAnsiTheme="minorHAnsi"/>
          <w:sz w:val="18"/>
          <w:szCs w:val="18"/>
        </w:rPr>
        <w:t xml:space="preserve">ation-state, </w:t>
      </w:r>
      <w:r w:rsidR="005649D4">
        <w:rPr>
          <w:rFonts w:asciiTheme="minorHAnsi" w:eastAsia="Times New Roman" w:hAnsiTheme="minorHAnsi"/>
          <w:sz w:val="18"/>
          <w:szCs w:val="18"/>
        </w:rPr>
        <w:t>S</w:t>
      </w:r>
      <w:r w:rsidRPr="00265885">
        <w:rPr>
          <w:rFonts w:asciiTheme="minorHAnsi" w:eastAsia="Times New Roman" w:hAnsiTheme="minorHAnsi"/>
          <w:sz w:val="18"/>
          <w:szCs w:val="18"/>
        </w:rPr>
        <w:t>overeignty</w:t>
      </w:r>
      <w:r w:rsidR="005649D4">
        <w:rPr>
          <w:rFonts w:asciiTheme="minorHAnsi" w:eastAsia="Times New Roman" w:hAnsiTheme="minorHAnsi"/>
          <w:sz w:val="18"/>
          <w:szCs w:val="18"/>
        </w:rPr>
        <w:t>.</w:t>
      </w:r>
    </w:p>
    <w:p w14:paraId="39F53BA3" w14:textId="77777777" w:rsidR="00265885" w:rsidRDefault="00265885" w:rsidP="00265885">
      <w:pPr>
        <w:spacing w:line="240" w:lineRule="auto"/>
        <w:jc w:val="both"/>
        <w:rPr>
          <w:rFonts w:asciiTheme="minorHAnsi" w:eastAsia="Times New Roman" w:hAnsiTheme="minorHAnsi"/>
          <w:sz w:val="18"/>
          <w:szCs w:val="18"/>
        </w:rPr>
      </w:pPr>
    </w:p>
    <w:p w14:paraId="5186D724" w14:textId="77777777" w:rsidR="00265885" w:rsidRPr="00265885" w:rsidRDefault="00265885" w:rsidP="00265885">
      <w:pPr>
        <w:pBdr>
          <w:bottom w:val="single" w:sz="4" w:space="11" w:color="000000"/>
        </w:pBdr>
        <w:spacing w:line="240" w:lineRule="auto"/>
        <w:ind w:left="567" w:right="567"/>
        <w:jc w:val="both"/>
        <w:rPr>
          <w:rFonts w:ascii="Cambria" w:eastAsia="Cambria" w:hAnsi="Cambria" w:cs="Cambria"/>
          <w:color w:val="0000FF"/>
          <w:sz w:val="18"/>
          <w:szCs w:val="18"/>
          <w:lang w:val="en-GB" w:eastAsia="en-US"/>
        </w:rPr>
      </w:pPr>
    </w:p>
    <w:p w14:paraId="3CF85D5D" w14:textId="77777777" w:rsidR="00265885" w:rsidRPr="00265885" w:rsidRDefault="00265885" w:rsidP="00265885">
      <w:pPr>
        <w:spacing w:before="360" w:after="120" w:line="240" w:lineRule="auto"/>
        <w:outlineLvl w:val="1"/>
        <w:rPr>
          <w:rFonts w:ascii="Cambria" w:eastAsia="Cambria" w:hAnsi="Cambria" w:cs="Times New Roman"/>
          <w:b/>
          <w:spacing w:val="-4"/>
          <w:lang w:val="en-US" w:eastAsia="en-US"/>
        </w:rPr>
      </w:pPr>
      <w:r w:rsidRPr="00265885">
        <w:rPr>
          <w:rFonts w:ascii="Cambria" w:eastAsia="Cambria" w:hAnsi="Cambria" w:cs="Times New Roman"/>
          <w:b/>
          <w:spacing w:val="-4"/>
          <w:lang w:val="en-US" w:eastAsia="en-US"/>
        </w:rPr>
        <w:t>INTRODUCTION</w:t>
      </w:r>
    </w:p>
    <w:p w14:paraId="00000008" w14:textId="7394F1FA"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Treaty of Westphalia, signed in 1648, laid the foundation for both national sovereignty and the modern global legal system by establishing the concepts of state sovereignty and non-interference. That is why most scholars often </w:t>
      </w:r>
      <w:r w:rsidR="00806CA9" w:rsidRPr="00265885">
        <w:rPr>
          <w:rFonts w:asciiTheme="minorHAnsi" w:eastAsia="Times New Roman" w:hAnsiTheme="minorHAnsi"/>
          <w:sz w:val="21"/>
          <w:szCs w:val="21"/>
        </w:rPr>
        <w:t>identify State</w:t>
      </w:r>
      <w:r w:rsidRPr="00265885">
        <w:rPr>
          <w:rFonts w:asciiTheme="minorHAnsi" w:eastAsia="Times New Roman" w:hAnsiTheme="minorHAnsi"/>
          <w:sz w:val="21"/>
          <w:szCs w:val="21"/>
        </w:rPr>
        <w:t xml:space="preserve"> sovereignty as Westphalian sovereignty. After 30 years of war ended, the Westphalia treaty was signed to maintain peace and balance of power. That was the first treaty to identify the international law that every nation-state has exclusive authority over its territory and internal affairs. These arrangements are based on the tenet of non-interference in the domestic affairs of other nations and the idea that every state, regardless of size, is treated equally under international law. Later these ideas of state sovereignty and non-interference got universalized as European values spread to all acorns of the globe</w:t>
      </w:r>
      <w:r w:rsidR="00806CA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(Lansford, 2000)</w:t>
      </w:r>
      <w:r w:rsidR="00806CA9" w:rsidRPr="00265885">
        <w:rPr>
          <w:rFonts w:asciiTheme="minorHAnsi" w:eastAsia="Times New Roman" w:hAnsiTheme="minorHAnsi"/>
          <w:sz w:val="21"/>
          <w:szCs w:val="21"/>
        </w:rPr>
        <w:t>.</w:t>
      </w:r>
    </w:p>
    <w:p w14:paraId="00000009" w14:textId="77777777" w:rsidR="00A2167D"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notion of sovereignty supports the present international system of states. In academic and popular literature, the Peace of Westphalia, which was signed in 1648 to put an end to the thirty-year conflict, is frequently cited as the source of this system. The major goal of the Peace Treaty, when viewed in the light of history, does not appear to be the equality of sovereign states but rather the containment of the influence of the Roman Empire. The concept of sovereignty is clearly defined in the treaty as decolonization from the Empire rather than an international system of sovereign equality and non-interference. The Montevideo Convention on the Rights and Duties of States of 1933 established the fundamental components of the sovereignty-based structure. Territory, populace, and an efficient government are all characteristics of statehood. Thus, sovereignty is the underlying concept of the current world order, as upheld by the International Court of Justice (ICJ) and outlined in Article 2 of the UN Charter. An external definition of </w:t>
      </w:r>
      <w:r w:rsidRPr="00265885">
        <w:rPr>
          <w:rFonts w:asciiTheme="minorHAnsi" w:eastAsia="Times New Roman" w:hAnsiTheme="minorHAnsi"/>
          <w:sz w:val="21"/>
          <w:szCs w:val="21"/>
        </w:rPr>
        <w:lastRenderedPageBreak/>
        <w:t>sovereignty includes the state's ability to represent its people in international affairs as the only legal personality, its legal identity in international law, and its equality with all other states.</w:t>
      </w:r>
    </w:p>
    <w:p w14:paraId="2A8C1AED" w14:textId="77777777" w:rsidR="00265885" w:rsidRPr="00265885" w:rsidRDefault="00265885" w:rsidP="00265885">
      <w:pPr>
        <w:spacing w:line="240" w:lineRule="auto"/>
        <w:ind w:firstLine="720"/>
        <w:jc w:val="both"/>
        <w:rPr>
          <w:rFonts w:asciiTheme="minorHAnsi" w:eastAsia="Times New Roman" w:hAnsiTheme="minorHAnsi"/>
          <w:sz w:val="20"/>
          <w:szCs w:val="20"/>
        </w:rPr>
      </w:pPr>
    </w:p>
    <w:p w14:paraId="0000000A" w14:textId="61A20B7B" w:rsidR="00A2167D" w:rsidRPr="00265885" w:rsidRDefault="00750CA3" w:rsidP="00265885">
      <w:pPr>
        <w:spacing w:before="240" w:after="240" w:line="240" w:lineRule="auto"/>
        <w:jc w:val="both"/>
        <w:rPr>
          <w:rFonts w:asciiTheme="minorHAnsi" w:eastAsia="Times New Roman" w:hAnsiTheme="minorHAnsi"/>
          <w:b/>
          <w:caps/>
        </w:rPr>
      </w:pPr>
      <w:r w:rsidRPr="00265885">
        <w:rPr>
          <w:rFonts w:asciiTheme="minorHAnsi" w:eastAsia="Times New Roman" w:hAnsiTheme="minorHAnsi"/>
          <w:b/>
          <w:caps/>
        </w:rPr>
        <w:t>International Legal System and nation-state sovereignty</w:t>
      </w:r>
    </w:p>
    <w:p w14:paraId="0000000B"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Existing literature on international business and commercial laws shows us the inherent dilemma between the legal system and nation-state sovereignty.</w:t>
      </w:r>
    </w:p>
    <w:p w14:paraId="0000000C" w14:textId="679ED1B2"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The nation-state is a uniquely Western idea that unites several socioeconomic entities into a single, geographically defined nation</w:t>
      </w:r>
      <w:r w:rsidR="00806CA9" w:rsidRPr="00265885">
        <w:rPr>
          <w:rFonts w:asciiTheme="minorHAnsi" w:eastAsia="Times New Roman" w:hAnsiTheme="minorHAnsi"/>
          <w:sz w:val="21"/>
          <w:szCs w:val="21"/>
        </w:rPr>
        <w:t xml:space="preserve"> (</w:t>
      </w:r>
      <w:proofErr w:type="spellStart"/>
      <w:r w:rsidR="00806CA9" w:rsidRPr="00265885">
        <w:rPr>
          <w:rFonts w:asciiTheme="minorHAnsi" w:hAnsiTheme="minorHAnsi"/>
          <w:sz w:val="21"/>
          <w:szCs w:val="21"/>
        </w:rPr>
        <w:t>Holsti</w:t>
      </w:r>
      <w:proofErr w:type="spellEnd"/>
      <w:r w:rsidR="00806CA9" w:rsidRPr="00265885">
        <w:rPr>
          <w:rFonts w:asciiTheme="minorHAnsi" w:hAnsiTheme="minorHAnsi"/>
          <w:sz w:val="21"/>
          <w:szCs w:val="21"/>
        </w:rPr>
        <w:t>, 1996)</w:t>
      </w:r>
      <w:r w:rsidRPr="00265885">
        <w:rPr>
          <w:rFonts w:asciiTheme="minorHAnsi" w:eastAsia="Times New Roman" w:hAnsiTheme="minorHAnsi"/>
          <w:sz w:val="21"/>
          <w:szCs w:val="21"/>
        </w:rPr>
        <w:t xml:space="preserve">. Therefore, Western governments' sovereign will </w:t>
      </w:r>
      <w:proofErr w:type="gramStart"/>
      <w:r w:rsidRPr="00265885">
        <w:rPr>
          <w:rFonts w:asciiTheme="minorHAnsi" w:eastAsia="Times New Roman" w:hAnsiTheme="minorHAnsi"/>
          <w:sz w:val="21"/>
          <w:szCs w:val="21"/>
        </w:rPr>
        <w:t>is</w:t>
      </w:r>
      <w:proofErr w:type="gramEnd"/>
      <w:r w:rsidRPr="00265885">
        <w:rPr>
          <w:rFonts w:asciiTheme="minorHAnsi" w:eastAsia="Times New Roman" w:hAnsiTheme="minorHAnsi"/>
          <w:sz w:val="21"/>
          <w:szCs w:val="21"/>
        </w:rPr>
        <w:t xml:space="preserve"> strongly reflected in international law. However, it falls short of accurately reflecting the intentions of governments outside of the West. International law still reflects global imbalances more than fifty years after decolonization, as argued in this essay by the colonial rhetoric and the Western-centric understanding of sovereignty. Post-colonial states' wishes aren't reflected in international law, but states' sovereign will </w:t>
      </w:r>
      <w:proofErr w:type="gramStart"/>
      <w:r w:rsidRPr="00265885">
        <w:rPr>
          <w:rFonts w:asciiTheme="minorHAnsi" w:eastAsia="Times New Roman" w:hAnsiTheme="minorHAnsi"/>
          <w:sz w:val="21"/>
          <w:szCs w:val="21"/>
        </w:rPr>
        <w:t>is</w:t>
      </w:r>
      <w:proofErr w:type="gramEnd"/>
      <w:r w:rsidRPr="00265885">
        <w:rPr>
          <w:rFonts w:asciiTheme="minorHAnsi" w:eastAsia="Times New Roman" w:hAnsiTheme="minorHAnsi"/>
          <w:sz w:val="21"/>
          <w:szCs w:val="21"/>
        </w:rPr>
        <w:t xml:space="preserve"> reflected largely.</w:t>
      </w:r>
    </w:p>
    <w:p w14:paraId="0000000D" w14:textId="76CBFDB1"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Initially, the argument will focus on the concept of consent, reciprocity, and the United Nations Security Council (UNSC). State sovereignty must be the dominant force in the international legal order. The next part of the argument will focus on the differences in the creation of international law by different countries. The formation and application of international law are heavily influenced by the colonial legacy of Eurocentric administrations, rather than all states having an equal representation. The idea that the pursuit of universal sovereignty and international law is a colonial ambition shows how much international law represents Western hegemonic forces. Post-colonial states' domestic legal systems are profoundly rooted in colonial legal structures, as can be inferred from this historical reasoning from a legal standpoint. Therefore, while non-Western governments contribute significantly to the development of international law, they still have domestic sovereign structures geared toward the benefit of the colonial powers. In conclusion, international law largely reflects the political intent of Western states and obstructs post-colonial states' efforts to have a diverse legal system</w:t>
      </w:r>
      <w:r w:rsidR="00806CA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(Bishop, 1961)</w:t>
      </w:r>
      <w:r w:rsidR="00806CA9" w:rsidRPr="00265885">
        <w:rPr>
          <w:rFonts w:asciiTheme="minorHAnsi" w:eastAsia="Times New Roman" w:hAnsiTheme="minorHAnsi"/>
          <w:sz w:val="21"/>
          <w:szCs w:val="21"/>
        </w:rPr>
        <w:t>.</w:t>
      </w:r>
    </w:p>
    <w:p w14:paraId="0000000E"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The idea of unrestricted, total sovereignty did not hold sway for very long, either nationally or internationally. The rise of democracy placed significant restrictions on the authority of the monarchy and the ruling classes. The growing interdependence of states constrained the notion that might is right in international affairs. The widespread consensus among citizens and policymakers is that there cannot be peace without law and that there cannot be law without some restrictions on sovereign power. Thus, organizations like the North Atlantic Treaty Organization (NATO), the World Trade Organization (WTO), and the European Union (EU) began to pool their sovereignties to the extent necessary to maintain peace and prosperity. Sovereignty was increasingly exercised on behalf of the peoples of the world by regional and international organizations as well as national governments. As a result, the doctrine of divided sovereignty, first formulated in federal states, started to apply globally.</w:t>
      </w:r>
    </w:p>
    <w:p w14:paraId="0000000F" w14:textId="141D2008" w:rsidR="00A2167D" w:rsidRPr="00265885" w:rsidRDefault="00750CA3" w:rsidP="00265885">
      <w:pPr>
        <w:spacing w:before="240" w:after="240" w:line="240" w:lineRule="auto"/>
        <w:jc w:val="both"/>
        <w:rPr>
          <w:rFonts w:asciiTheme="minorHAnsi" w:eastAsia="Times New Roman" w:hAnsiTheme="minorHAnsi"/>
          <w:b/>
          <w:caps/>
        </w:rPr>
      </w:pPr>
      <w:r w:rsidRPr="00265885">
        <w:rPr>
          <w:rFonts w:asciiTheme="minorHAnsi" w:eastAsia="Times New Roman" w:hAnsiTheme="minorHAnsi"/>
          <w:b/>
          <w:caps/>
        </w:rPr>
        <w:t>Globalization and its impact on International Commercial Activities</w:t>
      </w:r>
    </w:p>
    <w:p w14:paraId="00000010" w14:textId="777D6AF0"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process of globalization increased the role of non-state actors, regional organizations, Free trade arrangements, etc., creating a huge spec for international arbitration. The world is changing, and with it, there have been significant changes in trade and business. While the roots of globalization are very recent, this aspect is relatively new. Goods and services from any nation are readily available </w:t>
      </w:r>
      <w:proofErr w:type="gramStart"/>
      <w:r w:rsidRPr="00265885">
        <w:rPr>
          <w:rFonts w:asciiTheme="minorHAnsi" w:eastAsia="Times New Roman" w:hAnsiTheme="minorHAnsi"/>
          <w:sz w:val="21"/>
          <w:szCs w:val="21"/>
        </w:rPr>
        <w:t>all across</w:t>
      </w:r>
      <w:proofErr w:type="gramEnd"/>
      <w:r w:rsidRPr="00265885">
        <w:rPr>
          <w:rFonts w:asciiTheme="minorHAnsi" w:eastAsia="Times New Roman" w:hAnsiTheme="minorHAnsi"/>
          <w:sz w:val="21"/>
          <w:szCs w:val="21"/>
        </w:rPr>
        <w:t xml:space="preserve"> the world. Globalization is the easy access to goods, the interconnectedness of nations, and the availability of trade rights in every nation. But as we've already mentioned, globalization has a long history</w:t>
      </w:r>
      <w:r w:rsidR="000C435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 xml:space="preserve">(Sparke, 2012). </w:t>
      </w:r>
    </w:p>
    <w:p w14:paraId="00000011" w14:textId="4F5883F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Among the finest examples is the well-known Silk Road, which linked China to Europe. There was a great deal of international trade and business, and new continents were discovered. </w:t>
      </w:r>
      <w:r w:rsidRPr="00265885">
        <w:rPr>
          <w:rFonts w:asciiTheme="minorHAnsi" w:eastAsia="Times New Roman" w:hAnsiTheme="minorHAnsi"/>
          <w:sz w:val="21"/>
          <w:szCs w:val="21"/>
        </w:rPr>
        <w:lastRenderedPageBreak/>
        <w:t>Trade, on the other hand, was a difficult venture at the time. As a result of the arduous and pricey acquisition of precious stones, spices, and silks</w:t>
      </w:r>
      <w:r w:rsidR="000C435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(Sanderson, 2011)</w:t>
      </w:r>
      <w:r w:rsidR="000C4359" w:rsidRPr="00265885">
        <w:rPr>
          <w:rFonts w:asciiTheme="minorHAnsi" w:eastAsia="Times New Roman" w:hAnsiTheme="minorHAnsi"/>
          <w:sz w:val="21"/>
          <w:szCs w:val="21"/>
        </w:rPr>
        <w:t>.</w:t>
      </w:r>
    </w:p>
    <w:p w14:paraId="00000012" w14:textId="392FB4CD"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However, the phenomenon known as globalization wasn't completely realized until the industrial revolution, which dismantled antiquated manufacturing methods and ushered in an era of mass production of goods</w:t>
      </w:r>
      <w:r w:rsidR="000C435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 xml:space="preserve">(Schultz &amp; </w:t>
      </w:r>
      <w:proofErr w:type="spellStart"/>
      <w:r w:rsidRPr="00265885">
        <w:rPr>
          <w:rFonts w:asciiTheme="minorHAnsi" w:eastAsia="Times New Roman" w:hAnsiTheme="minorHAnsi"/>
          <w:sz w:val="21"/>
          <w:szCs w:val="21"/>
        </w:rPr>
        <w:t>Mitchenson</w:t>
      </w:r>
      <w:proofErr w:type="spellEnd"/>
      <w:r w:rsidRPr="00265885">
        <w:rPr>
          <w:rFonts w:asciiTheme="minorHAnsi" w:eastAsia="Times New Roman" w:hAnsiTheme="minorHAnsi"/>
          <w:sz w:val="21"/>
          <w:szCs w:val="21"/>
        </w:rPr>
        <w:t>, 2016). Demand increased further due to increased factory production, better distribution, and the accessibility of goods across marketplaces. There have been an increasing number of establishments providing necessities such as processed food, medications, home goods, jewelry, and desirable products like posh vehicles and jewelry. Thus, globalization was born with a new face, and the birth process was greatly facilitated by notable improvements in communications, production, and distribution technology.</w:t>
      </w:r>
    </w:p>
    <w:p w14:paraId="00000013" w14:textId="77777777" w:rsidR="00A2167D" w:rsidRPr="00265885" w:rsidRDefault="00750CA3" w:rsidP="00265885">
      <w:pPr>
        <w:spacing w:line="240" w:lineRule="auto"/>
        <w:ind w:firstLine="720"/>
        <w:jc w:val="both"/>
        <w:rPr>
          <w:rFonts w:asciiTheme="minorHAnsi" w:eastAsia="Times New Roman" w:hAnsiTheme="minorHAnsi"/>
          <w:i/>
          <w:iCs/>
          <w:sz w:val="21"/>
          <w:szCs w:val="21"/>
        </w:rPr>
      </w:pPr>
      <w:r w:rsidRPr="00265885">
        <w:rPr>
          <w:rFonts w:asciiTheme="minorHAnsi" w:eastAsia="Times New Roman" w:hAnsiTheme="minorHAnsi"/>
          <w:i/>
          <w:iCs/>
          <w:sz w:val="21"/>
          <w:szCs w:val="21"/>
        </w:rPr>
        <w:t>Globalization and Technology</w:t>
      </w:r>
    </w:p>
    <w:p w14:paraId="00000014" w14:textId="75D29B2C"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What does McDonald's or fast food have to do with technology? Say hello to "McDonald's Next," a "modern and progressive" iteration of the restaurant that debuted in Hong Kong in 2017 and offers mobile-phone charging platforms, free Wi-Fi, and self-ordering kiosks—</w:t>
      </w:r>
      <w:proofErr w:type="gramStart"/>
      <w:r w:rsidRPr="00265885">
        <w:rPr>
          <w:rFonts w:asciiTheme="minorHAnsi" w:eastAsia="Times New Roman" w:hAnsiTheme="minorHAnsi"/>
          <w:sz w:val="21"/>
          <w:szCs w:val="21"/>
        </w:rPr>
        <w:t>tak</w:t>
      </w:r>
      <w:r w:rsidR="0037108D" w:rsidRPr="00265885">
        <w:rPr>
          <w:rFonts w:asciiTheme="minorHAnsi" w:eastAsia="Times New Roman" w:hAnsiTheme="minorHAnsi"/>
          <w:sz w:val="21"/>
          <w:szCs w:val="21"/>
        </w:rPr>
        <w:t>ing</w:t>
      </w:r>
      <w:r w:rsidRPr="00265885">
        <w:rPr>
          <w:rFonts w:asciiTheme="minorHAnsi" w:eastAsia="Times New Roman" w:hAnsiTheme="minorHAnsi"/>
          <w:sz w:val="21"/>
          <w:szCs w:val="21"/>
        </w:rPr>
        <w:t xml:space="preserve"> into account</w:t>
      </w:r>
      <w:proofErr w:type="gramEnd"/>
      <w:r w:rsidRPr="00265885">
        <w:rPr>
          <w:rFonts w:asciiTheme="minorHAnsi" w:eastAsia="Times New Roman" w:hAnsiTheme="minorHAnsi"/>
          <w:sz w:val="21"/>
          <w:szCs w:val="21"/>
        </w:rPr>
        <w:t xml:space="preserve"> the company's presence in China, where there are nearly 1.3 billion mobile users. This new McDonald's is a response to rising consumer expectations for speed, service, value, and accessibility in both developed and emerging nations, mostly driven by consumers' expanding access to reasonably priced technology. Global firms must use technology to transfer people, goods, and supplies around the world profitably and effectively as they respond to the needs of technology.</w:t>
      </w:r>
    </w:p>
    <w:p w14:paraId="00000015"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Globalization's positive and negative aspects have different effects on the day-to-day operations of a business. Businesses that want to grow worldwide need to be ready for and willing to change their internal operating procedures so they can accommodate new markets and create an environment where their multinational workforce may feel accepted and welcome.</w:t>
      </w:r>
    </w:p>
    <w:p w14:paraId="00000016" w14:textId="33F234B3"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Many aspects of their operations change for businesses that enter the global market. For example, as the global economy grows, so does the variety of workers it attracts. This increase in cultural and linguistic diversity is a good thing, but it comes with its own sets of challenges, such as divergent language and cultural expectations. A wide range of issues, including international employee expectations, supporting global consumers and greater competition, </w:t>
      </w:r>
      <w:r w:rsidR="000C4359" w:rsidRPr="00265885">
        <w:rPr>
          <w:rFonts w:asciiTheme="minorHAnsi" w:eastAsia="Times New Roman" w:hAnsiTheme="minorHAnsi"/>
          <w:sz w:val="21"/>
          <w:szCs w:val="21"/>
        </w:rPr>
        <w:t>marketing,</w:t>
      </w:r>
      <w:r w:rsidRPr="00265885">
        <w:rPr>
          <w:rFonts w:asciiTheme="minorHAnsi" w:eastAsia="Times New Roman" w:hAnsiTheme="minorHAnsi"/>
          <w:sz w:val="21"/>
          <w:szCs w:val="21"/>
        </w:rPr>
        <w:t xml:space="preserve"> and communication changes, etc., are some operational changes businesses may expect due to globalization. International commercial laws are becoming a part of the new normal, where the nation-states find a sort of advantage when moving with such laws (Rühl, 2016)</w:t>
      </w:r>
      <w:r w:rsidR="000C4359" w:rsidRPr="00265885">
        <w:rPr>
          <w:rFonts w:asciiTheme="minorHAnsi" w:eastAsia="Times New Roman" w:hAnsiTheme="minorHAnsi"/>
          <w:sz w:val="21"/>
          <w:szCs w:val="21"/>
        </w:rPr>
        <w:t>.</w:t>
      </w:r>
    </w:p>
    <w:p w14:paraId="00000017" w14:textId="6F550616" w:rsidR="00A2167D" w:rsidRPr="00265885" w:rsidRDefault="00750CA3" w:rsidP="00265885">
      <w:pPr>
        <w:spacing w:before="240" w:after="240" w:line="240" w:lineRule="auto"/>
        <w:jc w:val="both"/>
        <w:rPr>
          <w:rFonts w:asciiTheme="minorHAnsi" w:eastAsia="Times New Roman" w:hAnsiTheme="minorHAnsi"/>
          <w:b/>
          <w:sz w:val="21"/>
          <w:szCs w:val="21"/>
        </w:rPr>
      </w:pPr>
      <w:r w:rsidRPr="00265885">
        <w:rPr>
          <w:rFonts w:asciiTheme="minorHAnsi" w:eastAsia="Times New Roman" w:hAnsiTheme="minorHAnsi"/>
          <w:b/>
          <w:caps/>
        </w:rPr>
        <w:t>Globalization vs</w:t>
      </w:r>
      <w:r w:rsidR="0037108D" w:rsidRPr="00265885">
        <w:rPr>
          <w:rFonts w:asciiTheme="minorHAnsi" w:eastAsia="Times New Roman" w:hAnsiTheme="minorHAnsi"/>
          <w:b/>
          <w:caps/>
        </w:rPr>
        <w:t>.</w:t>
      </w:r>
      <w:r w:rsidRPr="00265885">
        <w:rPr>
          <w:rFonts w:asciiTheme="minorHAnsi" w:eastAsia="Times New Roman" w:hAnsiTheme="minorHAnsi"/>
          <w:b/>
          <w:caps/>
        </w:rPr>
        <w:t xml:space="preserve"> national sovereignty</w:t>
      </w:r>
    </w:p>
    <w:p w14:paraId="00000018" w14:textId="4E5F82AA"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On the other hand, national sovereignty, which played a powerful role in the last few decades, seems to be challenged </w:t>
      </w:r>
      <w:proofErr w:type="gramStart"/>
      <w:r w:rsidRPr="00265885">
        <w:rPr>
          <w:rFonts w:asciiTheme="minorHAnsi" w:eastAsia="Times New Roman" w:hAnsiTheme="minorHAnsi"/>
          <w:sz w:val="21"/>
          <w:szCs w:val="21"/>
        </w:rPr>
        <w:t>to a great extent</w:t>
      </w:r>
      <w:proofErr w:type="gramEnd"/>
      <w:r w:rsidRPr="00265885">
        <w:rPr>
          <w:rFonts w:asciiTheme="minorHAnsi" w:eastAsia="Times New Roman" w:hAnsiTheme="minorHAnsi"/>
          <w:sz w:val="21"/>
          <w:szCs w:val="21"/>
        </w:rPr>
        <w:t xml:space="preserve"> by the new developments in a new globalized world. However, the nation-state and its sovereignty continue to play an influential role in power relations and trade relations among different nation-states</w:t>
      </w:r>
      <w:r w:rsidR="000C435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(Tierney, 2005)</w:t>
      </w:r>
      <w:r w:rsidR="000C4359" w:rsidRPr="00265885">
        <w:rPr>
          <w:rFonts w:asciiTheme="minorHAnsi" w:eastAsia="Times New Roman" w:hAnsiTheme="minorHAnsi"/>
          <w:sz w:val="21"/>
          <w:szCs w:val="21"/>
        </w:rPr>
        <w:t>.</w:t>
      </w:r>
    </w:p>
    <w:p w14:paraId="00000019" w14:textId="0931D42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Globalization, which involves increasing the volume, pace, and significance of movements of people, ideas, goods, money, and many other things both within and across boundaries, is challenging one of the fundamental foundations of sovereignty</w:t>
      </w:r>
      <w:r w:rsidR="0037108D" w:rsidRPr="00265885">
        <w:rPr>
          <w:rFonts w:asciiTheme="minorHAnsi" w:eastAsia="Times New Roman" w:hAnsiTheme="minorHAnsi"/>
          <w:sz w:val="21"/>
          <w:szCs w:val="21"/>
        </w:rPr>
        <w:t xml:space="preserve"> - </w:t>
      </w:r>
      <w:r w:rsidRPr="00265885">
        <w:rPr>
          <w:rFonts w:asciiTheme="minorHAnsi" w:eastAsia="Times New Roman" w:hAnsiTheme="minorHAnsi"/>
          <w:sz w:val="21"/>
          <w:szCs w:val="21"/>
        </w:rPr>
        <w:t xml:space="preserve">the power to regulate what crosses borders in either direction. It is becoming more common for sovereign entities to measure their vulnerability to external influences rather than each other. When a government cannot meet its people's basic requirements, whether due to a lack of resources or deliberate policy, necessity may also result in a reduction in or even an elimination of sovereignty, this reflects the idea that state failure and genocide can destabilize refugee movements and open doors for terrorist organizations to flourish. It's common to talk about how globalization threatens national sovereignty. According to popular belief, nations' sovereignty has been eroded </w:t>
      </w:r>
      <w:r w:rsidR="000C4359" w:rsidRPr="00265885">
        <w:rPr>
          <w:rFonts w:asciiTheme="minorHAnsi" w:eastAsia="Times New Roman" w:hAnsiTheme="minorHAnsi"/>
          <w:sz w:val="21"/>
          <w:szCs w:val="21"/>
        </w:rPr>
        <w:t>because of</w:t>
      </w:r>
      <w:r w:rsidRPr="00265885">
        <w:rPr>
          <w:rFonts w:asciiTheme="minorHAnsi" w:eastAsia="Times New Roman" w:hAnsiTheme="minorHAnsi"/>
          <w:sz w:val="21"/>
          <w:szCs w:val="21"/>
        </w:rPr>
        <w:t xml:space="preserve"> globalization, or that boundaries are no longer necessary. Neoliberal economic policies, such as privatization, deregulation, and cuts in public spending are argued to be necessary for a globalized economy. The nation-state is only marginally important to the clash between social democracy and neoliberal globalization. The key </w:t>
      </w:r>
      <w:r w:rsidRPr="00265885">
        <w:rPr>
          <w:rFonts w:asciiTheme="minorHAnsi" w:eastAsia="Times New Roman" w:hAnsiTheme="minorHAnsi"/>
          <w:sz w:val="21"/>
          <w:szCs w:val="21"/>
        </w:rPr>
        <w:lastRenderedPageBreak/>
        <w:t xml:space="preserve">question is whether the policy will be guided by democratic voter preferences or be severely restrained by the "Golden </w:t>
      </w:r>
      <w:r w:rsidR="000C4359" w:rsidRPr="00265885">
        <w:rPr>
          <w:rFonts w:asciiTheme="minorHAnsi" w:eastAsia="Times New Roman" w:hAnsiTheme="minorHAnsi"/>
          <w:sz w:val="21"/>
          <w:szCs w:val="21"/>
        </w:rPr>
        <w:t>Straitjacket</w:t>
      </w:r>
      <w:r w:rsidRPr="00265885">
        <w:rPr>
          <w:rFonts w:asciiTheme="minorHAnsi" w:eastAsia="Times New Roman" w:hAnsiTheme="minorHAnsi"/>
          <w:sz w:val="21"/>
          <w:szCs w:val="21"/>
        </w:rPr>
        <w:t>" of global financial markets.</w:t>
      </w:r>
    </w:p>
    <w:p w14:paraId="0000001A" w14:textId="46E0AA86" w:rsidR="00A2167D" w:rsidRPr="00265885" w:rsidRDefault="00750CA3" w:rsidP="00265885">
      <w:pPr>
        <w:spacing w:before="240" w:after="240" w:line="240" w:lineRule="auto"/>
        <w:jc w:val="both"/>
        <w:rPr>
          <w:rFonts w:asciiTheme="minorHAnsi" w:eastAsia="Times New Roman" w:hAnsiTheme="minorHAnsi"/>
          <w:b/>
          <w:caps/>
        </w:rPr>
      </w:pPr>
      <w:r w:rsidRPr="00265885">
        <w:rPr>
          <w:rFonts w:asciiTheme="minorHAnsi" w:eastAsia="Times New Roman" w:hAnsiTheme="minorHAnsi"/>
          <w:b/>
          <w:caps/>
        </w:rPr>
        <w:t>National Sovereignty in the contemporary world</w:t>
      </w:r>
    </w:p>
    <w:p w14:paraId="0000001B" w14:textId="6FD0D70F"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most important characteristic of a state is typically defined as its total self-sufficiency within the confines of a given region, i.e., its dominance in internal policy and independence in international policy. The 19th century saw a rise in the popularity of this idea. However, it already had a rather clear interpretation in the writings of Machiavelli, Bodin, Hobbes, and others at the start of the Modern Age. The concepts of state sovereignty gradually gained acceptance throughout Europe and, eventually, the world within the Westphalian system of international relations, which was created following the </w:t>
      </w:r>
      <w:r w:rsidR="00B25567" w:rsidRPr="00265885">
        <w:rPr>
          <w:rFonts w:asciiTheme="minorHAnsi" w:eastAsia="Times New Roman" w:hAnsiTheme="minorHAnsi"/>
          <w:sz w:val="21"/>
          <w:szCs w:val="21"/>
        </w:rPr>
        <w:t>Thirty-Year</w:t>
      </w:r>
      <w:r w:rsidRPr="00265885">
        <w:rPr>
          <w:rFonts w:asciiTheme="minorHAnsi" w:eastAsia="Times New Roman" w:hAnsiTheme="minorHAnsi"/>
          <w:sz w:val="21"/>
          <w:szCs w:val="21"/>
        </w:rPr>
        <w:t xml:space="preserve"> War and the Peace Treaties of Westphalia in 1648</w:t>
      </w:r>
      <w:r w:rsidR="000C435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 xml:space="preserve">(Nweze &amp; Okeke, 2009). </w:t>
      </w:r>
    </w:p>
    <w:p w14:paraId="0000001C" w14:textId="283B99DC"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It is essential to remember that international law's so-called "normative trajectory" was not fully formulated until the late 18th and early 19th centuries. That had a direct bearing on the Wars of the French Revolution, the Wars of Napoleon, and the construction of a new order in the wake of the Vienna Congress in 1815. Provisions that govern the sovereign equality of states and the right of countries to self-determination can now be found in the Charter of the United Nations and a few other international agreements. We consider that these provisions, in conjunction with the increasing level of external security in </w:t>
      </w:r>
      <w:proofErr w:type="gramStart"/>
      <w:r w:rsidRPr="00265885">
        <w:rPr>
          <w:rFonts w:asciiTheme="minorHAnsi" w:eastAsia="Times New Roman" w:hAnsiTheme="minorHAnsi"/>
          <w:sz w:val="21"/>
          <w:szCs w:val="21"/>
        </w:rPr>
        <w:t>the majority of</w:t>
      </w:r>
      <w:proofErr w:type="gramEnd"/>
      <w:r w:rsidRPr="00265885">
        <w:rPr>
          <w:rFonts w:asciiTheme="minorHAnsi" w:eastAsia="Times New Roman" w:hAnsiTheme="minorHAnsi"/>
          <w:sz w:val="21"/>
          <w:szCs w:val="21"/>
        </w:rPr>
        <w:t xml:space="preserve"> nations, have sufficiently contributed to the consolidation of the concept of national sovereignty in international affairs throughout the second half of the 20th century. </w:t>
      </w:r>
      <w:proofErr w:type="gramStart"/>
      <w:r w:rsidRPr="00265885">
        <w:rPr>
          <w:rFonts w:asciiTheme="minorHAnsi" w:eastAsia="Times New Roman" w:hAnsiTheme="minorHAnsi"/>
          <w:sz w:val="21"/>
          <w:szCs w:val="21"/>
        </w:rPr>
        <w:t>In point of fact</w:t>
      </w:r>
      <w:proofErr w:type="gramEnd"/>
      <w:r w:rsidRPr="00265885">
        <w:rPr>
          <w:rFonts w:asciiTheme="minorHAnsi" w:eastAsia="Times New Roman" w:hAnsiTheme="minorHAnsi"/>
          <w:sz w:val="21"/>
          <w:szCs w:val="21"/>
        </w:rPr>
        <w:t>, there is a trend toward both the acknowledgment of sovereign rights and the voluntarily restrained exercise of those powers by the sovereigns themselves</w:t>
      </w:r>
      <w:r w:rsidR="000C4359"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These powers include the ability to declare war and peace.</w:t>
      </w:r>
    </w:p>
    <w:p w14:paraId="0000001D"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One of the most challenging and ambiguous concepts is sovereignty, which has changed. It is still changing in response to changes in international relations and state characteristics, as well as in relation to the difficulty of defining the concept of state. The implied supreme sovereign may be a feudal monarch with the power to grant or split states when dividing the inheritance. This enlightened absolute monarch represents the people's interests or the country itself. Additionally, the ultimate sovereignty that states purport to have has historically been severely and even fatally constrained by various causes. Different perspectives and forms of sovereignty can be considered.</w:t>
      </w:r>
    </w:p>
    <w:p w14:paraId="0000001E" w14:textId="1F90D031" w:rsidR="00A2167D" w:rsidRPr="00265885" w:rsidRDefault="00750CA3" w:rsidP="00265885">
      <w:pPr>
        <w:spacing w:before="240" w:after="240" w:line="240" w:lineRule="auto"/>
        <w:jc w:val="both"/>
        <w:rPr>
          <w:rFonts w:asciiTheme="minorHAnsi" w:eastAsia="Times New Roman" w:hAnsiTheme="minorHAnsi"/>
          <w:b/>
          <w:sz w:val="21"/>
          <w:szCs w:val="21"/>
        </w:rPr>
      </w:pPr>
      <w:r w:rsidRPr="00265885">
        <w:rPr>
          <w:rFonts w:asciiTheme="minorHAnsi" w:eastAsia="Times New Roman" w:hAnsiTheme="minorHAnsi"/>
          <w:b/>
          <w:caps/>
        </w:rPr>
        <w:t>Conflict areas and issues between global and national</w:t>
      </w:r>
    </w:p>
    <w:p w14:paraId="0000001F" w14:textId="2E008224"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ability of national governments to control their political systems and steer and influence their economies (particularly </w:t>
      </w:r>
      <w:r w:rsidR="009A4D9A" w:rsidRPr="00265885">
        <w:rPr>
          <w:rFonts w:asciiTheme="minorHAnsi" w:eastAsia="Times New Roman" w:hAnsiTheme="minorHAnsi"/>
          <w:sz w:val="21"/>
          <w:szCs w:val="21"/>
        </w:rPr>
        <w:t>regarding</w:t>
      </w:r>
      <w:r w:rsidRPr="00265885">
        <w:rPr>
          <w:rFonts w:asciiTheme="minorHAnsi" w:eastAsia="Times New Roman" w:hAnsiTheme="minorHAnsi"/>
          <w:sz w:val="21"/>
          <w:szCs w:val="21"/>
        </w:rPr>
        <w:t xml:space="preserve"> macroeconomic management) has decreased due to globalization. There is a shred of clear evidence that the level to which politics are now primarily market-driven globally is where the impact of globalization is most felt. Governments are no longer unable to govern their countries, but to remain in power, they increasingly need to "manage" national politics </w:t>
      </w:r>
      <w:proofErr w:type="gramStart"/>
      <w:r w:rsidRPr="00265885">
        <w:rPr>
          <w:rFonts w:asciiTheme="minorHAnsi" w:eastAsia="Times New Roman" w:hAnsiTheme="minorHAnsi"/>
          <w:sz w:val="21"/>
          <w:szCs w:val="21"/>
        </w:rPr>
        <w:t>in order to</w:t>
      </w:r>
      <w:proofErr w:type="gramEnd"/>
      <w:r w:rsidRPr="00265885">
        <w:rPr>
          <w:rFonts w:asciiTheme="minorHAnsi" w:eastAsia="Times New Roman" w:hAnsiTheme="minorHAnsi"/>
          <w:sz w:val="21"/>
          <w:szCs w:val="21"/>
        </w:rPr>
        <w:t xml:space="preserve"> conform them to the demands of global market forces. Political globalization is a result of the institutionalization of international political structures. Since the beginning of the nineteenth century, the European interstate system has created a set of international political frameworks that govern all contact forms and an increasing consensus international normative order. Craig Murphy has dubbed this phenomenon "global government." It alludes to the expansion of both general and specialized international organizations (Gopalan, 2004)</w:t>
      </w:r>
      <w:r w:rsidR="009A4D9A" w:rsidRPr="00265885">
        <w:rPr>
          <w:rFonts w:asciiTheme="minorHAnsi" w:eastAsia="Times New Roman" w:hAnsiTheme="minorHAnsi"/>
          <w:sz w:val="21"/>
          <w:szCs w:val="21"/>
        </w:rPr>
        <w:t>, (</w:t>
      </w:r>
      <w:r w:rsidR="009A4D9A" w:rsidRPr="00265885">
        <w:rPr>
          <w:rFonts w:asciiTheme="minorHAnsi" w:hAnsiTheme="minorHAnsi"/>
          <w:sz w:val="21"/>
          <w:szCs w:val="21"/>
        </w:rPr>
        <w:t>Chase-Dunn, 1999)</w:t>
      </w:r>
      <w:r w:rsidR="009A4D9A" w:rsidRPr="00265885">
        <w:rPr>
          <w:rFonts w:asciiTheme="minorHAnsi" w:eastAsia="Times New Roman" w:hAnsiTheme="minorHAnsi"/>
          <w:sz w:val="21"/>
          <w:szCs w:val="21"/>
        </w:rPr>
        <w:t>.</w:t>
      </w:r>
    </w:p>
    <w:p w14:paraId="00000020" w14:textId="171DF608"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United Nations came into existence to take the role of the League of Nations, which at the time was the most influential of the newly established general and international institutions. Examples of regional organizations include the Organization of American States, the Arab League, the African Union, and the European Union. These organizations have the potential to influence and dictate how member states are governed, which has the effect of fostering the development of </w:t>
      </w:r>
      <w:r w:rsidRPr="00265885">
        <w:rPr>
          <w:rFonts w:asciiTheme="minorHAnsi" w:eastAsia="Times New Roman" w:hAnsiTheme="minorHAnsi"/>
          <w:sz w:val="21"/>
          <w:szCs w:val="21"/>
        </w:rPr>
        <w:lastRenderedPageBreak/>
        <w:t>institutions. The trend of political globalization is as stated. Non-member states are excluded from this collaboration and are viewed as outliers. In the future, more states will aspire to follow the standards established by these organizations. The effects are already being noticed in the human rights sector. A state is no longer free to treat its citizens and foreigners whatever it pleases due to the internationalization of human rights</w:t>
      </w:r>
      <w:r w:rsidR="005E5DD0"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(Keerthiraj &amp; Devaiah, 2022). It must adhere to the international norms outlined in the numerous human rights treaties, most of which are now recognized as part of customary law. A state of political sovereignty being subordinated to the institutions' rules will eventually result from a persistent concentration of sovereignty in international institutions.</w:t>
      </w:r>
    </w:p>
    <w:p w14:paraId="00000021" w14:textId="45EF7EE7" w:rsidR="00A2167D" w:rsidRPr="00265885" w:rsidRDefault="00750CA3" w:rsidP="00265885">
      <w:pPr>
        <w:spacing w:before="240" w:after="240" w:line="240" w:lineRule="auto"/>
        <w:jc w:val="both"/>
        <w:rPr>
          <w:rFonts w:asciiTheme="minorHAnsi" w:eastAsia="Times New Roman" w:hAnsiTheme="minorHAnsi"/>
          <w:b/>
          <w:caps/>
        </w:rPr>
      </w:pPr>
      <w:r w:rsidRPr="00265885">
        <w:rPr>
          <w:rFonts w:asciiTheme="minorHAnsi" w:eastAsia="Times New Roman" w:hAnsiTheme="minorHAnsi"/>
          <w:b/>
          <w:caps/>
        </w:rPr>
        <w:t>Harmonization of International Commercial Law and National Sovereignty</w:t>
      </w:r>
    </w:p>
    <w:p w14:paraId="00000022" w14:textId="7AD23F8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Harmonization is a process that can lead to the unification of law if certain conditions are satisfied, such as, for example, widespread or universal geographical acceptance of harmonizing instruments and a broad scope of harmonizing instruments that effectively replace all pre-existing law. If these conditions are met, harmonization is a process that could lead to the unification of law. Instruments that harmonize aim to achieve two different things. The second goal is to create a law reform when existing legislation cannot address changing commercial activities. The first goal is the unification of law</w:t>
      </w:r>
      <w:r w:rsidR="005E5DD0"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 xml:space="preserve">(Fazio, 2007). </w:t>
      </w:r>
    </w:p>
    <w:p w14:paraId="00000023" w14:textId="6643612C"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This section examines this crucial confrontation of international commercial law and nation-state sovereignty with a special focus on the possibilities of harmonization. The paper also explores the dynamics and challenges of the harmonization process in this context. Ziegel defines that "Harmonization in this field of law is a word with considerable elasticity. In its most complete sense, it means absolute uniformity of legislation among the adopting jurisdictions."</w:t>
      </w:r>
      <w:r w:rsidR="005E5DD0" w:rsidRPr="00265885">
        <w:rPr>
          <w:rFonts w:asciiTheme="minorHAnsi" w:eastAsia="Times New Roman" w:hAnsiTheme="minorHAnsi"/>
          <w:sz w:val="21"/>
          <w:szCs w:val="21"/>
        </w:rPr>
        <w:t xml:space="preserve"> (</w:t>
      </w:r>
      <w:r w:rsidR="005E5DD0" w:rsidRPr="00265885">
        <w:rPr>
          <w:rFonts w:asciiTheme="minorHAnsi" w:hAnsiTheme="minorHAnsi"/>
          <w:sz w:val="21"/>
          <w:szCs w:val="21"/>
        </w:rPr>
        <w:t>Ziegel</w:t>
      </w:r>
      <w:r w:rsidR="005E5DD0" w:rsidRPr="00265885">
        <w:rPr>
          <w:rFonts w:asciiTheme="minorHAnsi" w:eastAsia="Times New Roman" w:hAnsiTheme="minorHAnsi"/>
          <w:sz w:val="21"/>
          <w:szCs w:val="21"/>
        </w:rPr>
        <w:t>, 1997).</w:t>
      </w:r>
    </w:p>
    <w:p w14:paraId="00000024" w14:textId="788F20EC"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Internationalism in law has </w:t>
      </w:r>
      <w:r w:rsidR="001D2F64" w:rsidRPr="00265885">
        <w:rPr>
          <w:rFonts w:asciiTheme="minorHAnsi" w:eastAsia="Times New Roman" w:hAnsiTheme="minorHAnsi"/>
          <w:sz w:val="21"/>
          <w:szCs w:val="21"/>
        </w:rPr>
        <w:t>never</w:t>
      </w:r>
      <w:r w:rsidRPr="00265885">
        <w:rPr>
          <w:rFonts w:asciiTheme="minorHAnsi" w:eastAsia="Times New Roman" w:hAnsiTheme="minorHAnsi"/>
          <w:sz w:val="21"/>
          <w:szCs w:val="21"/>
        </w:rPr>
        <w:t xml:space="preserve"> experienced such a boost in human history, thanks to the conclusion of the cold war and the ensuing growth in international trade. More than ever, people are interested in the diverse approaches taken by the many national laws to address the shared issues faced by global trade. ' The abundance of legal harmonization initiatives currently underway in domains as diverse as civil procedure, receivables financing, space asset financing, and insolvency law is a straightforward tribute to this intellectual curiosity and spirit of internationalism. The harmonizing framework is being used in a growing number of legal disciplines. It was unthinkable ten years ago that international accords on subjects covered by property law or civil procedure would ever be feasible</w:t>
      </w:r>
      <w:r w:rsidR="001D2F64"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w:t>
      </w:r>
      <w:proofErr w:type="spellStart"/>
      <w:r w:rsidRPr="00265885">
        <w:rPr>
          <w:rFonts w:asciiTheme="minorHAnsi" w:eastAsia="Times New Roman" w:hAnsiTheme="minorHAnsi"/>
          <w:sz w:val="21"/>
          <w:szCs w:val="21"/>
        </w:rPr>
        <w:t>Levmore</w:t>
      </w:r>
      <w:proofErr w:type="spellEnd"/>
      <w:r w:rsidRPr="00265885">
        <w:rPr>
          <w:rFonts w:asciiTheme="minorHAnsi" w:eastAsia="Times New Roman" w:hAnsiTheme="minorHAnsi"/>
          <w:sz w:val="21"/>
          <w:szCs w:val="21"/>
        </w:rPr>
        <w:t xml:space="preserve">, 2012). </w:t>
      </w:r>
    </w:p>
    <w:p w14:paraId="00000025"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That resulted from the idea that these legal topics reflect elements of a country's sociopolitical history and culture and that any attempt at harmonization might be ineffective due to strong national sensibilities. Today, such a notion is no longer valid. Property law issues are being attacked with tremendous effort, and international tools are being developed quickly. One example was the Cape Town Convention in 2001. The most recent Hague Convention on conflict rules regarding securities owned by intermediaries is yet another.</w:t>
      </w:r>
    </w:p>
    <w:p w14:paraId="00000026" w14:textId="77777777" w:rsidR="00A2167D" w:rsidRPr="00265885" w:rsidRDefault="00750CA3" w:rsidP="00265885">
      <w:pPr>
        <w:spacing w:line="240" w:lineRule="auto"/>
        <w:ind w:firstLine="720"/>
        <w:jc w:val="both"/>
        <w:rPr>
          <w:rFonts w:asciiTheme="minorHAnsi" w:eastAsia="Times New Roman" w:hAnsiTheme="minorHAnsi"/>
          <w:i/>
          <w:iCs/>
          <w:sz w:val="21"/>
          <w:szCs w:val="21"/>
        </w:rPr>
      </w:pPr>
      <w:r w:rsidRPr="00265885">
        <w:rPr>
          <w:rFonts w:asciiTheme="minorHAnsi" w:eastAsia="Times New Roman" w:hAnsiTheme="minorHAnsi"/>
          <w:i/>
          <w:iCs/>
          <w:sz w:val="21"/>
          <w:szCs w:val="21"/>
        </w:rPr>
        <w:t>The process of harmonization</w:t>
      </w:r>
    </w:p>
    <w:p w14:paraId="00000027"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The nature and traits of the harmonization of international commercial law are covered in this section. It is evident that efforts to harmonize varied significantly between those that took place after the cold war ended and those that did so during or before it. The attempts to harmonize during and before the Cold War are not heavily discussed in this essay, except for any lessons that might be learned for present initiatives. A thorough examination of efforts at harmonization during and before the Cold War is unnecessary for two reasons: The degree of globalization that defines the present world renders many issues from the cold war era obsolete.</w:t>
      </w:r>
    </w:p>
    <w:p w14:paraId="00000028"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Scholarly discourse at the time was organized along ideological lines that have no relevance in today's modern world. The idea that we live in a "global village" is possibly the most significant aspect of contemporary life. Despite his contention that "globalization" is an abstract phrase that </w:t>
      </w:r>
      <w:r w:rsidRPr="00265885">
        <w:rPr>
          <w:rFonts w:asciiTheme="minorHAnsi" w:eastAsia="Times New Roman" w:hAnsiTheme="minorHAnsi"/>
          <w:sz w:val="21"/>
          <w:szCs w:val="21"/>
        </w:rPr>
        <w:lastRenderedPageBreak/>
        <w:t xml:space="preserve">has become a cliche rather than a thought with real reality, Professor Berger agrees that it has led to the "denationalization of the judicial process." The geopolitical and economic aspects of globalization at the dawn of the twenty-first century, associated with the diminishing significance of territoriality and the emergence of "global civil society," he claims, have made a decentralized approach to law-making acceptable and even open the door to the acceptance of the "lex </w:t>
      </w:r>
      <w:proofErr w:type="spellStart"/>
      <w:r w:rsidRPr="00265885">
        <w:rPr>
          <w:rFonts w:asciiTheme="minorHAnsi" w:eastAsia="Times New Roman" w:hAnsiTheme="minorHAnsi"/>
          <w:sz w:val="21"/>
          <w:szCs w:val="21"/>
        </w:rPr>
        <w:t>mercatoria</w:t>
      </w:r>
      <w:proofErr w:type="spellEnd"/>
      <w:r w:rsidRPr="00265885">
        <w:rPr>
          <w:rFonts w:asciiTheme="minorHAnsi" w:eastAsia="Times New Roman" w:hAnsiTheme="minorHAnsi"/>
          <w:sz w:val="21"/>
          <w:szCs w:val="21"/>
        </w:rPr>
        <w:t xml:space="preserve">" as an autonomous legal order in international trade. According to E1 DiMatteo, "at the end of the twentieth century, globalization and the volume of international transactions have given rise to the idea of a new lex </w:t>
      </w:r>
      <w:proofErr w:type="spellStart"/>
      <w:r w:rsidRPr="00265885">
        <w:rPr>
          <w:rFonts w:asciiTheme="minorHAnsi" w:eastAsia="Times New Roman" w:hAnsiTheme="minorHAnsi"/>
          <w:sz w:val="21"/>
          <w:szCs w:val="21"/>
        </w:rPr>
        <w:t>mercatoria</w:t>
      </w:r>
      <w:proofErr w:type="spellEnd"/>
      <w:r w:rsidRPr="00265885">
        <w:rPr>
          <w:rFonts w:asciiTheme="minorHAnsi" w:eastAsia="Times New Roman" w:hAnsiTheme="minorHAnsi"/>
          <w:sz w:val="21"/>
          <w:szCs w:val="21"/>
        </w:rPr>
        <w:t>, largely because the internationalization of commercial law is necessary for the continued growth of international trade."</w:t>
      </w:r>
    </w:p>
    <w:p w14:paraId="00000029" w14:textId="77777777" w:rsidR="00A2167D" w:rsidRPr="00265885" w:rsidRDefault="00750CA3" w:rsidP="00265885">
      <w:pPr>
        <w:spacing w:line="240" w:lineRule="auto"/>
        <w:ind w:firstLine="720"/>
        <w:jc w:val="both"/>
        <w:rPr>
          <w:rFonts w:asciiTheme="minorHAnsi" w:eastAsia="Times New Roman" w:hAnsiTheme="minorHAnsi"/>
          <w:i/>
          <w:iCs/>
          <w:sz w:val="21"/>
          <w:szCs w:val="21"/>
        </w:rPr>
      </w:pPr>
      <w:r w:rsidRPr="00265885">
        <w:rPr>
          <w:rFonts w:asciiTheme="minorHAnsi" w:eastAsia="Times New Roman" w:hAnsiTheme="minorHAnsi"/>
          <w:i/>
          <w:iCs/>
          <w:sz w:val="21"/>
          <w:szCs w:val="21"/>
        </w:rPr>
        <w:t>Different levels of harmonization</w:t>
      </w:r>
    </w:p>
    <w:p w14:paraId="0000002A" w14:textId="77777777"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According to the broad consensus, conventions serve as the foundation for logical laws and principles. Conventions, however, lack the effectiveness of harmonization because they do not ensure either universal implementation or harmonized application in various nations. At least six different approaches to harmonization exist, with varying degrees of intensity:</w:t>
      </w:r>
    </w:p>
    <w:p w14:paraId="0000002B"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Law or legislation</w:t>
      </w:r>
    </w:p>
    <w:p w14:paraId="0000002C"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Conventions</w:t>
      </w:r>
    </w:p>
    <w:p w14:paraId="0000002D"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Standard Contract Clauses</w:t>
      </w:r>
    </w:p>
    <w:p w14:paraId="0000002E"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International Customs</w:t>
      </w:r>
    </w:p>
    <w:p w14:paraId="0000002F"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Uniform Acts</w:t>
      </w:r>
    </w:p>
    <w:p w14:paraId="00000030"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International Legal Principles</w:t>
      </w:r>
    </w:p>
    <w:p w14:paraId="00000031"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Regulations &amp; Directives</w:t>
      </w:r>
    </w:p>
    <w:p w14:paraId="00000032"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Court Decisions and Arbitration Awards</w:t>
      </w:r>
    </w:p>
    <w:p w14:paraId="00000033" w14:textId="77777777" w:rsidR="00A2167D" w:rsidRPr="00265885" w:rsidRDefault="00750CA3" w:rsidP="00265885">
      <w:pPr>
        <w:numPr>
          <w:ilvl w:val="0"/>
          <w:numId w:val="1"/>
        </w:num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Legal Principles and Guides.</w:t>
      </w:r>
    </w:p>
    <w:p w14:paraId="00000034" w14:textId="77777777" w:rsidR="00A2167D" w:rsidRPr="00265885" w:rsidRDefault="00750CA3" w:rsidP="00265885">
      <w:pPr>
        <w:spacing w:line="240" w:lineRule="auto"/>
        <w:ind w:firstLine="360"/>
        <w:jc w:val="both"/>
        <w:rPr>
          <w:rFonts w:asciiTheme="minorHAnsi" w:eastAsia="Times New Roman" w:hAnsiTheme="minorHAnsi"/>
          <w:sz w:val="21"/>
          <w:szCs w:val="21"/>
        </w:rPr>
      </w:pPr>
      <w:r w:rsidRPr="00265885">
        <w:rPr>
          <w:rFonts w:asciiTheme="minorHAnsi" w:eastAsia="Times New Roman" w:hAnsiTheme="minorHAnsi"/>
          <w:sz w:val="21"/>
          <w:szCs w:val="21"/>
        </w:rPr>
        <w:t>Although the levels are comparable to common legal sources, their usage and content can be unexpected.</w:t>
      </w:r>
    </w:p>
    <w:p w14:paraId="00000035" w14:textId="4DD44D10" w:rsidR="00A2167D" w:rsidRPr="00265885" w:rsidRDefault="00750CA3" w:rsidP="00265885">
      <w:pPr>
        <w:spacing w:before="240" w:after="240" w:line="240" w:lineRule="auto"/>
        <w:jc w:val="both"/>
        <w:rPr>
          <w:rFonts w:asciiTheme="minorHAnsi" w:eastAsia="Times New Roman" w:hAnsiTheme="minorHAnsi"/>
          <w:b/>
          <w:caps/>
        </w:rPr>
      </w:pPr>
      <w:r w:rsidRPr="00265885">
        <w:rPr>
          <w:rFonts w:asciiTheme="minorHAnsi" w:eastAsia="Times New Roman" w:hAnsiTheme="minorHAnsi"/>
          <w:b/>
          <w:caps/>
        </w:rPr>
        <w:t>Institutions for Harmonization Process</w:t>
      </w:r>
    </w:p>
    <w:p w14:paraId="00000036" w14:textId="06332816"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Various non-governmental and intergovernmental organizations work at different levels to harmonize international commercial laws and national sovereignty</w:t>
      </w:r>
      <w:r w:rsidR="001D2F64" w:rsidRPr="00265885">
        <w:rPr>
          <w:rFonts w:asciiTheme="minorHAnsi" w:eastAsia="Times New Roman" w:hAnsiTheme="minorHAnsi"/>
          <w:sz w:val="21"/>
          <w:szCs w:val="21"/>
        </w:rPr>
        <w:t xml:space="preserve"> </w:t>
      </w:r>
      <w:r w:rsidRPr="00265885">
        <w:rPr>
          <w:rFonts w:asciiTheme="minorHAnsi" w:eastAsia="Times New Roman" w:hAnsiTheme="minorHAnsi"/>
          <w:sz w:val="21"/>
          <w:szCs w:val="21"/>
        </w:rPr>
        <w:t>(</w:t>
      </w:r>
      <w:proofErr w:type="spellStart"/>
      <w:r w:rsidRPr="00265885">
        <w:rPr>
          <w:rFonts w:asciiTheme="minorHAnsi" w:eastAsia="Times New Roman" w:hAnsiTheme="minorHAnsi"/>
          <w:sz w:val="21"/>
          <w:szCs w:val="21"/>
        </w:rPr>
        <w:t>Loshkarev</w:t>
      </w:r>
      <w:proofErr w:type="spellEnd"/>
      <w:r w:rsidRPr="00265885">
        <w:rPr>
          <w:rFonts w:asciiTheme="minorHAnsi" w:eastAsia="Times New Roman" w:hAnsiTheme="minorHAnsi"/>
          <w:sz w:val="21"/>
          <w:szCs w:val="21"/>
        </w:rPr>
        <w:t>, 2019)</w:t>
      </w:r>
      <w:r w:rsidR="001D2F64" w:rsidRPr="00265885">
        <w:rPr>
          <w:rFonts w:asciiTheme="minorHAnsi" w:eastAsia="Times New Roman" w:hAnsiTheme="minorHAnsi"/>
          <w:sz w:val="21"/>
          <w:szCs w:val="21"/>
        </w:rPr>
        <w:t>.</w:t>
      </w:r>
    </w:p>
    <w:p w14:paraId="00000037" w14:textId="59523C3F" w:rsidR="00A2167D" w:rsidRPr="00265885" w:rsidRDefault="00750CA3" w:rsidP="00265885">
      <w:pPr>
        <w:spacing w:line="240" w:lineRule="auto"/>
        <w:ind w:firstLine="720"/>
        <w:jc w:val="both"/>
        <w:rPr>
          <w:rFonts w:asciiTheme="minorHAnsi" w:eastAsia="Times New Roman" w:hAnsiTheme="minorHAnsi"/>
          <w:i/>
          <w:iCs/>
          <w:sz w:val="21"/>
          <w:szCs w:val="21"/>
        </w:rPr>
      </w:pPr>
      <w:r w:rsidRPr="00265885">
        <w:rPr>
          <w:rFonts w:asciiTheme="minorHAnsi" w:eastAsia="Times New Roman" w:hAnsiTheme="minorHAnsi"/>
          <w:i/>
          <w:iCs/>
          <w:sz w:val="21"/>
          <w:szCs w:val="21"/>
        </w:rPr>
        <w:t>United Nations</w:t>
      </w:r>
      <w:r w:rsidR="00F114FE" w:rsidRPr="00265885">
        <w:rPr>
          <w:rFonts w:asciiTheme="minorHAnsi" w:eastAsia="Times New Roman" w:hAnsiTheme="minorHAnsi"/>
          <w:i/>
          <w:iCs/>
          <w:sz w:val="21"/>
          <w:szCs w:val="21"/>
        </w:rPr>
        <w:t xml:space="preserve"> Commission of International Trade Law (UNCITRAL)</w:t>
      </w:r>
    </w:p>
    <w:p w14:paraId="00000038" w14:textId="77777777" w:rsidR="00A2167D" w:rsidRPr="00265885" w:rsidRDefault="00750CA3" w:rsidP="00265885">
      <w:p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UNCITRAL, an intergovernmental institution, publishes conventions, model laws, and other legal papers. Especially when the parties to the arbitration </w:t>
      </w:r>
      <w:proofErr w:type="gramStart"/>
      <w:r w:rsidRPr="00265885">
        <w:rPr>
          <w:rFonts w:asciiTheme="minorHAnsi" w:eastAsia="Times New Roman" w:hAnsiTheme="minorHAnsi"/>
          <w:sz w:val="21"/>
          <w:szCs w:val="21"/>
        </w:rPr>
        <w:t>are located in</w:t>
      </w:r>
      <w:proofErr w:type="gramEnd"/>
      <w:r w:rsidRPr="00265885">
        <w:rPr>
          <w:rFonts w:asciiTheme="minorHAnsi" w:eastAsia="Times New Roman" w:hAnsiTheme="minorHAnsi"/>
          <w:sz w:val="21"/>
          <w:szCs w:val="21"/>
        </w:rPr>
        <w:t xml:space="preserve"> different countries, it produces model legislation for international commercial arbitration.</w:t>
      </w:r>
    </w:p>
    <w:p w14:paraId="00000039" w14:textId="06DF1DE3" w:rsidR="00A2167D" w:rsidRPr="00265885" w:rsidRDefault="00750CA3" w:rsidP="00265885">
      <w:pPr>
        <w:spacing w:line="240" w:lineRule="auto"/>
        <w:ind w:firstLine="720"/>
        <w:jc w:val="both"/>
        <w:rPr>
          <w:rFonts w:asciiTheme="minorHAnsi" w:eastAsia="Times New Roman" w:hAnsiTheme="minorHAnsi"/>
          <w:i/>
          <w:iCs/>
          <w:sz w:val="21"/>
          <w:szCs w:val="21"/>
        </w:rPr>
      </w:pPr>
      <w:r w:rsidRPr="00265885">
        <w:rPr>
          <w:rFonts w:asciiTheme="minorHAnsi" w:eastAsia="Times New Roman" w:hAnsiTheme="minorHAnsi"/>
          <w:i/>
          <w:iCs/>
          <w:sz w:val="21"/>
          <w:szCs w:val="21"/>
        </w:rPr>
        <w:t>International Institute for</w:t>
      </w:r>
      <w:r w:rsidR="00F114FE" w:rsidRPr="00265885">
        <w:rPr>
          <w:rFonts w:asciiTheme="minorHAnsi" w:eastAsia="Times New Roman" w:hAnsiTheme="minorHAnsi"/>
          <w:i/>
          <w:iCs/>
          <w:sz w:val="21"/>
          <w:szCs w:val="21"/>
        </w:rPr>
        <w:t xml:space="preserve"> </w:t>
      </w:r>
      <w:r w:rsidRPr="00265885">
        <w:rPr>
          <w:rFonts w:asciiTheme="minorHAnsi" w:eastAsia="Times New Roman" w:hAnsiTheme="minorHAnsi"/>
          <w:i/>
          <w:iCs/>
          <w:sz w:val="21"/>
          <w:szCs w:val="21"/>
        </w:rPr>
        <w:t>the Unification</w:t>
      </w:r>
      <w:r w:rsidR="00F114FE" w:rsidRPr="00265885">
        <w:rPr>
          <w:rFonts w:asciiTheme="minorHAnsi" w:eastAsia="Times New Roman" w:hAnsiTheme="minorHAnsi"/>
          <w:i/>
          <w:iCs/>
          <w:sz w:val="21"/>
          <w:szCs w:val="21"/>
        </w:rPr>
        <w:t xml:space="preserve"> of Private Law (UNIDROIT)</w:t>
      </w:r>
    </w:p>
    <w:p w14:paraId="0000003A" w14:textId="77777777" w:rsidR="00A2167D" w:rsidRPr="00265885" w:rsidRDefault="00750CA3" w:rsidP="00265885">
      <w:p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In addition to basic private and company law, UNIDROIT is an international intergovernmental organization. In addition to research management and drafting standards, the goals of UNIDROIT include These treaties include international factoring, international finance leasing, and agency, which complement the Vienna Convention on Contracts for the International Sale of Goods.</w:t>
      </w:r>
    </w:p>
    <w:p w14:paraId="0000003B" w14:textId="1C76EFA3" w:rsidR="00A2167D" w:rsidRPr="00265885" w:rsidRDefault="00750CA3" w:rsidP="00265885">
      <w:pPr>
        <w:spacing w:line="240" w:lineRule="auto"/>
        <w:ind w:firstLine="720"/>
        <w:jc w:val="both"/>
        <w:rPr>
          <w:rFonts w:asciiTheme="minorHAnsi" w:eastAsia="Times New Roman" w:hAnsiTheme="minorHAnsi"/>
          <w:i/>
          <w:iCs/>
          <w:sz w:val="21"/>
          <w:szCs w:val="21"/>
        </w:rPr>
      </w:pPr>
      <w:r w:rsidRPr="00265885">
        <w:rPr>
          <w:rFonts w:asciiTheme="minorHAnsi" w:eastAsia="Times New Roman" w:hAnsiTheme="minorHAnsi"/>
          <w:i/>
          <w:iCs/>
          <w:sz w:val="21"/>
          <w:szCs w:val="21"/>
        </w:rPr>
        <w:t>International Chamber of</w:t>
      </w:r>
      <w:r w:rsidR="00F114FE" w:rsidRPr="00265885">
        <w:rPr>
          <w:rFonts w:asciiTheme="minorHAnsi" w:eastAsia="Times New Roman" w:hAnsiTheme="minorHAnsi"/>
          <w:i/>
          <w:iCs/>
          <w:sz w:val="21"/>
          <w:szCs w:val="21"/>
        </w:rPr>
        <w:t xml:space="preserve"> Commerce (ICC)</w:t>
      </w:r>
    </w:p>
    <w:p w14:paraId="0000003C" w14:textId="3732C110" w:rsidR="00A2167D" w:rsidRPr="00265885" w:rsidRDefault="00750CA3" w:rsidP="00265885">
      <w:pPr>
        <w:spacing w:line="240" w:lineRule="auto"/>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The ICC, a non-governmental organization, encourages the flow of </w:t>
      </w:r>
      <w:r w:rsidR="001D2F64" w:rsidRPr="00265885">
        <w:rPr>
          <w:rFonts w:asciiTheme="minorHAnsi" w:eastAsia="Times New Roman" w:hAnsiTheme="minorHAnsi"/>
          <w:sz w:val="21"/>
          <w:szCs w:val="21"/>
        </w:rPr>
        <w:t>capital</w:t>
      </w:r>
      <w:r w:rsidRPr="00265885">
        <w:rPr>
          <w:rFonts w:asciiTheme="minorHAnsi" w:eastAsia="Times New Roman" w:hAnsiTheme="minorHAnsi"/>
          <w:sz w:val="21"/>
          <w:szCs w:val="21"/>
        </w:rPr>
        <w:t xml:space="preserve"> and opens markets to boost trade. The ICC uses soft law techniques to harmonize and integrate business law through a non-law generating authority (Nakagawa, 2011).</w:t>
      </w:r>
    </w:p>
    <w:p w14:paraId="0000003D" w14:textId="66D1FF9B" w:rsidR="00A2167D" w:rsidRPr="00265885" w:rsidRDefault="00750CA3" w:rsidP="00265885">
      <w:pPr>
        <w:spacing w:before="240" w:after="240" w:line="240" w:lineRule="auto"/>
        <w:jc w:val="both"/>
        <w:rPr>
          <w:rFonts w:asciiTheme="minorHAnsi" w:eastAsia="Times New Roman" w:hAnsiTheme="minorHAnsi"/>
          <w:b/>
          <w:caps/>
        </w:rPr>
      </w:pPr>
      <w:r w:rsidRPr="00265885">
        <w:rPr>
          <w:rFonts w:asciiTheme="minorHAnsi" w:eastAsia="Times New Roman" w:hAnsiTheme="minorHAnsi"/>
          <w:b/>
          <w:caps/>
        </w:rPr>
        <w:t>Conclusion</w:t>
      </w:r>
    </w:p>
    <w:p w14:paraId="0000003E" w14:textId="5C25F0BD"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If nations and international organizations wish to gain from globalization, there must be worldwide standardization. Harmonization of international standards, requirements, and legislation is essential to international trade. International law and national sovereignty have been harmonized so businesses can better understand the bare necessities of global marketplaces regarding regulation and customer needs. As a result of this, enterprises can produce items for </w:t>
      </w:r>
      <w:r w:rsidRPr="00265885">
        <w:rPr>
          <w:rFonts w:asciiTheme="minorHAnsi" w:eastAsia="Times New Roman" w:hAnsiTheme="minorHAnsi"/>
          <w:sz w:val="21"/>
          <w:szCs w:val="21"/>
        </w:rPr>
        <w:lastRenderedPageBreak/>
        <w:t xml:space="preserve">these markets. Numerous </w:t>
      </w:r>
      <w:proofErr w:type="gramStart"/>
      <w:r w:rsidR="001D2F64" w:rsidRPr="00265885">
        <w:rPr>
          <w:rFonts w:asciiTheme="minorHAnsi" w:eastAsia="Times New Roman" w:hAnsiTheme="minorHAnsi"/>
          <w:sz w:val="21"/>
          <w:szCs w:val="21"/>
        </w:rPr>
        <w:t>public</w:t>
      </w:r>
      <w:proofErr w:type="gramEnd"/>
      <w:r w:rsidRPr="00265885">
        <w:rPr>
          <w:rFonts w:asciiTheme="minorHAnsi" w:eastAsia="Times New Roman" w:hAnsiTheme="minorHAnsi"/>
          <w:sz w:val="21"/>
          <w:szCs w:val="21"/>
        </w:rPr>
        <w:t>, corporate, and government-to-government groups work on the harmonization of standards. These initiatives' main goal is to lower trade obstacles so that food goods can travel freely between nations.</w:t>
      </w:r>
    </w:p>
    <w:p w14:paraId="0000003F" w14:textId="6DB19C25" w:rsidR="00A2167D" w:rsidRPr="00265885" w:rsidRDefault="00750CA3" w:rsidP="00265885">
      <w:pPr>
        <w:spacing w:line="240" w:lineRule="auto"/>
        <w:ind w:firstLine="720"/>
        <w:jc w:val="both"/>
        <w:rPr>
          <w:rFonts w:asciiTheme="minorHAnsi" w:eastAsia="Times New Roman" w:hAnsiTheme="minorHAnsi"/>
          <w:sz w:val="21"/>
          <w:szCs w:val="21"/>
        </w:rPr>
      </w:pPr>
      <w:r w:rsidRPr="00265885">
        <w:rPr>
          <w:rFonts w:asciiTheme="minorHAnsi" w:eastAsia="Times New Roman" w:hAnsiTheme="minorHAnsi"/>
          <w:sz w:val="21"/>
          <w:szCs w:val="21"/>
        </w:rPr>
        <w:t xml:space="preserve">Companies who take advantage of new markets and nations that gain from growth in their gross domestic product profit financially from these efforts. In some sense, the short- and long-term development of international commercial law is again at a crossroads. Other authors have articulated the same hope over the years. The development of the harmonization Principles, however, would be helpful to any decision-maker with the motivation and skills to settle a dispute involving an international contract in the appropriate international setting. It is impossible to argue that such a choice is not legal. The </w:t>
      </w:r>
      <w:proofErr w:type="gramStart"/>
      <w:r w:rsidRPr="00265885">
        <w:rPr>
          <w:rFonts w:asciiTheme="minorHAnsi" w:eastAsia="Times New Roman" w:hAnsiTheme="minorHAnsi"/>
          <w:sz w:val="21"/>
          <w:szCs w:val="21"/>
        </w:rPr>
        <w:t>Principles</w:t>
      </w:r>
      <w:proofErr w:type="gramEnd"/>
      <w:r w:rsidRPr="00265885">
        <w:rPr>
          <w:rFonts w:asciiTheme="minorHAnsi" w:eastAsia="Times New Roman" w:hAnsiTheme="minorHAnsi"/>
          <w:sz w:val="21"/>
          <w:szCs w:val="21"/>
        </w:rPr>
        <w:t xml:space="preserve"> are actually a step toward comprehending the impact of the international component in contract law, even if they may not be widely adopted globally.</w:t>
      </w:r>
    </w:p>
    <w:p w14:paraId="5340C800" w14:textId="77777777" w:rsidR="00D34AA7" w:rsidRPr="00265885" w:rsidRDefault="00D34AA7" w:rsidP="00265885">
      <w:pPr>
        <w:pBdr>
          <w:top w:val="nil"/>
          <w:left w:val="nil"/>
          <w:bottom w:val="nil"/>
          <w:right w:val="nil"/>
          <w:between w:val="nil"/>
        </w:pBdr>
        <w:spacing w:line="240" w:lineRule="auto"/>
        <w:ind w:firstLine="720"/>
        <w:jc w:val="both"/>
        <w:rPr>
          <w:rFonts w:asciiTheme="minorHAnsi" w:hAnsiTheme="minorHAnsi"/>
          <w:b/>
          <w:bCs/>
          <w:color w:val="000000" w:themeColor="text1"/>
          <w:sz w:val="21"/>
          <w:szCs w:val="21"/>
        </w:rPr>
      </w:pPr>
      <w:r w:rsidRPr="00265885">
        <w:rPr>
          <w:rFonts w:asciiTheme="minorHAnsi" w:hAnsiTheme="minorHAnsi"/>
          <w:b/>
          <w:bCs/>
          <w:sz w:val="21"/>
          <w:szCs w:val="21"/>
        </w:rPr>
        <w:t>Acknowledgement</w:t>
      </w:r>
    </w:p>
    <w:p w14:paraId="77458043" w14:textId="77777777" w:rsidR="00D34AA7" w:rsidRPr="00265885" w:rsidRDefault="00D34AA7" w:rsidP="00265885">
      <w:pPr>
        <w:pBdr>
          <w:top w:val="nil"/>
          <w:left w:val="nil"/>
          <w:bottom w:val="nil"/>
          <w:right w:val="nil"/>
          <w:between w:val="nil"/>
        </w:pBdr>
        <w:spacing w:line="240" w:lineRule="auto"/>
        <w:ind w:firstLine="720"/>
        <w:jc w:val="both"/>
        <w:rPr>
          <w:rFonts w:asciiTheme="minorHAnsi" w:hAnsiTheme="minorHAnsi"/>
          <w:color w:val="000000" w:themeColor="text1"/>
          <w:sz w:val="21"/>
          <w:szCs w:val="21"/>
        </w:rPr>
      </w:pPr>
      <w:r w:rsidRPr="00265885">
        <w:rPr>
          <w:rFonts w:asciiTheme="minorHAnsi" w:hAnsiTheme="minorHAnsi"/>
          <w:sz w:val="21"/>
          <w:szCs w:val="21"/>
        </w:rPr>
        <w:t xml:space="preserve">This research is funded by Vietnam National University </w:t>
      </w:r>
      <w:proofErr w:type="spellStart"/>
      <w:r w:rsidRPr="00265885">
        <w:rPr>
          <w:rFonts w:asciiTheme="minorHAnsi" w:hAnsiTheme="minorHAnsi"/>
          <w:sz w:val="21"/>
          <w:szCs w:val="21"/>
        </w:rPr>
        <w:t>HoChiMinh</w:t>
      </w:r>
      <w:proofErr w:type="spellEnd"/>
      <w:r w:rsidRPr="00265885">
        <w:rPr>
          <w:rFonts w:asciiTheme="minorHAnsi" w:hAnsiTheme="minorHAnsi"/>
          <w:sz w:val="21"/>
          <w:szCs w:val="21"/>
        </w:rPr>
        <w:t xml:space="preserve"> City (VNU-HCM) under grant number C2020-34-07.</w:t>
      </w:r>
    </w:p>
    <w:p w14:paraId="51C02463" w14:textId="77777777" w:rsidR="00D34AA7" w:rsidRPr="00265885" w:rsidRDefault="00D34AA7" w:rsidP="00265885">
      <w:pPr>
        <w:spacing w:line="240" w:lineRule="auto"/>
        <w:ind w:firstLine="720"/>
        <w:jc w:val="both"/>
        <w:rPr>
          <w:rFonts w:asciiTheme="minorHAnsi" w:eastAsia="Times New Roman" w:hAnsiTheme="minorHAnsi"/>
          <w:sz w:val="21"/>
          <w:szCs w:val="21"/>
        </w:rPr>
      </w:pPr>
    </w:p>
    <w:p w14:paraId="42DD79AE" w14:textId="3E73D4A8" w:rsidR="00890676" w:rsidRPr="00182D9C" w:rsidRDefault="00750CA3" w:rsidP="00FA1C99">
      <w:pPr>
        <w:pStyle w:val="NormalWeb"/>
        <w:spacing w:before="0" w:beforeAutospacing="0" w:after="0" w:afterAutospacing="0" w:line="480" w:lineRule="auto"/>
        <w:rPr>
          <w:rFonts w:asciiTheme="minorHAnsi" w:hAnsiTheme="minorHAnsi" w:cs="Arial"/>
          <w:b/>
          <w:caps/>
          <w:sz w:val="22"/>
          <w:szCs w:val="22"/>
        </w:rPr>
      </w:pPr>
      <w:r w:rsidRPr="00182D9C">
        <w:rPr>
          <w:rFonts w:asciiTheme="minorHAnsi" w:hAnsiTheme="minorHAnsi" w:cs="Arial"/>
          <w:b/>
          <w:caps/>
          <w:sz w:val="22"/>
          <w:szCs w:val="22"/>
        </w:rPr>
        <w:t>Reference</w:t>
      </w:r>
      <w:r w:rsidR="00182D9C">
        <w:rPr>
          <w:rFonts w:asciiTheme="minorHAnsi" w:hAnsiTheme="minorHAnsi" w:cs="Arial"/>
          <w:b/>
          <w:caps/>
          <w:sz w:val="22"/>
          <w:szCs w:val="22"/>
        </w:rPr>
        <w:t>S</w:t>
      </w:r>
    </w:p>
    <w:p w14:paraId="00000041"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Bishop, L. (1961). International Law: Sovereignty: Judicial Examination of Foreign Act of State under International Law. Michigan Law Review, 60(2), 231. https://doi.org/10.2307/1286443</w:t>
      </w:r>
    </w:p>
    <w:p w14:paraId="00000042" w14:textId="2BF11B1B"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Bray, R., &amp; Shepard, P. (1953). Sovereignty and </w:t>
      </w:r>
      <w:r w:rsidR="000C4359" w:rsidRPr="00182D9C">
        <w:rPr>
          <w:rFonts w:asciiTheme="minorHAnsi" w:hAnsiTheme="minorHAnsi"/>
          <w:sz w:val="21"/>
          <w:szCs w:val="21"/>
        </w:rPr>
        <w:t>State-Owned</w:t>
      </w:r>
      <w:r w:rsidRPr="00182D9C">
        <w:rPr>
          <w:rFonts w:asciiTheme="minorHAnsi" w:hAnsiTheme="minorHAnsi"/>
          <w:sz w:val="21"/>
          <w:szCs w:val="21"/>
        </w:rPr>
        <w:t xml:space="preserve"> Commercial Entities. The American Journal </w:t>
      </w:r>
      <w:proofErr w:type="gramStart"/>
      <w:r w:rsidRPr="00182D9C">
        <w:rPr>
          <w:rFonts w:asciiTheme="minorHAnsi" w:hAnsiTheme="minorHAnsi"/>
          <w:sz w:val="21"/>
          <w:szCs w:val="21"/>
        </w:rPr>
        <w:t>Of</w:t>
      </w:r>
      <w:proofErr w:type="gramEnd"/>
      <w:r w:rsidRPr="00182D9C">
        <w:rPr>
          <w:rFonts w:asciiTheme="minorHAnsi" w:hAnsiTheme="minorHAnsi"/>
          <w:sz w:val="21"/>
          <w:szCs w:val="21"/>
        </w:rPr>
        <w:t xml:space="preserve"> Comparative Law, 2(1), 97. https://doi.org/10.2307/838010</w:t>
      </w:r>
    </w:p>
    <w:p w14:paraId="104851D3" w14:textId="77777777" w:rsidR="000C4359" w:rsidRPr="00182D9C" w:rsidRDefault="00750CA3" w:rsidP="00182D9C">
      <w:pPr>
        <w:spacing w:line="240" w:lineRule="auto"/>
        <w:ind w:left="709" w:hanging="709"/>
        <w:rPr>
          <w:rFonts w:asciiTheme="minorHAnsi" w:hAnsiTheme="minorHAnsi"/>
          <w:sz w:val="21"/>
          <w:szCs w:val="21"/>
        </w:rPr>
      </w:pPr>
      <w:r w:rsidRPr="00182D9C">
        <w:rPr>
          <w:rFonts w:asciiTheme="minorHAnsi" w:hAnsiTheme="minorHAnsi"/>
          <w:sz w:val="21"/>
          <w:szCs w:val="21"/>
        </w:rPr>
        <w:t>Chase-Dunn, C. (1999). Globalization: A World-Systems Perspective, Journal of World-Systems Research, V. 2, pp. 187–215, http://jwsr.ucr.edu/, ISSN 1076-156x</w:t>
      </w:r>
    </w:p>
    <w:p w14:paraId="00000043"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Deak, F., &amp; Mattern, J. (1928). Concepts of State, </w:t>
      </w:r>
      <w:proofErr w:type="gramStart"/>
      <w:r w:rsidRPr="00182D9C">
        <w:rPr>
          <w:rFonts w:asciiTheme="minorHAnsi" w:hAnsiTheme="minorHAnsi"/>
          <w:sz w:val="21"/>
          <w:szCs w:val="21"/>
        </w:rPr>
        <w:t>Sovereignty</w:t>
      </w:r>
      <w:proofErr w:type="gramEnd"/>
      <w:r w:rsidRPr="00182D9C">
        <w:rPr>
          <w:rFonts w:asciiTheme="minorHAnsi" w:hAnsiTheme="minorHAnsi"/>
          <w:sz w:val="21"/>
          <w:szCs w:val="21"/>
        </w:rPr>
        <w:t xml:space="preserve"> and International Law. Columbia Law Review, 28(7), 993. https://doi.org/10.2307/1114256</w:t>
      </w:r>
    </w:p>
    <w:p w14:paraId="00000044"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Fazio, S. (2007). The harmonization of international commercial law. Kluwer Law International.</w:t>
      </w:r>
    </w:p>
    <w:p w14:paraId="3A875059" w14:textId="77777777" w:rsidR="00D9380B"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Gopalan, S. (2004). Transnational commercial law. W.S. Hein.</w:t>
      </w:r>
    </w:p>
    <w:p w14:paraId="7CB8A3A3" w14:textId="174E866A" w:rsidR="007F1DB1"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K. J. </w:t>
      </w:r>
      <w:proofErr w:type="spellStart"/>
      <w:r w:rsidRPr="00182D9C">
        <w:rPr>
          <w:rFonts w:asciiTheme="minorHAnsi" w:hAnsiTheme="minorHAnsi"/>
          <w:sz w:val="21"/>
          <w:szCs w:val="21"/>
        </w:rPr>
        <w:t>Holsti</w:t>
      </w:r>
      <w:proofErr w:type="spellEnd"/>
      <w:r w:rsidRPr="00182D9C">
        <w:rPr>
          <w:rFonts w:asciiTheme="minorHAnsi" w:hAnsiTheme="minorHAnsi"/>
          <w:sz w:val="21"/>
          <w:szCs w:val="21"/>
        </w:rPr>
        <w:t xml:space="preserve"> (1996). The State, War and the State of War, Cambridge, Cambridge University Press, p. 203.</w:t>
      </w:r>
    </w:p>
    <w:p w14:paraId="00000046"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Keerthiraj. &amp; Devaiah N. G., (2022). Quintessence Of International Politics: Theoretical </w:t>
      </w:r>
      <w:proofErr w:type="gramStart"/>
      <w:r w:rsidRPr="00182D9C">
        <w:rPr>
          <w:rFonts w:asciiTheme="minorHAnsi" w:hAnsiTheme="minorHAnsi"/>
          <w:sz w:val="21"/>
          <w:szCs w:val="21"/>
        </w:rPr>
        <w:t>And</w:t>
      </w:r>
      <w:proofErr w:type="gramEnd"/>
      <w:r w:rsidRPr="00182D9C">
        <w:rPr>
          <w:rFonts w:asciiTheme="minorHAnsi" w:hAnsiTheme="minorHAnsi"/>
          <w:sz w:val="21"/>
          <w:szCs w:val="21"/>
        </w:rPr>
        <w:t xml:space="preserve"> Conceptual Foundations. Blue Hill Publications.</w:t>
      </w:r>
    </w:p>
    <w:p w14:paraId="00000047"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Lansford, T. (2000). Post-Westphalian Europe? Sovereignty and the Modern Nation-State. International Studies, 37(1), 1-15. https://doi.org/10.1177/0020881700037001001</w:t>
      </w:r>
    </w:p>
    <w:p w14:paraId="00000048" w14:textId="77777777" w:rsidR="00A2167D" w:rsidRPr="00182D9C" w:rsidRDefault="00750CA3" w:rsidP="00182D9C">
      <w:pPr>
        <w:spacing w:line="240" w:lineRule="auto"/>
        <w:ind w:left="709" w:hanging="709"/>
        <w:jc w:val="both"/>
        <w:rPr>
          <w:rFonts w:asciiTheme="minorHAnsi" w:hAnsiTheme="minorHAnsi"/>
          <w:sz w:val="21"/>
          <w:szCs w:val="21"/>
        </w:rPr>
      </w:pPr>
      <w:proofErr w:type="spellStart"/>
      <w:r w:rsidRPr="00182D9C">
        <w:rPr>
          <w:rFonts w:asciiTheme="minorHAnsi" w:hAnsiTheme="minorHAnsi"/>
          <w:sz w:val="21"/>
          <w:szCs w:val="21"/>
        </w:rPr>
        <w:t>Levmore</w:t>
      </w:r>
      <w:proofErr w:type="spellEnd"/>
      <w:r w:rsidRPr="00182D9C">
        <w:rPr>
          <w:rFonts w:asciiTheme="minorHAnsi" w:hAnsiTheme="minorHAnsi"/>
          <w:sz w:val="21"/>
          <w:szCs w:val="21"/>
        </w:rPr>
        <w:t>, S. (2012). Harmonization, Preferences, and the Calculus of Consent in Commercial and Other Law. SSRN Electronic Journal. https://doi.org/10.2139/ssrn.2079295</w:t>
      </w:r>
    </w:p>
    <w:p w14:paraId="00000049" w14:textId="77777777" w:rsidR="00A2167D" w:rsidRPr="00182D9C" w:rsidRDefault="00750CA3" w:rsidP="00182D9C">
      <w:pPr>
        <w:spacing w:line="240" w:lineRule="auto"/>
        <w:ind w:left="709" w:hanging="709"/>
        <w:jc w:val="both"/>
        <w:rPr>
          <w:rFonts w:asciiTheme="minorHAnsi" w:hAnsiTheme="minorHAnsi"/>
          <w:sz w:val="21"/>
          <w:szCs w:val="21"/>
        </w:rPr>
      </w:pPr>
      <w:proofErr w:type="spellStart"/>
      <w:r w:rsidRPr="00182D9C">
        <w:rPr>
          <w:rFonts w:asciiTheme="minorHAnsi" w:hAnsiTheme="minorHAnsi"/>
          <w:sz w:val="21"/>
          <w:szCs w:val="21"/>
        </w:rPr>
        <w:t>Loshkarev</w:t>
      </w:r>
      <w:proofErr w:type="spellEnd"/>
      <w:r w:rsidRPr="00182D9C">
        <w:rPr>
          <w:rFonts w:asciiTheme="minorHAnsi" w:hAnsiTheme="minorHAnsi"/>
          <w:sz w:val="21"/>
          <w:szCs w:val="21"/>
        </w:rPr>
        <w:t>, I. (2019). International Law and State Sovereignty: Issues of Correlation. Contemporary Problems of Social Work, 5(1), 84-91. https://doi.org/10.17922/2412-5466-2019-5-1-84-91</w:t>
      </w:r>
    </w:p>
    <w:p w14:paraId="0000004A"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Nakagawa, J. (2011). International harmonization of economic regulation. Oxford University Press.</w:t>
      </w:r>
    </w:p>
    <w:p w14:paraId="0000004B"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Nweze, C., &amp; Okeke, C. (2009). Contemporary issues on public international and comparative law. </w:t>
      </w:r>
      <w:proofErr w:type="spellStart"/>
      <w:r w:rsidRPr="00182D9C">
        <w:rPr>
          <w:rFonts w:asciiTheme="minorHAnsi" w:hAnsiTheme="minorHAnsi"/>
          <w:sz w:val="21"/>
          <w:szCs w:val="21"/>
        </w:rPr>
        <w:t>Vandeplas</w:t>
      </w:r>
      <w:proofErr w:type="spellEnd"/>
      <w:r w:rsidRPr="00182D9C">
        <w:rPr>
          <w:rFonts w:asciiTheme="minorHAnsi" w:hAnsiTheme="minorHAnsi"/>
          <w:sz w:val="21"/>
          <w:szCs w:val="21"/>
        </w:rPr>
        <w:t xml:space="preserve"> Publishing.</w:t>
      </w:r>
    </w:p>
    <w:p w14:paraId="0000004C"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Rosett, A. (1992). Unification, Harmonization, Restatement, Codification, and Reform in International Commercial Law. The American Journal </w:t>
      </w:r>
      <w:proofErr w:type="gramStart"/>
      <w:r w:rsidRPr="00182D9C">
        <w:rPr>
          <w:rFonts w:asciiTheme="minorHAnsi" w:hAnsiTheme="minorHAnsi"/>
          <w:sz w:val="21"/>
          <w:szCs w:val="21"/>
        </w:rPr>
        <w:t>Of</w:t>
      </w:r>
      <w:proofErr w:type="gramEnd"/>
      <w:r w:rsidRPr="00182D9C">
        <w:rPr>
          <w:rFonts w:asciiTheme="minorHAnsi" w:hAnsiTheme="minorHAnsi"/>
          <w:sz w:val="21"/>
          <w:szCs w:val="21"/>
        </w:rPr>
        <w:t xml:space="preserve"> Comparative Law, 40(3), 683. https://doi.org/10.2307/840594</w:t>
      </w:r>
    </w:p>
    <w:p w14:paraId="0000004D"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Rühl, G. (2016). Commercial agents, minimum harmonization and overriding mandatory provisions in the European Union: </w:t>
      </w:r>
      <w:proofErr w:type="spellStart"/>
      <w:r w:rsidRPr="00182D9C">
        <w:rPr>
          <w:rFonts w:asciiTheme="minorHAnsi" w:hAnsiTheme="minorHAnsi"/>
          <w:sz w:val="21"/>
          <w:szCs w:val="21"/>
        </w:rPr>
        <w:t>Unamar</w:t>
      </w:r>
      <w:proofErr w:type="spellEnd"/>
      <w:r w:rsidRPr="00182D9C">
        <w:rPr>
          <w:rFonts w:asciiTheme="minorHAnsi" w:hAnsiTheme="minorHAnsi"/>
          <w:sz w:val="21"/>
          <w:szCs w:val="21"/>
        </w:rPr>
        <w:t>. Common Market Law Review, 53(Issue 1), 209-224. https://doi.org/10.54648/cola2016009</w:t>
      </w:r>
    </w:p>
    <w:p w14:paraId="0000004E"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Sanderson, D. (2011). Commercial Law and Indigenous Sovereignty. SSRN Electronic Journal. https://doi.org/10.2139/ssrn.1933805</w:t>
      </w:r>
    </w:p>
    <w:p w14:paraId="0000004F"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lastRenderedPageBreak/>
        <w:t xml:space="preserve">Schultz, T., &amp; </w:t>
      </w:r>
      <w:proofErr w:type="spellStart"/>
      <w:r w:rsidRPr="00182D9C">
        <w:rPr>
          <w:rFonts w:asciiTheme="minorHAnsi" w:hAnsiTheme="minorHAnsi"/>
          <w:sz w:val="21"/>
          <w:szCs w:val="21"/>
        </w:rPr>
        <w:t>Mitchenson</w:t>
      </w:r>
      <w:proofErr w:type="spellEnd"/>
      <w:r w:rsidRPr="00182D9C">
        <w:rPr>
          <w:rFonts w:asciiTheme="minorHAnsi" w:hAnsiTheme="minorHAnsi"/>
          <w:sz w:val="21"/>
          <w:szCs w:val="21"/>
        </w:rPr>
        <w:t>, J. (2016). Navigating sovereignty and transnational commercial law: the use of comity by Australian courts. Journal Of Private International Law, 12(2), 344-378. https://doi.org/10.1080/17441048.2016.1206704</w:t>
      </w:r>
    </w:p>
    <w:p w14:paraId="00000050"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Shackelford, E. (2006). Party Autonomy and Regional Harmonization of Rules in International Commercial Arbitration. University Of Pittsburgh Law Review, 67(4). https://doi.org/10.5195/lawreview.2006.57</w:t>
      </w:r>
    </w:p>
    <w:p w14:paraId="00000051"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Sparke, M. (2012). Introducing Globalization. Wiley.</w:t>
      </w:r>
    </w:p>
    <w:p w14:paraId="00000052"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Stephan, P. (1999). The Futility of Unification and Harmonization in International Commercial Law. SSRN Electronic Journal. https://doi.org/10.2139/ssrn.169209</w:t>
      </w:r>
    </w:p>
    <w:p w14:paraId="00000053" w14:textId="77777777"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Tierney, S. (2005). Reframing Sovereignty? Sub-State National Societies and Contemporary Challenges to the Nation-State. International And Comparative Law Quarterly, 54(1), 161-183.</w:t>
      </w:r>
      <w:hyperlink r:id="rId9" w:history="1">
        <w:r w:rsidRPr="00182D9C">
          <w:rPr>
            <w:rFonts w:asciiTheme="minorHAnsi" w:hAnsiTheme="minorHAnsi"/>
            <w:sz w:val="21"/>
            <w:szCs w:val="21"/>
          </w:rPr>
          <w:t xml:space="preserve"> </w:t>
        </w:r>
      </w:hyperlink>
      <w:hyperlink r:id="rId10" w:history="1">
        <w:r w:rsidRPr="00182D9C">
          <w:rPr>
            <w:rFonts w:asciiTheme="minorHAnsi" w:hAnsiTheme="minorHAnsi"/>
            <w:sz w:val="21"/>
            <w:szCs w:val="21"/>
          </w:rPr>
          <w:t>https://doi.org/10.1093/iclq/54.1.161</w:t>
        </w:r>
      </w:hyperlink>
    </w:p>
    <w:p w14:paraId="5D3567A2" w14:textId="4EF55B76" w:rsidR="000C4359"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 xml:space="preserve">Ziegel, J. (1997). Harmonization of Private Laws in Federal Systems of Government: Canada, the USA, and Australia, in </w:t>
      </w:r>
      <w:r w:rsidR="003B0E81" w:rsidRPr="00182D9C">
        <w:rPr>
          <w:rFonts w:asciiTheme="minorHAnsi" w:hAnsiTheme="minorHAnsi"/>
          <w:sz w:val="21"/>
          <w:szCs w:val="21"/>
        </w:rPr>
        <w:t xml:space="preserve">Making Commercial Law: Essays </w:t>
      </w:r>
      <w:proofErr w:type="gramStart"/>
      <w:r w:rsidR="003B0E81" w:rsidRPr="00182D9C">
        <w:rPr>
          <w:rFonts w:asciiTheme="minorHAnsi" w:hAnsiTheme="minorHAnsi"/>
          <w:sz w:val="21"/>
          <w:szCs w:val="21"/>
        </w:rPr>
        <w:t>In</w:t>
      </w:r>
      <w:proofErr w:type="gramEnd"/>
      <w:r w:rsidR="003B0E81" w:rsidRPr="00182D9C">
        <w:rPr>
          <w:rFonts w:asciiTheme="minorHAnsi" w:hAnsiTheme="minorHAnsi"/>
          <w:sz w:val="21"/>
          <w:szCs w:val="21"/>
        </w:rPr>
        <w:t xml:space="preserve"> </w:t>
      </w:r>
      <w:proofErr w:type="spellStart"/>
      <w:r w:rsidR="003B0E81" w:rsidRPr="00182D9C">
        <w:rPr>
          <w:rFonts w:asciiTheme="minorHAnsi" w:hAnsiTheme="minorHAnsi"/>
          <w:sz w:val="21"/>
          <w:szCs w:val="21"/>
        </w:rPr>
        <w:t>Honour</w:t>
      </w:r>
      <w:proofErr w:type="spellEnd"/>
      <w:r w:rsidR="003B0E81" w:rsidRPr="00182D9C">
        <w:rPr>
          <w:rFonts w:asciiTheme="minorHAnsi" w:hAnsiTheme="minorHAnsi"/>
          <w:sz w:val="21"/>
          <w:szCs w:val="21"/>
        </w:rPr>
        <w:t xml:space="preserve"> Of Roy Goode</w:t>
      </w:r>
      <w:r w:rsidRPr="00182D9C">
        <w:rPr>
          <w:rFonts w:asciiTheme="minorHAnsi" w:hAnsiTheme="minorHAnsi"/>
          <w:sz w:val="21"/>
          <w:szCs w:val="21"/>
        </w:rPr>
        <w:t xml:space="preserve"> 133, Ross Cranston ed.</w:t>
      </w:r>
    </w:p>
    <w:p w14:paraId="00000056" w14:textId="388A480F" w:rsidR="00A2167D" w:rsidRPr="00182D9C" w:rsidRDefault="00750CA3" w:rsidP="00182D9C">
      <w:pPr>
        <w:spacing w:line="240" w:lineRule="auto"/>
        <w:ind w:left="709" w:hanging="709"/>
        <w:jc w:val="both"/>
        <w:rPr>
          <w:rFonts w:asciiTheme="minorHAnsi" w:hAnsiTheme="minorHAnsi"/>
          <w:sz w:val="21"/>
          <w:szCs w:val="21"/>
        </w:rPr>
      </w:pPr>
      <w:r w:rsidRPr="00182D9C">
        <w:rPr>
          <w:rFonts w:asciiTheme="minorHAnsi" w:hAnsiTheme="minorHAnsi"/>
          <w:sz w:val="21"/>
          <w:szCs w:val="21"/>
        </w:rPr>
        <w:t>Ziegel, J., &amp; Lerner, S. (1998). New developments in international commercial and consumer law. Hart Pub.</w:t>
      </w:r>
    </w:p>
    <w:sectPr w:rsidR="00A2167D" w:rsidRPr="00182D9C" w:rsidSect="004456EE">
      <w:headerReference w:type="even" r:id="rId11"/>
      <w:headerReference w:type="default" r:id="rId12"/>
      <w:footerReference w:type="even" r:id="rId13"/>
      <w:footerReference w:type="default" r:id="rId14"/>
      <w:headerReference w:type="first" r:id="rId15"/>
      <w:footerReference w:type="first" r:id="rId16"/>
      <w:pgSz w:w="11906" w:h="16838" w:code="9"/>
      <w:pgMar w:top="2268" w:right="1559" w:bottom="1985" w:left="1559" w:header="851"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65DE" w14:textId="77777777" w:rsidR="004456EE" w:rsidRDefault="004456EE">
      <w:pPr>
        <w:spacing w:line="240" w:lineRule="auto"/>
      </w:pPr>
      <w:r>
        <w:separator/>
      </w:r>
    </w:p>
  </w:endnote>
  <w:endnote w:type="continuationSeparator" w:id="0">
    <w:p w14:paraId="2DAE3405" w14:textId="77777777" w:rsidR="004456EE" w:rsidRDefault="00445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Van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C7FB" w14:textId="77777777" w:rsidR="00182D9C" w:rsidRDefault="00182D9C" w:rsidP="00182D9C">
    <w:pPr>
      <w:pStyle w:val="Rodap"/>
      <w:framePr w:wrap="auto" w:vAnchor="text" w:hAnchor="margin" w:xAlign="outside" w:y="1"/>
      <w:spacing w:before="120"/>
      <w:rPr>
        <w:rStyle w:val="Nmerodepgina"/>
        <w:rFonts w:ascii="Calibri" w:hAnsi="Calibri"/>
      </w:rPr>
    </w:pPr>
    <w:r>
      <w:rPr>
        <w:rStyle w:val="Nmerodepgina"/>
        <w:rFonts w:ascii="Calibri" w:hAnsi="Calibri"/>
      </w:rPr>
      <w:fldChar w:fldCharType="begin"/>
    </w:r>
    <w:r>
      <w:rPr>
        <w:rStyle w:val="Nmerodepgina"/>
        <w:rFonts w:ascii="Calibri" w:hAnsi="Calibri"/>
      </w:rPr>
      <w:instrText xml:space="preserve">PAGE  </w:instrText>
    </w:r>
    <w:r>
      <w:rPr>
        <w:rStyle w:val="Nmerodepgina"/>
        <w:rFonts w:ascii="Calibri" w:hAnsi="Calibri"/>
      </w:rPr>
      <w:fldChar w:fldCharType="separate"/>
    </w:r>
    <w:r>
      <w:rPr>
        <w:rStyle w:val="Nmerodepgina"/>
        <w:rFonts w:ascii="Calibri" w:hAnsi="Calibri"/>
      </w:rPr>
      <w:t>26</w:t>
    </w:r>
    <w:r>
      <w:rPr>
        <w:rStyle w:val="Nmerodepgina"/>
        <w:rFonts w:ascii="Calibri" w:hAnsi="Calibri"/>
      </w:rPr>
      <w:fldChar w:fldCharType="end"/>
    </w:r>
    <w:r>
      <w:rPr>
        <w:rStyle w:val="Nmerodepgina"/>
        <w:rFonts w:ascii="Calibri" w:hAnsi="Calibri"/>
      </w:rPr>
      <w:t xml:space="preserve"> │</w:t>
    </w:r>
  </w:p>
  <w:p w14:paraId="3725C4B9" w14:textId="77777777" w:rsidR="00182D9C" w:rsidRDefault="00182D9C" w:rsidP="00182D9C">
    <w:pPr>
      <w:pStyle w:val="Rodap"/>
      <w:pBdr>
        <w:top w:val="single" w:sz="8" w:space="6" w:color="auto"/>
      </w:pBdr>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Pr>
        <w:rFonts w:ascii="Cambria" w:hAnsi="Cambria" w:cs="Vani"/>
        <w:spacing w:val="-6"/>
        <w:sz w:val="20"/>
        <w:szCs w:val="20"/>
      </w:rPr>
      <w:t>ISSN 2715-9698</w:t>
    </w:r>
    <w:r>
      <w:rPr>
        <w:rFonts w:ascii="Cambria" w:hAnsi="Cambria" w:cs="Vani"/>
        <w:spacing w:val="-6"/>
        <w:sz w:val="20"/>
        <w:szCs w:val="20"/>
        <w:lang w:val="id-ID"/>
      </w:rPr>
      <w:t xml:space="preserve"> </w:t>
    </w:r>
    <w:r>
      <w:rPr>
        <w:rFonts w:ascii="Cambria" w:hAnsi="Cambria" w:cs="Vani"/>
        <w:spacing w:val="-6"/>
        <w:sz w:val="20"/>
        <w:szCs w:val="20"/>
      </w:rPr>
      <w:t>(online)</w:t>
    </w:r>
  </w:p>
  <w:p w14:paraId="71280903" w14:textId="77777777" w:rsidR="00B25567" w:rsidRDefault="00B25567" w:rsidP="00F1771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401" w14:textId="77777777" w:rsidR="00182D9C" w:rsidRDefault="00182D9C" w:rsidP="00182D9C">
    <w:pPr>
      <w:pStyle w:val="Rodap"/>
      <w:framePr w:wrap="auto" w:vAnchor="text" w:hAnchor="margin" w:xAlign="outside" w:y="1"/>
      <w:spacing w:before="120"/>
      <w:rPr>
        <w:rStyle w:val="Nmerodepgina"/>
        <w:rFonts w:ascii="Calibri" w:hAnsi="Calibri"/>
      </w:rPr>
    </w:pPr>
    <w:r>
      <w:rPr>
        <w:rStyle w:val="Nmerodepgina"/>
        <w:rFonts w:ascii="Calibri" w:hAnsi="Calibri"/>
      </w:rPr>
      <w:t xml:space="preserve">│ </w:t>
    </w:r>
    <w:r>
      <w:rPr>
        <w:rStyle w:val="Nmerodepgina"/>
        <w:rFonts w:ascii="Calibri" w:hAnsi="Calibri"/>
      </w:rPr>
      <w:fldChar w:fldCharType="begin"/>
    </w:r>
    <w:r>
      <w:rPr>
        <w:rStyle w:val="Nmerodepgina"/>
        <w:rFonts w:ascii="Calibri" w:hAnsi="Calibri"/>
      </w:rPr>
      <w:instrText xml:space="preserve">PAGE  </w:instrText>
    </w:r>
    <w:r>
      <w:rPr>
        <w:rStyle w:val="Nmerodepgina"/>
        <w:rFonts w:ascii="Calibri" w:hAnsi="Calibri"/>
      </w:rPr>
      <w:fldChar w:fldCharType="separate"/>
    </w:r>
    <w:r>
      <w:rPr>
        <w:rStyle w:val="Nmerodepgina"/>
        <w:rFonts w:ascii="Calibri" w:hAnsi="Calibri"/>
      </w:rPr>
      <w:t>27</w:t>
    </w:r>
    <w:r>
      <w:rPr>
        <w:rStyle w:val="Nmerodepgina"/>
        <w:rFonts w:ascii="Calibri" w:hAnsi="Calibri"/>
      </w:rPr>
      <w:fldChar w:fldCharType="end"/>
    </w:r>
  </w:p>
  <w:p w14:paraId="3E80FE53" w14:textId="77777777" w:rsidR="00182D9C" w:rsidRDefault="00182D9C" w:rsidP="00182D9C">
    <w:pPr>
      <w:pStyle w:val="Rodap"/>
      <w:pBdr>
        <w:top w:val="single" w:sz="8" w:space="6" w:color="auto"/>
      </w:pBdr>
      <w:rPr>
        <w:rFonts w:ascii="Cambria" w:hAnsi="Cambria" w:cs="Vani"/>
        <w:spacing w:val="-6"/>
        <w:sz w:val="20"/>
        <w:szCs w:val="20"/>
      </w:rPr>
    </w:pPr>
    <w:r>
      <w:rPr>
        <w:rFonts w:ascii="Cambria" w:hAnsi="Cambria"/>
        <w:spacing w:val="-6"/>
        <w:sz w:val="20"/>
        <w:szCs w:val="20"/>
      </w:rPr>
      <w:t>ISSN 2715-9698</w:t>
    </w:r>
    <w:r>
      <w:rPr>
        <w:rFonts w:ascii="Cambria" w:hAnsi="Cambria"/>
        <w:spacing w:val="-6"/>
        <w:sz w:val="20"/>
        <w:szCs w:val="20"/>
        <w:lang w:val="id-ID"/>
      </w:rPr>
      <w:t xml:space="preserve"> </w:t>
    </w:r>
    <w:r>
      <w:rPr>
        <w:rFonts w:ascii="Cambria" w:hAnsi="Cambria"/>
        <w:spacing w:val="-6"/>
        <w:sz w:val="20"/>
        <w:szCs w:val="20"/>
      </w:rPr>
      <w:t>(online)</w:t>
    </w:r>
  </w:p>
  <w:p w14:paraId="0AEA74F7" w14:textId="77777777" w:rsidR="00B25567" w:rsidRPr="00182D9C" w:rsidRDefault="00B25567" w:rsidP="00182D9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DEA" w14:textId="642ED6C9" w:rsidR="00182D9C" w:rsidRDefault="00182D9C" w:rsidP="00182D9C">
    <w:pPr>
      <w:pStyle w:val="Corpodetexto"/>
      <w:spacing w:before="20"/>
      <w:ind w:left="20"/>
      <w:rPr>
        <w:rFonts w:ascii="Cambria" w:hAnsi="Cambria" w:cs="Open Sans"/>
        <w:b/>
        <w:bCs/>
        <w:color w:val="333333"/>
        <w:sz w:val="20"/>
        <w:szCs w:val="20"/>
        <w:shd w:val="clear" w:color="auto" w:fill="FFFFFF"/>
        <w:lang w:val="en-US"/>
      </w:rPr>
    </w:pPr>
    <w:r>
      <w:rPr>
        <w:rFonts w:ascii="Cambria" w:hAnsi="Cambria" w:cs="Vani"/>
        <w:spacing w:val="-6"/>
        <w:sz w:val="20"/>
        <w:szCs w:val="20"/>
        <w:lang w:val="id-ID"/>
      </w:rPr>
      <w:t xml:space="preserve">* </w:t>
    </w:r>
    <w:r>
      <w:rPr>
        <w:rFonts w:ascii="Cambria" w:hAnsi="Cambria" w:cs="Open Sans"/>
        <w:color w:val="333333"/>
        <w:sz w:val="20"/>
        <w:szCs w:val="20"/>
        <w:shd w:val="clear" w:color="auto" w:fill="FFFFFF"/>
        <w:lang w:val="id-ID"/>
      </w:rPr>
      <w:t>Copyright (c) 20</w:t>
    </w:r>
    <w:r>
      <w:rPr>
        <w:rFonts w:ascii="Cambria" w:hAnsi="Cambria" w:cs="Open Sans"/>
        <w:color w:val="333333"/>
        <w:sz w:val="20"/>
        <w:szCs w:val="20"/>
        <w:shd w:val="clear" w:color="auto" w:fill="FFFFFF"/>
        <w:lang w:val="en-US"/>
      </w:rPr>
      <w:t xml:space="preserve">24 </w:t>
    </w:r>
  </w:p>
  <w:p w14:paraId="1829811E" w14:textId="77777777" w:rsidR="00182D9C" w:rsidRDefault="00182D9C" w:rsidP="00182D9C">
    <w:pPr>
      <w:pStyle w:val="Textodenotaderodap"/>
      <w:rPr>
        <w:rFonts w:ascii="Cambria" w:hAnsi="Cambria"/>
        <w:bCs/>
      </w:rPr>
    </w:pPr>
    <w:r>
      <w:rPr>
        <w:rFonts w:ascii="Cambria" w:hAnsi="Cambria" w:cs="Open Sans"/>
        <w:color w:val="333333"/>
        <w:shd w:val="clear" w:color="auto" w:fill="FFFFFF"/>
      </w:rPr>
      <w:t>This work is licensed under a </w:t>
    </w:r>
    <w:hyperlink r:id="rId1" w:history="1">
      <w:r>
        <w:rPr>
          <w:rStyle w:val="Hyperlink"/>
          <w:rFonts w:ascii="Cambria" w:hAnsi="Cambria" w:cs="Open Sans"/>
          <w:color w:val="0D355E"/>
          <w:shd w:val="clear" w:color="auto" w:fill="FFFFFF"/>
        </w:rPr>
        <w:t>Creative Commons Attribution-</w:t>
      </w:r>
      <w:proofErr w:type="spellStart"/>
      <w:r>
        <w:rPr>
          <w:rStyle w:val="Hyperlink"/>
          <w:rFonts w:ascii="Cambria" w:hAnsi="Cambria" w:cs="Open Sans"/>
          <w:color w:val="0D355E"/>
          <w:shd w:val="clear" w:color="auto" w:fill="FFFFFF"/>
        </w:rPr>
        <w:t>ShareAlike</w:t>
      </w:r>
      <w:proofErr w:type="spellEnd"/>
      <w:r>
        <w:rPr>
          <w:rStyle w:val="Hyperlink"/>
          <w:rFonts w:ascii="Cambria" w:hAnsi="Cambria" w:cs="Open Sans"/>
          <w:color w:val="0D355E"/>
          <w:shd w:val="clear" w:color="auto" w:fill="FFFFFF"/>
        </w:rPr>
        <w:t xml:space="preserve"> 4.0 International License</w:t>
      </w:r>
    </w:hyperlink>
    <w:r>
      <w:rPr>
        <w:rFonts w:ascii="Cambria" w:hAnsi="Cambria" w:cs="Open Sans"/>
        <w:color w:val="333333"/>
        <w:shd w:val="clear" w:color="auto" w:fill="FFFFFF"/>
      </w:rPr>
      <w:t>.</w:t>
    </w:r>
    <w:r>
      <w:rPr>
        <w:rFonts w:ascii="Cambria" w:hAnsi="Cambria" w:cs="Vani"/>
        <w:spacing w:val="-6"/>
        <w:lang w:val="id-ID"/>
      </w:rPr>
      <w:tab/>
    </w:r>
    <w:r>
      <w:rPr>
        <w:rFonts w:ascii="Cambria" w:hAnsi="Cambria" w:cs="Vani"/>
        <w:spacing w:val="-6"/>
        <w:lang w:val="id-ID"/>
      </w:rPr>
      <w:tab/>
    </w:r>
    <w:r>
      <w:rPr>
        <w:rFonts w:ascii="Cambria" w:hAnsi="Cambria" w:cs="Vani"/>
        <w:spacing w:val="-6"/>
        <w:lang w:val="id-ID"/>
      </w:rPr>
      <w:tab/>
      <w:t xml:space="preserve">        </w:t>
    </w:r>
    <w:r>
      <w:rPr>
        <w:rFonts w:ascii="Cambria" w:hAnsi="Cambria" w:cs="Vani"/>
        <w:spacing w:val="-6"/>
        <w:lang w:val="id-ID"/>
      </w:rPr>
      <w:tab/>
      <w:t xml:space="preserve">    </w:t>
    </w:r>
    <w:r>
      <w:rPr>
        <w:rFonts w:ascii="Cambria" w:hAnsi="Cambria" w:cs="Vani"/>
        <w:spacing w:val="-6"/>
        <w:lang w:val="id-ID"/>
      </w:rPr>
      <w:tab/>
    </w:r>
    <w:r>
      <w:rPr>
        <w:rFonts w:ascii="Cambria" w:hAnsi="Cambria" w:cs="Vani"/>
        <w:spacing w:val="-6"/>
        <w:lang w:val="id-ID"/>
      </w:rPr>
      <w:tab/>
    </w:r>
  </w:p>
  <w:p w14:paraId="0B4B1DD7" w14:textId="296B4D17" w:rsidR="00182D9C" w:rsidRDefault="00182D9C" w:rsidP="00182D9C">
    <w:pPr>
      <w:pStyle w:val="Textodenotaderodap"/>
    </w:pPr>
    <w:r>
      <w:rPr>
        <w:rFonts w:ascii="Cambria" w:hAnsi="Cambria"/>
      </w:rPr>
      <w:t>Received</w:t>
    </w:r>
    <w:proofErr w:type="gramStart"/>
    <w:r>
      <w:rPr>
        <w:rFonts w:ascii="Cambria" w:hAnsi="Cambria"/>
      </w:rPr>
      <w:t>: ;</w:t>
    </w:r>
    <w:proofErr w:type="gramEnd"/>
    <w:r>
      <w:rPr>
        <w:rFonts w:ascii="Cambria" w:hAnsi="Cambria"/>
      </w:rPr>
      <w:t xml:space="preserve"> Revised: ; Accepted:</w:t>
    </w:r>
    <w:r>
      <w:rPr>
        <w:rFonts w:ascii="Cambria" w:hAnsi="Cambria"/>
      </w:rPr>
      <w:tab/>
    </w:r>
    <w:r>
      <w:t xml:space="preserve">     </w:t>
    </w:r>
  </w:p>
  <w:p w14:paraId="498064E9" w14:textId="77777777" w:rsidR="00182D9C" w:rsidRPr="00182D9C" w:rsidRDefault="00182D9C">
    <w:pPr>
      <w:pStyle w:val="Rodap"/>
      <w:rPr>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08A6" w14:textId="77777777" w:rsidR="004456EE" w:rsidRDefault="004456EE">
      <w:pPr>
        <w:spacing w:line="240" w:lineRule="auto"/>
      </w:pPr>
      <w:r>
        <w:separator/>
      </w:r>
    </w:p>
  </w:footnote>
  <w:footnote w:type="continuationSeparator" w:id="0">
    <w:p w14:paraId="69C7BDE4" w14:textId="77777777" w:rsidR="004456EE" w:rsidRDefault="004456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CE90" w14:textId="4BFA98F0" w:rsidR="00182D9C" w:rsidRDefault="00182D9C" w:rsidP="00182D9C">
    <w:pPr>
      <w:pStyle w:val="Cabealho"/>
      <w:jc w:val="center"/>
      <w:rPr>
        <w:rFonts w:ascii="Cambria" w:hAnsi="Cambria"/>
        <w:b/>
        <w:bCs/>
        <w:spacing w:val="-6"/>
        <w:sz w:val="20"/>
        <w:szCs w:val="20"/>
        <w:lang w:val="id-ID"/>
      </w:rPr>
    </w:pPr>
    <w:r>
      <w:rPr>
        <w:rFonts w:ascii="Cambria" w:hAnsi="Cambria"/>
        <w:b/>
        <w:bCs/>
        <w:spacing w:val="-6"/>
        <w:sz w:val="20"/>
        <w:szCs w:val="20"/>
        <w:lang w:val="en-ID"/>
      </w:rPr>
      <w:t xml:space="preserve">Khazanah Hukum, Vol.  No. </w:t>
    </w:r>
  </w:p>
  <w:p w14:paraId="14D1EBB5" w14:textId="77777777" w:rsidR="00182D9C" w:rsidRDefault="00182D9C" w:rsidP="00182D9C">
    <w:pPr>
      <w:pStyle w:val="Cabealho"/>
      <w:pBdr>
        <w:bottom w:val="single" w:sz="8" w:space="6" w:color="auto"/>
      </w:pBdr>
      <w:jc w:val="center"/>
    </w:pPr>
    <w:r w:rsidRPr="00182D9C">
      <w:rPr>
        <w:rFonts w:ascii="Cambria" w:hAnsi="Cambria"/>
        <w:sz w:val="20"/>
        <w:szCs w:val="20"/>
      </w:rPr>
      <w:t>T</w:t>
    </w:r>
    <w:r>
      <w:rPr>
        <w:rFonts w:ascii="Cambria" w:hAnsi="Cambria"/>
        <w:sz w:val="20"/>
        <w:szCs w:val="20"/>
      </w:rPr>
      <w:t>he Concerns of Nation-State sovereignty and International Commercial Law</w:t>
    </w:r>
    <w:r w:rsidRPr="00182D9C">
      <w:t xml:space="preserve"> </w:t>
    </w:r>
  </w:p>
  <w:p w14:paraId="04EC5E82" w14:textId="0AF77E35" w:rsidR="00182D9C" w:rsidRDefault="00182D9C" w:rsidP="00182D9C">
    <w:pPr>
      <w:pStyle w:val="Cabealho"/>
      <w:pBdr>
        <w:bottom w:val="single" w:sz="8" w:space="6" w:color="auto"/>
      </w:pBdr>
      <w:jc w:val="center"/>
      <w:rPr>
        <w:rFonts w:ascii="Cambria" w:hAnsi="Cambria"/>
        <w:sz w:val="20"/>
        <w:szCs w:val="20"/>
      </w:rPr>
    </w:pPr>
    <w:r w:rsidRPr="00182D9C">
      <w:rPr>
        <w:rFonts w:ascii="Cambria" w:hAnsi="Cambria"/>
        <w:sz w:val="20"/>
        <w:szCs w:val="20"/>
      </w:rPr>
      <w:t>Tran Vang-Phu, Duong Anh Son</w:t>
    </w:r>
  </w:p>
  <w:p w14:paraId="3CA21627" w14:textId="77777777" w:rsidR="00182D9C" w:rsidRDefault="00182D9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E4DE" w14:textId="77777777" w:rsidR="00182D9C" w:rsidRDefault="00182D9C" w:rsidP="00182D9C">
    <w:pPr>
      <w:pStyle w:val="Cabealho"/>
      <w:jc w:val="center"/>
      <w:rPr>
        <w:rFonts w:ascii="Cambria" w:hAnsi="Cambria"/>
        <w:b/>
        <w:bCs/>
        <w:spacing w:val="-6"/>
        <w:sz w:val="20"/>
        <w:szCs w:val="20"/>
        <w:lang w:val="id-ID"/>
      </w:rPr>
    </w:pPr>
    <w:r>
      <w:rPr>
        <w:rFonts w:ascii="Cambria" w:hAnsi="Cambria"/>
        <w:b/>
        <w:bCs/>
        <w:spacing w:val="-6"/>
        <w:sz w:val="20"/>
        <w:szCs w:val="20"/>
        <w:lang w:val="en-ID"/>
      </w:rPr>
      <w:t xml:space="preserve">Khazanah Hukum, Vol.  No. </w:t>
    </w:r>
  </w:p>
  <w:p w14:paraId="04CE1675" w14:textId="77777777" w:rsidR="00182D9C" w:rsidRDefault="00182D9C" w:rsidP="00182D9C">
    <w:pPr>
      <w:pStyle w:val="Cabealho"/>
      <w:pBdr>
        <w:bottom w:val="single" w:sz="8" w:space="6" w:color="auto"/>
      </w:pBdr>
      <w:jc w:val="center"/>
    </w:pPr>
    <w:r w:rsidRPr="00182D9C">
      <w:rPr>
        <w:rFonts w:ascii="Cambria" w:hAnsi="Cambria"/>
        <w:sz w:val="20"/>
        <w:szCs w:val="20"/>
      </w:rPr>
      <w:t>T</w:t>
    </w:r>
    <w:r>
      <w:rPr>
        <w:rFonts w:ascii="Cambria" w:hAnsi="Cambria"/>
        <w:sz w:val="20"/>
        <w:szCs w:val="20"/>
      </w:rPr>
      <w:t>he Concerns of Nation-State sovereignty and International Commercial Law</w:t>
    </w:r>
    <w:r w:rsidRPr="00182D9C">
      <w:t xml:space="preserve"> </w:t>
    </w:r>
  </w:p>
  <w:p w14:paraId="71403901" w14:textId="77777777" w:rsidR="00182D9C" w:rsidRDefault="00182D9C" w:rsidP="00182D9C">
    <w:pPr>
      <w:pStyle w:val="Cabealho"/>
      <w:pBdr>
        <w:bottom w:val="single" w:sz="8" w:space="6" w:color="auto"/>
      </w:pBdr>
      <w:jc w:val="center"/>
      <w:rPr>
        <w:rFonts w:ascii="Cambria" w:hAnsi="Cambria"/>
        <w:sz w:val="20"/>
        <w:szCs w:val="20"/>
      </w:rPr>
    </w:pPr>
    <w:r w:rsidRPr="00182D9C">
      <w:rPr>
        <w:rFonts w:ascii="Cambria" w:hAnsi="Cambria"/>
        <w:sz w:val="20"/>
        <w:szCs w:val="20"/>
      </w:rPr>
      <w:t>Tran Vang-Phu, Duong Anh Son</w:t>
    </w:r>
  </w:p>
  <w:p w14:paraId="47D7C589" w14:textId="77777777" w:rsidR="00182D9C" w:rsidRDefault="00182D9C" w:rsidP="00182D9C">
    <w:pPr>
      <w:pStyle w:val="Cabealho"/>
    </w:pPr>
  </w:p>
  <w:p w14:paraId="2A382AF3" w14:textId="77777777" w:rsidR="00182D9C" w:rsidRDefault="00182D9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F40E" w14:textId="0B08894F" w:rsidR="00182D9C" w:rsidRPr="00182D9C" w:rsidRDefault="00182D9C" w:rsidP="00182D9C">
    <w:pPr>
      <w:tabs>
        <w:tab w:val="center" w:pos="4680"/>
        <w:tab w:val="right" w:pos="9072"/>
        <w:tab w:val="right" w:pos="9360"/>
      </w:tabs>
      <w:spacing w:line="240" w:lineRule="auto"/>
      <w:rPr>
        <w:rFonts w:ascii="Cambria" w:eastAsia="Calibri" w:hAnsi="Cambria" w:cs="Times New Roman"/>
        <w:b/>
        <w:bCs/>
        <w:iCs/>
        <w:noProof/>
        <w:spacing w:val="-6"/>
        <w:sz w:val="20"/>
        <w:szCs w:val="20"/>
        <w:lang w:val="en-US" w:eastAsia="id-ID"/>
      </w:rPr>
    </w:pPr>
    <w:r w:rsidRPr="00182D9C">
      <w:rPr>
        <w:rFonts w:ascii="Cambria" w:eastAsia="Calibri" w:hAnsi="Cambria" w:cs="Vani"/>
        <w:spacing w:val="-6"/>
        <w:sz w:val="20"/>
        <w:szCs w:val="20"/>
        <w:lang w:val="en-US" w:eastAsia="en-US"/>
      </w:rPr>
      <w:t>Available online at:</w:t>
    </w:r>
    <w:r w:rsidRPr="00182D9C">
      <w:rPr>
        <w:rFonts w:ascii="Cambria" w:eastAsia="Calibri" w:hAnsi="Cambria" w:cs="Vani"/>
        <w:spacing w:val="-6"/>
        <w:sz w:val="20"/>
        <w:szCs w:val="20"/>
        <w:lang w:val="id-ID" w:eastAsia="en-US"/>
      </w:rPr>
      <w:t xml:space="preserve"> </w:t>
    </w:r>
  </w:p>
  <w:p w14:paraId="35A7B5DF" w14:textId="32E99442" w:rsidR="00182D9C" w:rsidRPr="00182D9C" w:rsidRDefault="00182D9C" w:rsidP="00182D9C">
    <w:pPr>
      <w:tabs>
        <w:tab w:val="left" w:pos="708"/>
        <w:tab w:val="center" w:pos="4680"/>
        <w:tab w:val="right" w:pos="9360"/>
      </w:tabs>
      <w:spacing w:line="240" w:lineRule="auto"/>
      <w:rPr>
        <w:rFonts w:ascii="Cambria" w:eastAsia="Calibri" w:hAnsi="Cambria" w:cs="Times New Roman"/>
        <w:b/>
        <w:spacing w:val="-6"/>
        <w:sz w:val="20"/>
        <w:szCs w:val="20"/>
        <w:lang w:val="pt-BR" w:eastAsia="en-US"/>
      </w:rPr>
    </w:pPr>
    <w:r w:rsidRPr="00757094">
      <w:rPr>
        <w:rFonts w:ascii="Cambria" w:eastAsia="Calibri" w:hAnsi="Cambria" w:cs="Times New Roman"/>
        <w:b/>
        <w:spacing w:val="-6"/>
        <w:sz w:val="20"/>
        <w:szCs w:val="20"/>
        <w:lang w:val="en-GB" w:eastAsia="en-US"/>
      </w:rPr>
      <w:t xml:space="preserve">Khazanah Hukum, Vol.  </w:t>
    </w:r>
    <w:r w:rsidRPr="00182D9C">
      <w:rPr>
        <w:rFonts w:ascii="Cambria" w:eastAsia="Calibri" w:hAnsi="Cambria" w:cs="Times New Roman"/>
        <w:b/>
        <w:spacing w:val="-6"/>
        <w:sz w:val="20"/>
        <w:szCs w:val="20"/>
        <w:lang w:val="pt-BR" w:eastAsia="en-US"/>
      </w:rPr>
      <w:t>No</w:t>
    </w:r>
    <w:r>
      <w:rPr>
        <w:rFonts w:ascii="Cambria" w:eastAsia="Calibri" w:hAnsi="Cambria" w:cs="Times New Roman"/>
        <w:b/>
        <w:spacing w:val="-6"/>
        <w:sz w:val="20"/>
        <w:szCs w:val="20"/>
        <w:lang w:val="pt-BR" w:eastAsia="en-US"/>
      </w:rPr>
      <w:t>.</w:t>
    </w:r>
  </w:p>
  <w:p w14:paraId="7DF8FE5B" w14:textId="77777777" w:rsidR="00182D9C" w:rsidRPr="00182D9C" w:rsidRDefault="00182D9C" w:rsidP="00182D9C">
    <w:pPr>
      <w:tabs>
        <w:tab w:val="left" w:pos="708"/>
        <w:tab w:val="center" w:pos="4680"/>
        <w:tab w:val="right" w:pos="9360"/>
      </w:tabs>
      <w:spacing w:line="240" w:lineRule="auto"/>
      <w:rPr>
        <w:rFonts w:ascii="Cambria" w:eastAsia="Calibri" w:hAnsi="Cambria" w:cs="Vani"/>
        <w:spacing w:val="-6"/>
        <w:sz w:val="20"/>
        <w:szCs w:val="20"/>
        <w:lang w:val="id-ID" w:eastAsia="en-US"/>
      </w:rPr>
    </w:pPr>
  </w:p>
  <w:p w14:paraId="5442DACD" w14:textId="45E971EE" w:rsidR="00182D9C" w:rsidRPr="00182D9C" w:rsidRDefault="00182D9C" w:rsidP="00182D9C">
    <w:pPr>
      <w:tabs>
        <w:tab w:val="left" w:pos="708"/>
        <w:tab w:val="center" w:pos="4680"/>
        <w:tab w:val="right" w:pos="9360"/>
      </w:tabs>
      <w:spacing w:line="240" w:lineRule="auto"/>
      <w:rPr>
        <w:rFonts w:ascii="Cambria" w:eastAsia="Calibri" w:hAnsi="Cambria" w:cs="Vani"/>
        <w:spacing w:val="-6"/>
        <w:sz w:val="20"/>
        <w:szCs w:val="20"/>
        <w:lang w:val="en-US" w:eastAsia="en-US"/>
      </w:rPr>
    </w:pPr>
    <w:r w:rsidRPr="00182D9C">
      <w:rPr>
        <w:rFonts w:ascii="Cambria" w:eastAsia="Calibri" w:hAnsi="Cambria" w:cs="Vani"/>
        <w:spacing w:val="-6"/>
        <w:sz w:val="20"/>
        <w:szCs w:val="20"/>
        <w:lang w:val="id-ID" w:eastAsia="en-US"/>
      </w:rPr>
      <w:t xml:space="preserve">DOI: </w:t>
    </w:r>
  </w:p>
  <w:p w14:paraId="11B7010F" w14:textId="77777777" w:rsidR="00B25567" w:rsidRDefault="00B255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86BD1"/>
    <w:multiLevelType w:val="multilevel"/>
    <w:tmpl w:val="11A2E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2945D9"/>
    <w:multiLevelType w:val="hybridMultilevel"/>
    <w:tmpl w:val="D214CD3A"/>
    <w:lvl w:ilvl="0" w:tplc="4196764A">
      <w:start w:val="1"/>
      <w:numFmt w:val="decimal"/>
      <w:lvlText w:val="%1."/>
      <w:lvlJc w:val="left"/>
      <w:pPr>
        <w:ind w:left="720" w:hanging="360"/>
      </w:pPr>
      <w:rPr>
        <w:rFonts w:hint="default"/>
      </w:rPr>
    </w:lvl>
    <w:lvl w:ilvl="1" w:tplc="76C845C2" w:tentative="1">
      <w:start w:val="1"/>
      <w:numFmt w:val="lowerLetter"/>
      <w:lvlText w:val="%2."/>
      <w:lvlJc w:val="left"/>
      <w:pPr>
        <w:ind w:left="1440" w:hanging="360"/>
      </w:pPr>
    </w:lvl>
    <w:lvl w:ilvl="2" w:tplc="B2AAD648" w:tentative="1">
      <w:start w:val="1"/>
      <w:numFmt w:val="lowerRoman"/>
      <w:lvlText w:val="%3."/>
      <w:lvlJc w:val="right"/>
      <w:pPr>
        <w:ind w:left="2160" w:hanging="180"/>
      </w:pPr>
    </w:lvl>
    <w:lvl w:ilvl="3" w:tplc="212ABC9C" w:tentative="1">
      <w:start w:val="1"/>
      <w:numFmt w:val="decimal"/>
      <w:lvlText w:val="%4."/>
      <w:lvlJc w:val="left"/>
      <w:pPr>
        <w:ind w:left="2880" w:hanging="360"/>
      </w:pPr>
    </w:lvl>
    <w:lvl w:ilvl="4" w:tplc="24E83FD2" w:tentative="1">
      <w:start w:val="1"/>
      <w:numFmt w:val="lowerLetter"/>
      <w:lvlText w:val="%5."/>
      <w:lvlJc w:val="left"/>
      <w:pPr>
        <w:ind w:left="3600" w:hanging="360"/>
      </w:pPr>
    </w:lvl>
    <w:lvl w:ilvl="5" w:tplc="D0B41320" w:tentative="1">
      <w:start w:val="1"/>
      <w:numFmt w:val="lowerRoman"/>
      <w:lvlText w:val="%6."/>
      <w:lvlJc w:val="right"/>
      <w:pPr>
        <w:ind w:left="4320" w:hanging="180"/>
      </w:pPr>
    </w:lvl>
    <w:lvl w:ilvl="6" w:tplc="2D081248" w:tentative="1">
      <w:start w:val="1"/>
      <w:numFmt w:val="decimal"/>
      <w:lvlText w:val="%7."/>
      <w:lvlJc w:val="left"/>
      <w:pPr>
        <w:ind w:left="5040" w:hanging="360"/>
      </w:pPr>
    </w:lvl>
    <w:lvl w:ilvl="7" w:tplc="C80280E4" w:tentative="1">
      <w:start w:val="1"/>
      <w:numFmt w:val="lowerLetter"/>
      <w:lvlText w:val="%8."/>
      <w:lvlJc w:val="left"/>
      <w:pPr>
        <w:ind w:left="5760" w:hanging="360"/>
      </w:pPr>
    </w:lvl>
    <w:lvl w:ilvl="8" w:tplc="09F67544" w:tentative="1">
      <w:start w:val="1"/>
      <w:numFmt w:val="lowerRoman"/>
      <w:lvlText w:val="%9."/>
      <w:lvlJc w:val="right"/>
      <w:pPr>
        <w:ind w:left="6480" w:hanging="180"/>
      </w:pPr>
    </w:lvl>
  </w:abstractNum>
  <w:num w:numId="1" w16cid:durableId="78447121">
    <w:abstractNumId w:val="0"/>
  </w:num>
  <w:num w:numId="2" w16cid:durableId="17905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7D"/>
    <w:rsid w:val="00054E5D"/>
    <w:rsid w:val="000C4359"/>
    <w:rsid w:val="00182D9C"/>
    <w:rsid w:val="00191116"/>
    <w:rsid w:val="001D2F64"/>
    <w:rsid w:val="00265885"/>
    <w:rsid w:val="00361833"/>
    <w:rsid w:val="0037108D"/>
    <w:rsid w:val="003B0E81"/>
    <w:rsid w:val="003E4941"/>
    <w:rsid w:val="004456EE"/>
    <w:rsid w:val="005649D4"/>
    <w:rsid w:val="0059127E"/>
    <w:rsid w:val="005E5DD0"/>
    <w:rsid w:val="00750CA3"/>
    <w:rsid w:val="00757094"/>
    <w:rsid w:val="007904C2"/>
    <w:rsid w:val="007F1DB1"/>
    <w:rsid w:val="00806CA9"/>
    <w:rsid w:val="00890676"/>
    <w:rsid w:val="008D5AF5"/>
    <w:rsid w:val="009165C1"/>
    <w:rsid w:val="0098725F"/>
    <w:rsid w:val="009A4D9A"/>
    <w:rsid w:val="00A2167D"/>
    <w:rsid w:val="00AC44DD"/>
    <w:rsid w:val="00B25567"/>
    <w:rsid w:val="00D34AA7"/>
    <w:rsid w:val="00D9380B"/>
    <w:rsid w:val="00E47DA2"/>
    <w:rsid w:val="00F114FE"/>
    <w:rsid w:val="00F17710"/>
    <w:rsid w:val="00FA1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610AC"/>
  <w15:docId w15:val="{C5D6D6CA-E2F6-194D-8504-1310217E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B25567"/>
    <w:pPr>
      <w:tabs>
        <w:tab w:val="center" w:pos="4513"/>
        <w:tab w:val="right" w:pos="9026"/>
      </w:tabs>
      <w:spacing w:line="240" w:lineRule="auto"/>
    </w:pPr>
  </w:style>
  <w:style w:type="character" w:customStyle="1" w:styleId="CabealhoChar">
    <w:name w:val="Cabeçalho Char"/>
    <w:basedOn w:val="Fontepargpadro"/>
    <w:link w:val="Cabealho"/>
    <w:uiPriority w:val="99"/>
    <w:rsid w:val="00B25567"/>
  </w:style>
  <w:style w:type="paragraph" w:styleId="Rodap">
    <w:name w:val="footer"/>
    <w:basedOn w:val="Normal"/>
    <w:link w:val="RodapChar"/>
    <w:uiPriority w:val="99"/>
    <w:unhideWhenUsed/>
    <w:rsid w:val="00B25567"/>
    <w:pPr>
      <w:tabs>
        <w:tab w:val="center" w:pos="4513"/>
        <w:tab w:val="right" w:pos="9026"/>
      </w:tabs>
      <w:spacing w:line="240" w:lineRule="auto"/>
    </w:pPr>
  </w:style>
  <w:style w:type="character" w:customStyle="1" w:styleId="RodapChar">
    <w:name w:val="Rodapé Char"/>
    <w:basedOn w:val="Fontepargpadro"/>
    <w:link w:val="Rodap"/>
    <w:uiPriority w:val="99"/>
    <w:rsid w:val="00B25567"/>
  </w:style>
  <w:style w:type="character" w:styleId="Hyperlink">
    <w:name w:val="Hyperlink"/>
    <w:basedOn w:val="Fontepargpadro"/>
    <w:uiPriority w:val="99"/>
    <w:unhideWhenUsed/>
    <w:rsid w:val="009165C1"/>
    <w:rPr>
      <w:color w:val="0000FF" w:themeColor="hyperlink"/>
      <w:u w:val="single"/>
    </w:rPr>
  </w:style>
  <w:style w:type="character" w:customStyle="1" w:styleId="UnresolvedMention1">
    <w:name w:val="Unresolved Mention1"/>
    <w:basedOn w:val="Fontepargpadro"/>
    <w:uiPriority w:val="99"/>
    <w:semiHidden/>
    <w:unhideWhenUsed/>
    <w:rsid w:val="009165C1"/>
    <w:rPr>
      <w:color w:val="605E5C"/>
      <w:shd w:val="clear" w:color="auto" w:fill="E1DFDD"/>
    </w:rPr>
  </w:style>
  <w:style w:type="paragraph" w:styleId="NormalWeb">
    <w:name w:val="Normal (Web)"/>
    <w:basedOn w:val="Normal"/>
    <w:uiPriority w:val="99"/>
    <w:semiHidden/>
    <w:unhideWhenUsed/>
    <w:rsid w:val="0089067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37108D"/>
    <w:pPr>
      <w:ind w:left="720"/>
      <w:contextualSpacing/>
    </w:pPr>
  </w:style>
  <w:style w:type="character" w:styleId="Nmerodepgina">
    <w:name w:val="page number"/>
    <w:basedOn w:val="Fontepargpadro"/>
    <w:uiPriority w:val="99"/>
    <w:semiHidden/>
    <w:unhideWhenUsed/>
    <w:rsid w:val="00F17710"/>
  </w:style>
  <w:style w:type="character" w:styleId="MenoPendente">
    <w:name w:val="Unresolved Mention"/>
    <w:basedOn w:val="Fontepargpadro"/>
    <w:uiPriority w:val="99"/>
    <w:rsid w:val="00D34AA7"/>
    <w:rPr>
      <w:color w:val="605E5C"/>
      <w:shd w:val="clear" w:color="auto" w:fill="E1DFDD"/>
    </w:rPr>
  </w:style>
  <w:style w:type="paragraph" w:styleId="Textodenotaderodap">
    <w:name w:val="footnote text"/>
    <w:basedOn w:val="Normal"/>
    <w:link w:val="TextodenotaderodapChar"/>
    <w:uiPriority w:val="99"/>
    <w:semiHidden/>
    <w:unhideWhenUsed/>
    <w:rsid w:val="00182D9C"/>
    <w:pPr>
      <w:spacing w:line="240" w:lineRule="auto"/>
    </w:pPr>
    <w:rPr>
      <w:rFonts w:ascii="Calibri" w:eastAsia="Calibri" w:hAnsi="Calibri" w:cs="Times New Roman"/>
      <w:sz w:val="20"/>
      <w:szCs w:val="20"/>
      <w:lang w:val="en-ID" w:eastAsia="en-US"/>
    </w:rPr>
  </w:style>
  <w:style w:type="character" w:customStyle="1" w:styleId="TextodenotaderodapChar">
    <w:name w:val="Texto de nota de rodapé Char"/>
    <w:basedOn w:val="Fontepargpadro"/>
    <w:link w:val="Textodenotaderodap"/>
    <w:uiPriority w:val="99"/>
    <w:semiHidden/>
    <w:rsid w:val="00182D9C"/>
    <w:rPr>
      <w:rFonts w:ascii="Calibri" w:eastAsia="Calibri" w:hAnsi="Calibri" w:cs="Times New Roman"/>
      <w:sz w:val="20"/>
      <w:szCs w:val="20"/>
      <w:lang w:val="en-ID" w:eastAsia="en-US"/>
    </w:rPr>
  </w:style>
  <w:style w:type="paragraph" w:styleId="Corpodetexto">
    <w:name w:val="Body Text"/>
    <w:basedOn w:val="Normal"/>
    <w:link w:val="CorpodetextoChar"/>
    <w:uiPriority w:val="1"/>
    <w:semiHidden/>
    <w:unhideWhenUsed/>
    <w:qFormat/>
    <w:rsid w:val="00182D9C"/>
    <w:pPr>
      <w:widowControl w:val="0"/>
      <w:autoSpaceDE w:val="0"/>
      <w:autoSpaceDN w:val="0"/>
      <w:spacing w:line="240" w:lineRule="auto"/>
    </w:pPr>
    <w:rPr>
      <w:rFonts w:ascii="Caladea" w:eastAsia="Caladea" w:hAnsi="Caladea" w:cs="Caladea"/>
      <w:sz w:val="24"/>
      <w:szCs w:val="24"/>
      <w:lang w:val="pt-BR" w:eastAsia="en-US"/>
    </w:rPr>
  </w:style>
  <w:style w:type="character" w:customStyle="1" w:styleId="CorpodetextoChar">
    <w:name w:val="Corpo de texto Char"/>
    <w:basedOn w:val="Fontepargpadro"/>
    <w:link w:val="Corpodetexto"/>
    <w:uiPriority w:val="1"/>
    <w:semiHidden/>
    <w:rsid w:val="00182D9C"/>
    <w:rPr>
      <w:rFonts w:ascii="Caladea" w:eastAsia="Caladea" w:hAnsi="Caladea" w:cs="Caladea"/>
      <w:sz w:val="24"/>
      <w:szCs w:val="24"/>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083">
      <w:bodyDiv w:val="1"/>
      <w:marLeft w:val="0"/>
      <w:marRight w:val="0"/>
      <w:marTop w:val="0"/>
      <w:marBottom w:val="0"/>
      <w:divBdr>
        <w:top w:val="none" w:sz="0" w:space="0" w:color="auto"/>
        <w:left w:val="none" w:sz="0" w:space="0" w:color="auto"/>
        <w:bottom w:val="none" w:sz="0" w:space="0" w:color="auto"/>
        <w:right w:val="none" w:sz="0" w:space="0" w:color="auto"/>
      </w:divBdr>
    </w:div>
    <w:div w:id="565604062">
      <w:bodyDiv w:val="1"/>
      <w:marLeft w:val="0"/>
      <w:marRight w:val="0"/>
      <w:marTop w:val="0"/>
      <w:marBottom w:val="0"/>
      <w:divBdr>
        <w:top w:val="none" w:sz="0" w:space="0" w:color="auto"/>
        <w:left w:val="none" w:sz="0" w:space="0" w:color="auto"/>
        <w:bottom w:val="none" w:sz="0" w:space="0" w:color="auto"/>
        <w:right w:val="none" w:sz="0" w:space="0" w:color="auto"/>
      </w:divBdr>
    </w:div>
    <w:div w:id="1038824501">
      <w:bodyDiv w:val="1"/>
      <w:marLeft w:val="0"/>
      <w:marRight w:val="0"/>
      <w:marTop w:val="0"/>
      <w:marBottom w:val="0"/>
      <w:divBdr>
        <w:top w:val="none" w:sz="0" w:space="0" w:color="auto"/>
        <w:left w:val="none" w:sz="0" w:space="0" w:color="auto"/>
        <w:bottom w:val="none" w:sz="0" w:space="0" w:color="auto"/>
        <w:right w:val="none" w:sz="0" w:space="0" w:color="auto"/>
      </w:divBdr>
    </w:div>
    <w:div w:id="1316378420">
      <w:bodyDiv w:val="1"/>
      <w:marLeft w:val="0"/>
      <w:marRight w:val="0"/>
      <w:marTop w:val="0"/>
      <w:marBottom w:val="0"/>
      <w:divBdr>
        <w:top w:val="none" w:sz="0" w:space="0" w:color="auto"/>
        <w:left w:val="none" w:sz="0" w:space="0" w:color="auto"/>
        <w:bottom w:val="none" w:sz="0" w:space="0" w:color="auto"/>
        <w:right w:val="none" w:sz="0" w:space="0" w:color="auto"/>
      </w:divBdr>
    </w:div>
    <w:div w:id="1399085973">
      <w:bodyDiv w:val="1"/>
      <w:marLeft w:val="0"/>
      <w:marRight w:val="0"/>
      <w:marTop w:val="0"/>
      <w:marBottom w:val="0"/>
      <w:divBdr>
        <w:top w:val="none" w:sz="0" w:space="0" w:color="auto"/>
        <w:left w:val="none" w:sz="0" w:space="0" w:color="auto"/>
        <w:bottom w:val="none" w:sz="0" w:space="0" w:color="auto"/>
        <w:right w:val="none" w:sz="0" w:space="0" w:color="auto"/>
      </w:divBdr>
    </w:div>
    <w:div w:id="1511986060">
      <w:bodyDiv w:val="1"/>
      <w:marLeft w:val="0"/>
      <w:marRight w:val="0"/>
      <w:marTop w:val="0"/>
      <w:marBottom w:val="0"/>
      <w:divBdr>
        <w:top w:val="none" w:sz="0" w:space="0" w:color="auto"/>
        <w:left w:val="none" w:sz="0" w:space="0" w:color="auto"/>
        <w:bottom w:val="none" w:sz="0" w:space="0" w:color="auto"/>
        <w:right w:val="none" w:sz="0" w:space="0" w:color="auto"/>
      </w:divBdr>
    </w:div>
    <w:div w:id="1768111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onganhson@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ngphu@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93/iclq/54.1.161" TargetMode="External"/><Relationship Id="rId4" Type="http://schemas.openxmlformats.org/officeDocument/2006/relationships/webSettings" Target="webSettings.xml"/><Relationship Id="rId9" Type="http://schemas.openxmlformats.org/officeDocument/2006/relationships/hyperlink" Target="https://doi.org/10.1093/iclq/54.1.161"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4516</Words>
  <Characters>24388</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MERCEDES N.N.LOPES SALLES</cp:lastModifiedBy>
  <cp:revision>5</cp:revision>
  <dcterms:created xsi:type="dcterms:W3CDTF">2024-02-16T01:28:00Z</dcterms:created>
  <dcterms:modified xsi:type="dcterms:W3CDTF">2024-02-19T20:19:00Z</dcterms:modified>
</cp:coreProperties>
</file>