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D3039" w14:textId="62A0FB89" w:rsidR="008C6427" w:rsidRPr="006F0C95" w:rsidRDefault="00D60D0A" w:rsidP="006F0C95">
      <w:pPr>
        <w:spacing w:after="0" w:line="240" w:lineRule="auto"/>
        <w:jc w:val="center"/>
        <w:rPr>
          <w:rFonts w:ascii="Cambria" w:eastAsia="Cambria" w:hAnsi="Cambria" w:cs="Cambria"/>
          <w:b/>
          <w:color w:val="000000"/>
          <w:sz w:val="26"/>
          <w:szCs w:val="26"/>
        </w:rPr>
      </w:pPr>
      <w:r>
        <w:rPr>
          <w:rFonts w:ascii="Cambria" w:hAnsi="Cambria"/>
          <w:b/>
          <w:sz w:val="26"/>
          <w:szCs w:val="26"/>
          <w:lang w:val="sv-SE"/>
        </w:rPr>
        <w:t>Fraud In The Provision o</w:t>
      </w:r>
      <w:bookmarkStart w:id="0" w:name="_GoBack"/>
      <w:bookmarkEnd w:id="0"/>
      <w:r w:rsidR="008C6427" w:rsidRPr="006F0C95">
        <w:rPr>
          <w:rFonts w:ascii="Cambria" w:hAnsi="Cambria"/>
          <w:b/>
          <w:sz w:val="26"/>
          <w:szCs w:val="26"/>
          <w:lang w:val="sv-SE"/>
        </w:rPr>
        <w:t>f Health Services In Hospitals During The Covid-19 Pandemic: The Government Sector</w:t>
      </w:r>
    </w:p>
    <w:p w14:paraId="0B555806" w14:textId="77777777" w:rsidR="00D97972" w:rsidRDefault="00D97972" w:rsidP="00D97972">
      <w:pPr>
        <w:spacing w:after="60" w:line="240" w:lineRule="auto"/>
        <w:jc w:val="center"/>
        <w:rPr>
          <w:rFonts w:ascii="Cambria" w:eastAsia="Cambria" w:hAnsi="Cambria" w:cs="Cambria"/>
          <w:b/>
          <w:color w:val="000000"/>
        </w:rPr>
      </w:pPr>
    </w:p>
    <w:p w14:paraId="2503E8A8" w14:textId="40E88878" w:rsidR="006F0C95" w:rsidRPr="006F0C95" w:rsidRDefault="006F0C95" w:rsidP="006F0C95">
      <w:pPr>
        <w:spacing w:after="60" w:line="240" w:lineRule="auto"/>
        <w:jc w:val="center"/>
        <w:rPr>
          <w:rFonts w:ascii="Cambria" w:eastAsia="Cambria" w:hAnsi="Cambria" w:cs="Cambria"/>
          <w:b/>
          <w:color w:val="000000"/>
        </w:rPr>
      </w:pPr>
      <w:proofErr w:type="spellStart"/>
      <w:r w:rsidRPr="006F0C95">
        <w:rPr>
          <w:rFonts w:ascii="Cambria" w:hAnsi="Cambria"/>
          <w:b/>
        </w:rPr>
        <w:t>Elna</w:t>
      </w:r>
      <w:proofErr w:type="spellEnd"/>
      <w:r w:rsidRPr="006F0C95">
        <w:rPr>
          <w:rFonts w:ascii="Cambria" w:hAnsi="Cambria"/>
          <w:b/>
        </w:rPr>
        <w:t xml:space="preserve"> </w:t>
      </w:r>
      <w:proofErr w:type="spellStart"/>
      <w:r w:rsidRPr="006F0C95">
        <w:rPr>
          <w:rFonts w:ascii="Cambria" w:hAnsi="Cambria"/>
          <w:b/>
        </w:rPr>
        <w:t>Marsye</w:t>
      </w:r>
      <w:proofErr w:type="spellEnd"/>
      <w:r w:rsidRPr="006F0C95">
        <w:rPr>
          <w:rFonts w:ascii="Cambria" w:hAnsi="Cambria"/>
          <w:b/>
        </w:rPr>
        <w:t xml:space="preserve"> </w:t>
      </w:r>
      <w:proofErr w:type="spellStart"/>
      <w:r w:rsidRPr="006F0C95">
        <w:rPr>
          <w:rFonts w:ascii="Cambria" w:hAnsi="Cambria"/>
          <w:b/>
        </w:rPr>
        <w:t>Pattinaja</w:t>
      </w:r>
      <w:proofErr w:type="spellEnd"/>
      <w:r w:rsidRPr="006F0C95">
        <w:rPr>
          <w:rFonts w:ascii="Cambria" w:hAnsi="Cambria"/>
          <w:b/>
          <w:vertAlign w:val="superscript"/>
          <w:lang w:val="id-ID"/>
        </w:rPr>
        <w:t>1</w:t>
      </w:r>
      <w:r w:rsidRPr="006F0C95">
        <w:rPr>
          <w:rFonts w:ascii="Cambria" w:hAnsi="Cambria"/>
          <w:b/>
        </w:rPr>
        <w:t xml:space="preserve">, </w:t>
      </w:r>
      <w:r w:rsidRPr="006F0C95">
        <w:rPr>
          <w:rFonts w:ascii="Cambria" w:hAnsi="Cambria"/>
          <w:b/>
        </w:rPr>
        <w:t>Fanny Monica Anakotta</w:t>
      </w:r>
      <w:r w:rsidRPr="006F0C95">
        <w:rPr>
          <w:rFonts w:ascii="Cambria" w:hAnsi="Cambria"/>
          <w:b/>
          <w:vertAlign w:val="superscript"/>
        </w:rPr>
        <w:t>1</w:t>
      </w:r>
      <w:r w:rsidRPr="006F0C95">
        <w:rPr>
          <w:rFonts w:ascii="Cambria" w:hAnsi="Cambria"/>
          <w:b/>
        </w:rPr>
        <w:t xml:space="preserve">, </w:t>
      </w:r>
      <w:proofErr w:type="spellStart"/>
      <w:r w:rsidRPr="006F0C95">
        <w:rPr>
          <w:rFonts w:ascii="Cambria" w:hAnsi="Cambria"/>
          <w:b/>
        </w:rPr>
        <w:t>Hempry</w:t>
      </w:r>
      <w:proofErr w:type="spellEnd"/>
      <w:r w:rsidRPr="006F0C95">
        <w:rPr>
          <w:rFonts w:ascii="Cambria" w:hAnsi="Cambria"/>
          <w:b/>
        </w:rPr>
        <w:t xml:space="preserve"> Putuhena</w:t>
      </w:r>
      <w:r w:rsidRPr="006F0C95">
        <w:rPr>
          <w:rFonts w:ascii="Cambria" w:hAnsi="Cambria"/>
          <w:b/>
          <w:noProof/>
          <w:vertAlign w:val="superscript"/>
        </w:rPr>
        <w:t>1</w:t>
      </w:r>
      <w:r w:rsidRPr="006F0C95">
        <w:rPr>
          <w:rFonts w:ascii="Cambria" w:hAnsi="Cambria"/>
          <w:b/>
          <w:noProof/>
        </w:rPr>
        <w:t xml:space="preserve">, </w:t>
      </w:r>
      <w:proofErr w:type="spellStart"/>
      <w:r w:rsidRPr="006F0C95">
        <w:rPr>
          <w:rFonts w:ascii="Cambria" w:hAnsi="Cambria"/>
          <w:b/>
        </w:rPr>
        <w:t>Sujatmiko</w:t>
      </w:r>
      <w:proofErr w:type="spellEnd"/>
      <w:r w:rsidRPr="006F0C95">
        <w:rPr>
          <w:rFonts w:ascii="Cambria" w:hAnsi="Cambria"/>
          <w:b/>
        </w:rPr>
        <w:t xml:space="preserve"> Wibowo</w:t>
      </w:r>
      <w:r w:rsidRPr="006F0C95">
        <w:rPr>
          <w:rFonts w:ascii="Cambria" w:hAnsi="Cambria"/>
          <w:b/>
          <w:noProof/>
          <w:vertAlign w:val="superscript"/>
        </w:rPr>
        <w:t>2</w:t>
      </w:r>
    </w:p>
    <w:p w14:paraId="244A7492" w14:textId="72D93CB7" w:rsidR="006F0C95" w:rsidRPr="006F0C95" w:rsidRDefault="006F0C95" w:rsidP="006F0C95">
      <w:pPr>
        <w:pStyle w:val="JurnalASSETSPenulis"/>
        <w:rPr>
          <w:rFonts w:ascii="Cambria" w:hAnsi="Cambria"/>
          <w:b w:val="0"/>
        </w:rPr>
      </w:pPr>
      <w:r w:rsidRPr="006F0C95">
        <w:rPr>
          <w:rFonts w:ascii="Cambria" w:hAnsi="Cambria"/>
          <w:b w:val="0"/>
          <w:vertAlign w:val="superscript"/>
        </w:rPr>
        <w:t>1</w:t>
      </w:r>
      <w:r w:rsidRPr="006F0C95">
        <w:rPr>
          <w:rFonts w:ascii="Cambria" w:hAnsi="Cambria"/>
          <w:b w:val="0"/>
        </w:rPr>
        <w:t>Department</w:t>
      </w:r>
      <w:r w:rsidRPr="006F0C95">
        <w:rPr>
          <w:rFonts w:ascii="Cambria" w:hAnsi="Cambria"/>
          <w:b w:val="0"/>
        </w:rPr>
        <w:t xml:space="preserve"> of Accounting, Faculty of Economics and Business, </w:t>
      </w:r>
      <w:proofErr w:type="spellStart"/>
      <w:r w:rsidRPr="006F0C95">
        <w:rPr>
          <w:rFonts w:ascii="Cambria" w:hAnsi="Cambria"/>
          <w:b w:val="0"/>
        </w:rPr>
        <w:t>Pattimura</w:t>
      </w:r>
      <w:proofErr w:type="spellEnd"/>
      <w:r w:rsidRPr="006F0C95">
        <w:rPr>
          <w:rFonts w:ascii="Cambria" w:hAnsi="Cambria"/>
          <w:b w:val="0"/>
        </w:rPr>
        <w:t xml:space="preserve"> University</w:t>
      </w:r>
    </w:p>
    <w:p w14:paraId="4B94D97E" w14:textId="687EA746" w:rsidR="006F0C95" w:rsidRPr="006F0C95" w:rsidRDefault="006F0C95" w:rsidP="006F0C95">
      <w:pPr>
        <w:pStyle w:val="JurnalASSETSPenulis"/>
        <w:rPr>
          <w:rFonts w:ascii="Cambria" w:hAnsi="Cambria"/>
          <w:b w:val="0"/>
          <w:noProof/>
        </w:rPr>
      </w:pPr>
      <w:r w:rsidRPr="006F0C95">
        <w:rPr>
          <w:rFonts w:ascii="Cambria" w:hAnsi="Cambria"/>
          <w:b w:val="0"/>
          <w:vertAlign w:val="superscript"/>
        </w:rPr>
        <w:t>2</w:t>
      </w:r>
      <w:r w:rsidRPr="006F0C95">
        <w:rPr>
          <w:rFonts w:ascii="Cambria" w:hAnsi="Cambria"/>
          <w:b w:val="0"/>
        </w:rPr>
        <w:t>Department</w:t>
      </w:r>
      <w:r w:rsidRPr="006F0C95">
        <w:rPr>
          <w:rFonts w:ascii="Cambria" w:hAnsi="Cambria"/>
          <w:b w:val="0"/>
          <w:noProof/>
          <w:lang w:val="id-ID"/>
        </w:rPr>
        <w:t xml:space="preserve"> of Accounting, Faculty of Economics, Pakuan University</w:t>
      </w:r>
    </w:p>
    <w:p w14:paraId="6BBFAED2" w14:textId="5059842A" w:rsidR="006F0C95" w:rsidRPr="00307F16" w:rsidRDefault="00307F16" w:rsidP="006F0C95">
      <w:pPr>
        <w:spacing w:after="0" w:line="240" w:lineRule="auto"/>
        <w:jc w:val="center"/>
        <w:rPr>
          <w:rFonts w:ascii="Cambria" w:eastAsia="Cambria" w:hAnsi="Cambria" w:cs="Cambria"/>
          <w:color w:val="000000"/>
          <w:sz w:val="20"/>
          <w:szCs w:val="20"/>
        </w:rPr>
      </w:pPr>
      <w:r w:rsidRPr="006F0C95">
        <w:rPr>
          <w:rFonts w:ascii="Cambria" w:eastAsia="Cambria" w:hAnsi="Cambria" w:cs="Cambria"/>
          <w:color w:val="000000"/>
          <w:sz w:val="20"/>
          <w:szCs w:val="20"/>
        </w:rPr>
        <w:t xml:space="preserve">E-mail: </w:t>
      </w:r>
      <w:r w:rsidR="006F0C95" w:rsidRPr="006F0C95">
        <w:rPr>
          <w:rFonts w:ascii="Cambria" w:hAnsi="Cambria"/>
          <w:sz w:val="20"/>
          <w:szCs w:val="20"/>
        </w:rPr>
        <w:t>pattinajaem@gmail.com</w:t>
      </w:r>
    </w:p>
    <w:p w14:paraId="05271E61"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14:paraId="771400F6" w14:textId="44B77886" w:rsidR="006C3AFF" w:rsidRPr="006C3AFF" w:rsidRDefault="006C3AFF" w:rsidP="006C3AFF">
      <w:pPr>
        <w:spacing w:after="0" w:line="240" w:lineRule="auto"/>
        <w:ind w:left="567" w:right="567"/>
        <w:jc w:val="both"/>
        <w:rPr>
          <w:rFonts w:ascii="Cambria" w:eastAsia="Cambria" w:hAnsi="Cambria" w:cs="Cambria"/>
          <w:color w:val="000000"/>
          <w:sz w:val="18"/>
          <w:szCs w:val="18"/>
        </w:rPr>
      </w:pPr>
      <w:r w:rsidRPr="006C3AFF">
        <w:rPr>
          <w:rFonts w:ascii="Cambria" w:hAnsi="Cambria"/>
          <w:sz w:val="18"/>
          <w:szCs w:val="18"/>
        </w:rPr>
        <w:t xml:space="preserve">Fraud is currently rife, not only in the private sector but also in the government sector. The government sector, which is the central point in this research, is the world of health, especially hospitals related to the procurement of goods and services for </w:t>
      </w:r>
      <w:proofErr w:type="spellStart"/>
      <w:r w:rsidRPr="006C3AFF">
        <w:rPr>
          <w:rFonts w:ascii="Cambria" w:hAnsi="Cambria"/>
          <w:sz w:val="18"/>
          <w:szCs w:val="18"/>
        </w:rPr>
        <w:t>covid</w:t>
      </w:r>
      <w:proofErr w:type="spellEnd"/>
      <w:r w:rsidRPr="006C3AFF">
        <w:rPr>
          <w:rFonts w:ascii="Cambria" w:hAnsi="Cambria"/>
          <w:sz w:val="18"/>
          <w:szCs w:val="18"/>
        </w:rPr>
        <w:t xml:space="preserve"> 19. This study aimed to analyze the factors that affect the procurement of goods and services during the </w:t>
      </w:r>
      <w:proofErr w:type="spellStart"/>
      <w:r w:rsidRPr="006C3AFF">
        <w:rPr>
          <w:rFonts w:ascii="Cambria" w:hAnsi="Cambria"/>
          <w:sz w:val="18"/>
          <w:szCs w:val="18"/>
        </w:rPr>
        <w:t>covid</w:t>
      </w:r>
      <w:proofErr w:type="spellEnd"/>
      <w:r w:rsidRPr="006C3AFF">
        <w:rPr>
          <w:rFonts w:ascii="Cambria" w:hAnsi="Cambria"/>
          <w:sz w:val="18"/>
          <w:szCs w:val="18"/>
        </w:rPr>
        <w:t xml:space="preserve"> 19 pandemic. This casual-comparative research type is research with the characteristics of the problem in the form of a cause-and-effect relationship between two or more variables. The study was conducted at 6 government hospitals in Maluku Province. The study results indicate that there is significant fraud related to the procurement of goods and services for </w:t>
      </w:r>
      <w:proofErr w:type="spellStart"/>
      <w:r w:rsidRPr="006C3AFF">
        <w:rPr>
          <w:rFonts w:ascii="Cambria" w:hAnsi="Cambria"/>
          <w:sz w:val="18"/>
          <w:szCs w:val="18"/>
        </w:rPr>
        <w:t>covid</w:t>
      </w:r>
      <w:proofErr w:type="spellEnd"/>
      <w:r w:rsidRPr="006C3AFF">
        <w:rPr>
          <w:rFonts w:ascii="Cambria" w:hAnsi="Cambria"/>
          <w:sz w:val="18"/>
          <w:szCs w:val="18"/>
        </w:rPr>
        <w:t xml:space="preserve"> 19. Thus, the quality of the committee, systems and procedures, environment, internal control, and organizational commitment affect the prevention of fraud in the procurement of the goods in hospitals, Maluku province, Indonesia.</w:t>
      </w:r>
    </w:p>
    <w:p w14:paraId="4BEBCE02" w14:textId="77777777" w:rsidR="00D97972" w:rsidRPr="006C3AFF" w:rsidRDefault="00D97972" w:rsidP="00D97972">
      <w:pPr>
        <w:spacing w:after="0" w:line="240" w:lineRule="auto"/>
        <w:ind w:left="1560" w:right="567" w:hanging="993"/>
        <w:jc w:val="both"/>
        <w:rPr>
          <w:rFonts w:ascii="Cambria" w:eastAsia="Cambria" w:hAnsi="Cambria" w:cs="Cambria"/>
          <w:color w:val="000000"/>
          <w:sz w:val="18"/>
          <w:szCs w:val="18"/>
        </w:rPr>
      </w:pPr>
    </w:p>
    <w:p w14:paraId="2ADEAECF" w14:textId="28EF8977" w:rsidR="00682027" w:rsidRPr="00682027" w:rsidRDefault="00682027" w:rsidP="00682027">
      <w:pPr>
        <w:spacing w:after="0" w:line="240" w:lineRule="auto"/>
        <w:ind w:left="1560" w:right="567" w:hanging="993"/>
        <w:jc w:val="both"/>
        <w:rPr>
          <w:rFonts w:ascii="Cambria" w:eastAsia="Cambria" w:hAnsi="Cambria" w:cs="Cambria"/>
          <w:color w:val="000000"/>
          <w:sz w:val="18"/>
          <w:szCs w:val="18"/>
        </w:rPr>
      </w:pPr>
      <w:r>
        <w:rPr>
          <w:rFonts w:ascii="Cambria" w:eastAsia="Cambria" w:hAnsi="Cambria" w:cs="Cambria"/>
          <w:color w:val="000000"/>
          <w:sz w:val="18"/>
          <w:szCs w:val="18"/>
        </w:rPr>
        <w:t xml:space="preserve">Keywords: </w:t>
      </w:r>
      <w:r w:rsidR="00703682">
        <w:rPr>
          <w:rFonts w:ascii="Cambria" w:hAnsi="Cambria"/>
          <w:color w:val="000000"/>
          <w:sz w:val="18"/>
          <w:szCs w:val="18"/>
        </w:rPr>
        <w:t>Fraud, Goods, Services,</w:t>
      </w:r>
      <w:r w:rsidRPr="00682027">
        <w:rPr>
          <w:rFonts w:ascii="Cambria" w:hAnsi="Cambria"/>
          <w:color w:val="000000"/>
          <w:sz w:val="18"/>
          <w:szCs w:val="18"/>
        </w:rPr>
        <w:t xml:space="preserve"> Covid-19</w:t>
      </w:r>
    </w:p>
    <w:p w14:paraId="4899EEE8" w14:textId="77777777" w:rsidR="00D97972" w:rsidRDefault="00D97972" w:rsidP="00D97972">
      <w:pPr>
        <w:spacing w:before="240" w:after="60" w:line="240" w:lineRule="auto"/>
        <w:jc w:val="center"/>
        <w:rPr>
          <w:rFonts w:ascii="Cambria" w:eastAsia="Cambria" w:hAnsi="Cambria" w:cs="Cambria"/>
          <w:b/>
          <w:color w:val="000000"/>
        </w:rPr>
      </w:pPr>
      <w:proofErr w:type="spellStart"/>
      <w:r>
        <w:rPr>
          <w:rFonts w:ascii="Cambria" w:eastAsia="Cambria" w:hAnsi="Cambria" w:cs="Cambria"/>
          <w:b/>
          <w:color w:val="000000"/>
        </w:rPr>
        <w:t>Abstrak</w:t>
      </w:r>
      <w:proofErr w:type="spellEnd"/>
    </w:p>
    <w:p w14:paraId="34EE4E3D" w14:textId="4CD00085" w:rsidR="00703682" w:rsidRPr="00703682" w:rsidRDefault="00703682" w:rsidP="00703682">
      <w:pPr>
        <w:pBdr>
          <w:bottom w:val="single" w:sz="2" w:space="3" w:color="000000" w:shadow="1"/>
        </w:pBdr>
        <w:spacing w:after="0" w:line="240" w:lineRule="auto"/>
        <w:ind w:left="567" w:right="567"/>
        <w:jc w:val="both"/>
        <w:rPr>
          <w:rFonts w:ascii="Cambria" w:eastAsia="Cambria" w:hAnsi="Cambria" w:cs="Cambria"/>
          <w:color w:val="000000"/>
          <w:sz w:val="18"/>
          <w:szCs w:val="18"/>
        </w:rPr>
      </w:pPr>
      <w:proofErr w:type="spellStart"/>
      <w:proofErr w:type="gramStart"/>
      <w:r w:rsidRPr="00703682">
        <w:rPr>
          <w:rFonts w:ascii="Cambria" w:hAnsi="Cambria"/>
          <w:color w:val="000000"/>
          <w:sz w:val="18"/>
          <w:szCs w:val="18"/>
        </w:rPr>
        <w:t>Kecurangan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saat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ini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marak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terjadi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tidak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hanya</w:t>
      </w:r>
      <w:proofErr w:type="spellEnd"/>
      <w:r w:rsidRPr="00703682">
        <w:rPr>
          <w:rFonts w:ascii="Cambria" w:hAnsi="Cambria"/>
          <w:color w:val="000000"/>
          <w:sz w:val="18"/>
          <w:szCs w:val="18"/>
        </w:rPr>
        <w:t xml:space="preserve"> di </w:t>
      </w:r>
      <w:proofErr w:type="spellStart"/>
      <w:r w:rsidRPr="00703682">
        <w:rPr>
          <w:rFonts w:ascii="Cambria" w:hAnsi="Cambria"/>
          <w:color w:val="000000"/>
          <w:sz w:val="18"/>
          <w:szCs w:val="18"/>
        </w:rPr>
        <w:t>sektor</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swasta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tetapi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juga</w:t>
      </w:r>
      <w:proofErr w:type="spellEnd"/>
      <w:r w:rsidRPr="00703682">
        <w:rPr>
          <w:rFonts w:ascii="Cambria" w:hAnsi="Cambria"/>
          <w:color w:val="000000"/>
          <w:sz w:val="18"/>
          <w:szCs w:val="18"/>
        </w:rPr>
        <w:t xml:space="preserve"> di </w:t>
      </w:r>
      <w:proofErr w:type="spellStart"/>
      <w:r w:rsidRPr="00703682">
        <w:rPr>
          <w:rFonts w:ascii="Cambria" w:hAnsi="Cambria"/>
          <w:color w:val="000000"/>
          <w:sz w:val="18"/>
          <w:szCs w:val="18"/>
        </w:rPr>
        <w:t>sektor</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pemerintah</w:t>
      </w:r>
      <w:proofErr w:type="spellEnd"/>
      <w:r w:rsidRPr="00703682">
        <w:rPr>
          <w:rFonts w:ascii="Cambria" w:hAnsi="Cambria"/>
          <w:color w:val="000000"/>
          <w:sz w:val="18"/>
          <w:szCs w:val="18"/>
        </w:rPr>
        <w:t>.</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Sektor</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pemerintah</w:t>
      </w:r>
      <w:proofErr w:type="spellEnd"/>
      <w:r w:rsidRPr="00703682">
        <w:rPr>
          <w:rFonts w:ascii="Cambria" w:hAnsi="Cambria"/>
          <w:color w:val="000000"/>
          <w:sz w:val="18"/>
          <w:szCs w:val="18"/>
        </w:rPr>
        <w:t xml:space="preserve"> yang </w:t>
      </w:r>
      <w:proofErr w:type="spellStart"/>
      <w:r w:rsidRPr="00703682">
        <w:rPr>
          <w:rFonts w:ascii="Cambria" w:hAnsi="Cambria"/>
          <w:color w:val="000000"/>
          <w:sz w:val="18"/>
          <w:szCs w:val="18"/>
        </w:rPr>
        <w:t>menjadi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titik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sentral</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dalam</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ini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adalah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dunia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kesehatan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khususnya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rumah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sakit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terkait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pengadaan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barang</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jasa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untuk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covid</w:t>
      </w:r>
      <w:proofErr w:type="spellEnd"/>
      <w:r w:rsidRPr="00703682">
        <w:rPr>
          <w:rFonts w:ascii="Cambria" w:hAnsi="Cambria"/>
          <w:color w:val="000000"/>
          <w:sz w:val="18"/>
          <w:szCs w:val="18"/>
        </w:rPr>
        <w:t xml:space="preserve"> 19.</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ini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bertujuan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untuk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menganalisis</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faktor-faktor</w:t>
      </w:r>
      <w:proofErr w:type="spellEnd"/>
      <w:r w:rsidRPr="00703682">
        <w:rPr>
          <w:rFonts w:ascii="Cambria" w:hAnsi="Cambria"/>
          <w:color w:val="000000"/>
          <w:sz w:val="18"/>
          <w:szCs w:val="18"/>
        </w:rPr>
        <w:t xml:space="preserve"> yang </w:t>
      </w:r>
      <w:proofErr w:type="spellStart"/>
      <w:r w:rsidRPr="00703682">
        <w:rPr>
          <w:rFonts w:ascii="Cambria" w:hAnsi="Cambria"/>
          <w:color w:val="000000"/>
          <w:sz w:val="18"/>
          <w:szCs w:val="18"/>
        </w:rPr>
        <w:t>mempengaruhi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pengadaan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barang</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jasa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selama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pandemi</w:t>
      </w:r>
      <w:proofErr w:type="spellEnd"/>
      <w:r w:rsidRPr="00703682">
        <w:rPr>
          <w:rFonts w:ascii="Cambria" w:hAnsi="Cambria"/>
          <w:color w:val="000000"/>
          <w:sz w:val="18"/>
          <w:szCs w:val="18"/>
        </w:rPr>
        <w:t xml:space="preserve"> covid19.</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Jenis</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kasual-komparatif</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ini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adalah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dengan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ciri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masalah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berupa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hubungan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sebab</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akibat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antara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dua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variabel</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atau</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lebih</w:t>
      </w:r>
      <w:proofErr w:type="spellEnd"/>
      <w:r w:rsidRPr="00703682">
        <w:rPr>
          <w:rFonts w:ascii="Cambria" w:hAnsi="Cambria"/>
          <w:color w:val="000000"/>
          <w:sz w:val="18"/>
          <w:szCs w:val="18"/>
        </w:rPr>
        <w:t>.</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dilakukan</w:t>
      </w:r>
      <w:proofErr w:type="spellEnd"/>
      <w:r w:rsidRPr="00703682">
        <w:rPr>
          <w:rFonts w:ascii="Cambria" w:hAnsi="Cambria"/>
          <w:color w:val="000000"/>
          <w:sz w:val="18"/>
          <w:szCs w:val="18"/>
        </w:rPr>
        <w:t xml:space="preserve"> di 6 </w:t>
      </w:r>
      <w:proofErr w:type="spellStart"/>
      <w:r w:rsidRPr="00703682">
        <w:rPr>
          <w:rFonts w:ascii="Cambria" w:hAnsi="Cambria"/>
          <w:color w:val="000000"/>
          <w:sz w:val="18"/>
          <w:szCs w:val="18"/>
        </w:rPr>
        <w:t>rumah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sakit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pemerintah</w:t>
      </w:r>
      <w:proofErr w:type="spellEnd"/>
      <w:r w:rsidRPr="00703682">
        <w:rPr>
          <w:rFonts w:ascii="Cambria" w:hAnsi="Cambria"/>
          <w:color w:val="000000"/>
          <w:sz w:val="18"/>
          <w:szCs w:val="18"/>
        </w:rPr>
        <w:t xml:space="preserve"> di </w:t>
      </w:r>
      <w:proofErr w:type="spellStart"/>
      <w:r w:rsidRPr="00703682">
        <w:rPr>
          <w:rFonts w:ascii="Cambria" w:hAnsi="Cambria"/>
          <w:color w:val="000000"/>
          <w:sz w:val="18"/>
          <w:szCs w:val="18"/>
        </w:rPr>
        <w:t>Provinsi</w:t>
      </w:r>
      <w:proofErr w:type="spellEnd"/>
      <w:r w:rsidRPr="00703682">
        <w:rPr>
          <w:rFonts w:ascii="Cambria" w:hAnsi="Cambria"/>
          <w:color w:val="000000"/>
          <w:sz w:val="18"/>
          <w:szCs w:val="18"/>
        </w:rPr>
        <w:t xml:space="preserve"> Maluku.</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Hasil</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penelitian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menunjukkan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bahwa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terdapat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kecurangan</w:t>
      </w:r>
      <w:proofErr w:type="spellEnd"/>
      <w:r w:rsidRPr="00703682">
        <w:rPr>
          <w:rFonts w:ascii="Cambria" w:hAnsi="Cambria"/>
          <w:color w:val="000000"/>
          <w:sz w:val="18"/>
          <w:szCs w:val="18"/>
        </w:rPr>
        <w:t xml:space="preserve"> yang </w:t>
      </w:r>
      <w:proofErr w:type="spellStart"/>
      <w:r w:rsidRPr="00703682">
        <w:rPr>
          <w:rFonts w:ascii="Cambria" w:hAnsi="Cambria"/>
          <w:color w:val="000000"/>
          <w:sz w:val="18"/>
          <w:szCs w:val="18"/>
        </w:rPr>
        <w:t>signifikan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terkait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pengadaan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barang</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jasa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untuk</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covid</w:t>
      </w:r>
      <w:proofErr w:type="spellEnd"/>
      <w:r w:rsidRPr="00703682">
        <w:rPr>
          <w:rFonts w:ascii="Cambria" w:hAnsi="Cambria"/>
          <w:color w:val="000000"/>
          <w:sz w:val="18"/>
          <w:szCs w:val="18"/>
        </w:rPr>
        <w:t xml:space="preserve"> 19.</w:t>
      </w:r>
      <w:proofErr w:type="gramEnd"/>
      <w:r w:rsidRPr="00703682">
        <w:rPr>
          <w:rFonts w:ascii="Cambria" w:hAnsi="Cambria"/>
          <w:color w:val="000000"/>
          <w:sz w:val="18"/>
          <w:szCs w:val="18"/>
        </w:rPr>
        <w:t xml:space="preserve"> </w:t>
      </w:r>
      <w:proofErr w:type="spellStart"/>
      <w:proofErr w:type="gramStart"/>
      <w:r w:rsidRPr="00703682">
        <w:rPr>
          <w:rFonts w:ascii="Cambria" w:hAnsi="Cambria"/>
          <w:color w:val="000000"/>
          <w:sz w:val="18"/>
          <w:szCs w:val="18"/>
        </w:rPr>
        <w:t>Dengan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demikian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kualitas</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panitia</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sistem</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prosedur</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lingkungan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pengendalian</w:t>
      </w:r>
      <w:proofErr w:type="spellEnd"/>
      <w:r w:rsidRPr="00703682">
        <w:rPr>
          <w:rFonts w:ascii="Cambria" w:hAnsi="Cambria"/>
          <w:color w:val="000000"/>
          <w:sz w:val="18"/>
          <w:szCs w:val="18"/>
        </w:rPr>
        <w:t xml:space="preserve"> internal, </w:t>
      </w:r>
      <w:proofErr w:type="spellStart"/>
      <w:r w:rsidRPr="00703682">
        <w:rPr>
          <w:rFonts w:ascii="Cambria" w:hAnsi="Cambria"/>
          <w:color w:val="000000"/>
          <w:sz w:val="18"/>
          <w:szCs w:val="18"/>
        </w:rPr>
        <w:t>dan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komitmen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organisasi</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berpengaruh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terhadap</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pencegahan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kecurangan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dalam</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pengadaan</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barang</w:t>
      </w:r>
      <w:proofErr w:type="spellEnd"/>
      <w:r w:rsidRPr="00703682">
        <w:rPr>
          <w:rFonts w:ascii="Cambria" w:hAnsi="Cambria"/>
          <w:color w:val="000000"/>
          <w:sz w:val="18"/>
          <w:szCs w:val="18"/>
        </w:rPr>
        <w:t xml:space="preserve"> di </w:t>
      </w:r>
      <w:proofErr w:type="spellStart"/>
      <w:r w:rsidRPr="00703682">
        <w:rPr>
          <w:rFonts w:ascii="Cambria" w:hAnsi="Cambria"/>
          <w:color w:val="000000"/>
          <w:sz w:val="18"/>
          <w:szCs w:val="18"/>
        </w:rPr>
        <w:t>rumah</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sakit</w:t>
      </w:r>
      <w:proofErr w:type="spellEnd"/>
      <w:r w:rsidRPr="00703682">
        <w:rPr>
          <w:rFonts w:ascii="Cambria" w:hAnsi="Cambria"/>
          <w:color w:val="000000"/>
          <w:sz w:val="18"/>
          <w:szCs w:val="18"/>
        </w:rPr>
        <w:t xml:space="preserve">, </w:t>
      </w:r>
      <w:proofErr w:type="spellStart"/>
      <w:r w:rsidRPr="00703682">
        <w:rPr>
          <w:rFonts w:ascii="Cambria" w:hAnsi="Cambria"/>
          <w:color w:val="000000"/>
          <w:sz w:val="18"/>
          <w:szCs w:val="18"/>
        </w:rPr>
        <w:t>provinsi</w:t>
      </w:r>
      <w:proofErr w:type="spellEnd"/>
      <w:r w:rsidRPr="00703682">
        <w:rPr>
          <w:rFonts w:ascii="Cambria" w:hAnsi="Cambria"/>
          <w:color w:val="000000"/>
          <w:sz w:val="18"/>
          <w:szCs w:val="18"/>
        </w:rPr>
        <w:t xml:space="preserve"> Maluku, Indonesia.</w:t>
      </w:r>
      <w:proofErr w:type="gramEnd"/>
    </w:p>
    <w:p w14:paraId="453B513C" w14:textId="77777777" w:rsidR="00D97972" w:rsidRDefault="00D97972" w:rsidP="00D97972">
      <w:pPr>
        <w:pBdr>
          <w:bottom w:val="single" w:sz="2" w:space="3" w:color="000000" w:shadow="1"/>
        </w:pBdr>
        <w:spacing w:after="0" w:line="240" w:lineRule="auto"/>
        <w:ind w:left="1701" w:right="567" w:hanging="1134"/>
        <w:jc w:val="both"/>
        <w:rPr>
          <w:rFonts w:ascii="Cambria" w:eastAsia="Cambria" w:hAnsi="Cambria" w:cs="Cambria"/>
          <w:color w:val="000000"/>
          <w:sz w:val="18"/>
          <w:szCs w:val="18"/>
        </w:rPr>
      </w:pPr>
    </w:p>
    <w:p w14:paraId="0922EA9F" w14:textId="51453FE3" w:rsidR="00FF45B1" w:rsidRPr="00FF45B1" w:rsidRDefault="00D97972" w:rsidP="00FF45B1">
      <w:pPr>
        <w:pBdr>
          <w:bottom w:val="single" w:sz="2" w:space="3" w:color="000000" w:shadow="1"/>
        </w:pBdr>
        <w:spacing w:after="0" w:line="240" w:lineRule="auto"/>
        <w:ind w:left="567" w:right="567"/>
        <w:jc w:val="both"/>
        <w:rPr>
          <w:rFonts w:ascii="Cambria" w:eastAsia="Cambria" w:hAnsi="Cambria" w:cs="Cambria"/>
          <w:color w:val="000000"/>
          <w:sz w:val="18"/>
          <w:szCs w:val="18"/>
        </w:rPr>
      </w:pPr>
      <w:r>
        <w:rPr>
          <w:rFonts w:ascii="Cambria" w:eastAsia="Cambria" w:hAnsi="Cambria" w:cs="Cambria"/>
          <w:color w:val="000000"/>
          <w:sz w:val="18"/>
          <w:szCs w:val="18"/>
        </w:rPr>
        <w:t xml:space="preserve">Kata </w:t>
      </w:r>
      <w:proofErr w:type="spellStart"/>
      <w:r w:rsidR="0033149F">
        <w:rPr>
          <w:rFonts w:ascii="Cambria" w:eastAsia="Cambria" w:hAnsi="Cambria" w:cs="Cambria"/>
          <w:color w:val="000000"/>
          <w:sz w:val="18"/>
          <w:szCs w:val="18"/>
        </w:rPr>
        <w:t>k</w:t>
      </w:r>
      <w:r w:rsidR="00FF45B1">
        <w:rPr>
          <w:rFonts w:ascii="Cambria" w:eastAsia="Cambria" w:hAnsi="Cambria" w:cs="Cambria"/>
          <w:color w:val="000000"/>
          <w:sz w:val="18"/>
          <w:szCs w:val="18"/>
        </w:rPr>
        <w:t>unci</w:t>
      </w:r>
      <w:proofErr w:type="spellEnd"/>
      <w:r w:rsidR="00FF45B1">
        <w:rPr>
          <w:rFonts w:ascii="Cambria" w:eastAsia="Cambria" w:hAnsi="Cambria" w:cs="Cambria"/>
          <w:color w:val="000000"/>
          <w:sz w:val="18"/>
          <w:szCs w:val="18"/>
        </w:rPr>
        <w:t xml:space="preserve">: </w:t>
      </w:r>
      <w:proofErr w:type="spellStart"/>
      <w:r w:rsidR="00FF45B1">
        <w:rPr>
          <w:rFonts w:ascii="Cambria" w:eastAsia="Times New Roman" w:hAnsi="Cambria"/>
          <w:color w:val="000000"/>
          <w:sz w:val="18"/>
          <w:szCs w:val="18"/>
        </w:rPr>
        <w:t>Kecurangan</w:t>
      </w:r>
      <w:proofErr w:type="spellEnd"/>
      <w:r w:rsidR="00FF45B1">
        <w:rPr>
          <w:rFonts w:ascii="Cambria" w:eastAsia="Times New Roman" w:hAnsi="Cambria"/>
          <w:color w:val="000000"/>
          <w:sz w:val="18"/>
          <w:szCs w:val="18"/>
        </w:rPr>
        <w:t>,</w:t>
      </w:r>
      <w:r w:rsidR="00FF45B1" w:rsidRPr="00FF45B1">
        <w:rPr>
          <w:rFonts w:ascii="Cambria" w:eastAsia="Times New Roman" w:hAnsi="Cambria"/>
          <w:color w:val="000000"/>
          <w:sz w:val="18"/>
          <w:szCs w:val="18"/>
        </w:rPr>
        <w:t xml:space="preserve"> </w:t>
      </w:r>
      <w:proofErr w:type="spellStart"/>
      <w:r w:rsidR="00FF45B1">
        <w:rPr>
          <w:rFonts w:ascii="Cambria" w:eastAsia="Times New Roman" w:hAnsi="Cambria"/>
          <w:color w:val="000000"/>
          <w:sz w:val="18"/>
          <w:szCs w:val="18"/>
        </w:rPr>
        <w:t>Barang</w:t>
      </w:r>
      <w:proofErr w:type="spellEnd"/>
      <w:r w:rsidR="00FF45B1" w:rsidRPr="00FF45B1">
        <w:rPr>
          <w:rFonts w:ascii="Cambria" w:eastAsia="Times New Roman" w:hAnsi="Cambria"/>
          <w:color w:val="000000"/>
          <w:sz w:val="18"/>
          <w:szCs w:val="18"/>
        </w:rPr>
        <w:t xml:space="preserve">, </w:t>
      </w:r>
      <w:proofErr w:type="spellStart"/>
      <w:r w:rsidR="00FF45B1">
        <w:rPr>
          <w:rFonts w:ascii="Cambria" w:eastAsia="Times New Roman" w:hAnsi="Cambria"/>
          <w:color w:val="000000"/>
          <w:sz w:val="18"/>
          <w:szCs w:val="18"/>
        </w:rPr>
        <w:t>Jasa</w:t>
      </w:r>
      <w:proofErr w:type="spellEnd"/>
      <w:r w:rsidR="00FF45B1">
        <w:rPr>
          <w:rFonts w:ascii="Cambria" w:eastAsia="Times New Roman" w:hAnsi="Cambria"/>
          <w:color w:val="000000"/>
          <w:sz w:val="18"/>
          <w:szCs w:val="18"/>
        </w:rPr>
        <w:t xml:space="preserve">, </w:t>
      </w:r>
      <w:r w:rsidR="00FF45B1" w:rsidRPr="00FF45B1">
        <w:rPr>
          <w:rFonts w:ascii="Cambria" w:eastAsia="Times New Roman" w:hAnsi="Cambria"/>
          <w:color w:val="000000"/>
          <w:sz w:val="18"/>
          <w:szCs w:val="18"/>
        </w:rPr>
        <w:t>Covid-19</w:t>
      </w:r>
    </w:p>
    <w:p w14:paraId="2C9B4DAF" w14:textId="77777777" w:rsidR="00D97972" w:rsidRDefault="00D97972" w:rsidP="00D97972">
      <w:pPr>
        <w:pStyle w:val="07HEADA"/>
        <w:rPr>
          <w:rFonts w:eastAsia="Cambria"/>
        </w:rPr>
      </w:pPr>
      <w:r>
        <w:rPr>
          <w:rFonts w:eastAsia="Cambria"/>
        </w:rPr>
        <w:t>INTRODUCTION</w:t>
      </w:r>
    </w:p>
    <w:p w14:paraId="7D27AC66" w14:textId="392C7042" w:rsidR="00883589" w:rsidRPr="00883589" w:rsidRDefault="00883589" w:rsidP="00883589">
      <w:pPr>
        <w:spacing w:after="0" w:line="278" w:lineRule="auto"/>
        <w:ind w:firstLine="567"/>
        <w:jc w:val="both"/>
        <w:rPr>
          <w:rFonts w:ascii="Cambria" w:eastAsia="Cambria" w:hAnsi="Cambria" w:cs="Cambria"/>
          <w:color w:val="000000"/>
          <w:sz w:val="21"/>
          <w:szCs w:val="21"/>
        </w:rPr>
      </w:pPr>
      <w:r w:rsidRPr="00883589">
        <w:rPr>
          <w:rFonts w:ascii="Cambria" w:hAnsi="Cambria"/>
          <w:sz w:val="21"/>
          <w:szCs w:val="21"/>
        </w:rPr>
        <w:t xml:space="preserve">Fraud occurs in the private sector and often occurs in the government sector (Yu, 2011; Murthy &amp; Jack, 2017). Fraudulent practice that often occurs in the government sector is the procurement of goods and services (Sahdan et al., 2020). Procurement of goods and services is a process. It is a sensitive area with the highest risk of fraud that can harm an organization (Yuniarti, 2017). The regional hospital is a government organization that serves public health (Djalante et al., 2020). Hospitals as government institutions must be appropriately managed to follow the expected goals (Handayani et al., 2016). If management is not carried out properly, it will result in fraud </w:t>
      </w:r>
      <w:r w:rsidRPr="00883589">
        <w:rPr>
          <w:rFonts w:ascii="Cambria" w:hAnsi="Cambria"/>
          <w:sz w:val="21"/>
          <w:szCs w:val="21"/>
        </w:rPr>
        <w:fldChar w:fldCharType="begin" w:fldLock="1"/>
      </w:r>
      <w:r w:rsidRPr="00883589">
        <w:rPr>
          <w:rFonts w:ascii="Cambria" w:hAnsi="Cambria"/>
          <w:sz w:val="21"/>
          <w:szCs w:val="21"/>
        </w:rPr>
        <w:instrText>ADDIN CSL_CITATION {"citationItems":[{"id":"ITEM-1","itemData":{"DOI":"10.1080/09649069.2016.1161872","ISSN":"14699621","abstract":"Despite the growing awareness of mass marketing fraud (MMF) in the financial abuse of vulnerable older people, little empirical research has been undertaken in this area. This paper is one of the first to consider the perspectives of a range of professionals who work with victims of mass marketing fraud and financial crime. MMF is a growing threat in the financial abuse of older people, and is increasingly recognised as a concern for professionals involved in supporting and safeguarding vulnerable older people. This paper considers the themes emerging from a small exploratory qualitative study into the perspectives of professionals working to safeguard those at risk of MMF and considers some of the complexities involved in tackling MMF. This involves consideration of the techniques used to groom and lure victims in plausible looking frauds, and the factors that serve to reinforce their sustained involvement in such activity.","author":[{"dropping-particle":"","family":"Olivier","given":"Sean","non-dropping-particle":"","parse-names":false,"suffix":""},{"dropping-particle":"","family":"Burls","given":"Trish","non-dropping-particle":"","parse-names":false,"suffix":""},{"dropping-particle":"","family":"Fenge","given":"Lee Ann","non-dropping-particle":"","parse-names":false,"suffix":""},{"dropping-particle":"","family":"Brown","given":"Keith","non-dropping-particle":"","parse-names":false,"suffix":""}],"container-title":"Journal of Social Welfare and Family Law","id":"ITEM-1","issue":"2","issued":{"date-parts":[["2016"]]},"page":"140-151","title":"Safeguarding adults and mass marketing fraud – Perspectives from the police, trading standards and the voluntary sector","type":"article-journal","volume":"38"},"uris":["http://www.mendeley.com/documents/?uuid=77cce8ba-c324-4913-b291-b822aee7eaaf","http://www.mendeley.com/documents/?uuid=ff452715-3eb1-41c8-869c-65d207daade7"]}],"mendeley":{"formattedCitation":"(Olivier et al., 2016)","plainTextFormattedCitation":"(Olivier et al., 2016)","previouslyFormattedCitation":"(Olivier et al., 2016)"},"properties":{"noteIndex":0},"schema":"https://github.com/citation-style-language/schema/raw/master/csl-citation.json"}</w:instrText>
      </w:r>
      <w:r w:rsidRPr="00883589">
        <w:rPr>
          <w:rFonts w:ascii="Cambria" w:hAnsi="Cambria"/>
          <w:sz w:val="21"/>
          <w:szCs w:val="21"/>
        </w:rPr>
        <w:fldChar w:fldCharType="separate"/>
      </w:r>
      <w:r w:rsidRPr="00883589">
        <w:rPr>
          <w:rFonts w:ascii="Cambria" w:hAnsi="Cambria"/>
          <w:noProof/>
          <w:sz w:val="21"/>
          <w:szCs w:val="21"/>
        </w:rPr>
        <w:t>(Olivier et al., 2016)</w:t>
      </w:r>
      <w:r w:rsidRPr="00883589">
        <w:rPr>
          <w:rFonts w:ascii="Cambria" w:hAnsi="Cambria"/>
          <w:sz w:val="21"/>
          <w:szCs w:val="21"/>
        </w:rPr>
        <w:fldChar w:fldCharType="end"/>
      </w:r>
      <w:r w:rsidRPr="00883589">
        <w:rPr>
          <w:rFonts w:ascii="Cambria" w:hAnsi="Cambria"/>
          <w:sz w:val="21"/>
          <w:szCs w:val="21"/>
        </w:rPr>
        <w:t>.</w:t>
      </w:r>
    </w:p>
    <w:p w14:paraId="760DB2E6" w14:textId="77777777" w:rsidR="00883589" w:rsidRPr="00883589" w:rsidRDefault="00883589" w:rsidP="00883589">
      <w:pPr>
        <w:pStyle w:val="JurnalASSETSIsibagian"/>
        <w:rPr>
          <w:rFonts w:ascii="Cambria" w:hAnsi="Cambria"/>
          <w:i/>
          <w:sz w:val="21"/>
          <w:szCs w:val="21"/>
          <w:lang w:val="en-US"/>
        </w:rPr>
      </w:pPr>
      <w:r w:rsidRPr="00883589">
        <w:rPr>
          <w:rFonts w:ascii="Cambria" w:hAnsi="Cambria"/>
          <w:iCs/>
          <w:sz w:val="21"/>
          <w:szCs w:val="21"/>
        </w:rPr>
        <w:t xml:space="preserve">The COVID-19 pandemic has dramatically affected the order of human life (Kaur, 2021). One of them is in Indonesia, which is very high affected by Covid 19 (Mietzner, 2020). In general, </w:t>
      </w:r>
      <w:r w:rsidRPr="00883589">
        <w:rPr>
          <w:rFonts w:ascii="Cambria" w:hAnsi="Cambria"/>
          <w:iCs/>
          <w:sz w:val="21"/>
          <w:szCs w:val="21"/>
        </w:rPr>
        <w:lastRenderedPageBreak/>
        <w:t xml:space="preserve">the central government has struggled to make fast, coherent, and effective policies to mitigate the crisis caused by COVID-19 (Dong et al., 2020). The mortality rate is relatively high, with a global average of 2.7% vs. 2.2% at the end of February 2021 (Cucunawangsih et al., 2021). The threat of Covid 19 leads to self-isolation in the hospitals and even facilities that the government has prepared. However, the corruption rate is getting higher by 169 cases. It shows that ignoring the principles of transparency and accountability is very detrimental to the State and ignores the economy of small communities </w:t>
      </w:r>
      <w:r w:rsidRPr="00883589">
        <w:rPr>
          <w:rFonts w:ascii="Cambria" w:hAnsi="Cambria"/>
          <w:iCs/>
          <w:sz w:val="21"/>
          <w:szCs w:val="21"/>
        </w:rPr>
        <w:fldChar w:fldCharType="begin" w:fldLock="1"/>
      </w:r>
      <w:r w:rsidRPr="00883589">
        <w:rPr>
          <w:rFonts w:ascii="Cambria" w:hAnsi="Cambria"/>
          <w:iCs/>
          <w:sz w:val="21"/>
          <w:szCs w:val="21"/>
        </w:rPr>
        <w:instrText>ADDIN CSL_CITATION {"citationItems":[{"id":"ITEM-1","itemData":{"author":[{"dropping-particle":"","family":"Hidayat","given":"Andi","non-dropping-particle":"","parse-names":false,"suffix":""},{"dropping-particle":"","family":"Ilahi","given":"Anugrah","non-dropping-particle":"","parse-names":false,"suffix":""},{"dropping-particle":"","family":"Widowaty","given":"Yeni","non-dropping-particle":"","parse-names":false,"suffix":""}],"id":"ITEM-1","issue":"1","issued":{"date-parts":[["2021"]]},"page":"71-91","title":"The Optimization of Corruption Deterrence during the Covid-19 Pandemic A . Introduction Money laundering is a serious transnational crime and possesses threats to states and societies . The crime may cause malfunction across multiple state institutions su","type":"article-journal","volume":"8"},"uris":["http://www.mendeley.com/documents/?uuid=34b7c0e2-f83e-4942-8851-c910908af03c"]}],"mendeley":{"formattedCitation":"(Hidayat et al., 2021)","plainTextFormattedCitation":"(Hidayat et al., 2021)","previouslyFormattedCitation":"(Hidayat et al., 2021)"},"properties":{"noteIndex":0},"schema":"https://github.com/citation-style-language/schema/raw/master/csl-citation.json"}</w:instrText>
      </w:r>
      <w:r w:rsidRPr="00883589">
        <w:rPr>
          <w:rFonts w:ascii="Cambria" w:hAnsi="Cambria"/>
          <w:iCs/>
          <w:sz w:val="21"/>
          <w:szCs w:val="21"/>
        </w:rPr>
        <w:fldChar w:fldCharType="separate"/>
      </w:r>
      <w:r w:rsidRPr="00883589">
        <w:rPr>
          <w:rFonts w:ascii="Cambria" w:hAnsi="Cambria"/>
          <w:iCs/>
          <w:noProof/>
          <w:sz w:val="21"/>
          <w:szCs w:val="21"/>
        </w:rPr>
        <w:t>(Hidayat et al., 2021)</w:t>
      </w:r>
      <w:r w:rsidRPr="00883589">
        <w:rPr>
          <w:rFonts w:ascii="Cambria" w:hAnsi="Cambria"/>
          <w:iCs/>
          <w:sz w:val="21"/>
          <w:szCs w:val="21"/>
        </w:rPr>
        <w:fldChar w:fldCharType="end"/>
      </w:r>
      <w:r w:rsidRPr="00883589">
        <w:rPr>
          <w:rFonts w:ascii="Cambria" w:hAnsi="Cambria"/>
          <w:iCs/>
          <w:sz w:val="21"/>
          <w:szCs w:val="21"/>
          <w:lang w:val="en-US"/>
        </w:rPr>
        <w:t xml:space="preserve">. </w:t>
      </w:r>
      <w:r w:rsidRPr="00883589">
        <w:rPr>
          <w:rFonts w:ascii="Cambria" w:hAnsi="Cambria"/>
          <w:sz w:val="21"/>
          <w:szCs w:val="21"/>
        </w:rPr>
        <w:t>Fraud is a situation that directly harms others and benefits oneself (Doig &amp; MacAulay, 2008). Donald Cressey proposed the fraud triangle theory. In 1950, Donald Cressey conducted a study that analyzed the occurrence of fraud (Schuchter &amp; Levi, 2016). The research results raise several factors as triggers for fraud. Three things trigger fraud efforts, namely pressure, opportunity, and rationalization</w:t>
      </w:r>
      <w:r w:rsidRPr="00883589">
        <w:rPr>
          <w:rFonts w:ascii="Cambria" w:hAnsi="Cambria"/>
          <w:i/>
          <w:iCs/>
          <w:sz w:val="21"/>
          <w:szCs w:val="21"/>
        </w:rPr>
        <w:t> </w:t>
      </w:r>
      <w:r w:rsidRPr="00883589">
        <w:rPr>
          <w:rFonts w:ascii="Cambria" w:hAnsi="Cambria"/>
          <w:i/>
          <w:sz w:val="21"/>
          <w:szCs w:val="21"/>
        </w:rPr>
        <w:t xml:space="preserve"> </w:t>
      </w:r>
      <w:r w:rsidRPr="00883589">
        <w:rPr>
          <w:rFonts w:ascii="Cambria" w:hAnsi="Cambria"/>
          <w:i/>
          <w:sz w:val="21"/>
          <w:szCs w:val="21"/>
        </w:rPr>
        <w:fldChar w:fldCharType="begin" w:fldLock="1"/>
      </w:r>
      <w:r w:rsidRPr="00883589">
        <w:rPr>
          <w:rFonts w:ascii="Cambria" w:hAnsi="Cambria"/>
          <w:i/>
          <w:sz w:val="21"/>
          <w:szCs w:val="21"/>
        </w:rPr>
        <w:instrText>ADDIN CSL_CITATION {"citationItems":[{"id":"ITEM-1","itemData":{"DOI":"10.14453/aabfj.v13i4.5","ISSN":"18342019","abstract":"In present day Indonesia, cases of frauds are rarely covered by the media. Even though some fraud might not be material enough to be detected, the motivation for conducting fraud exist, especially when the internal systems have some leakage. The fraud triangle and the Beneish model are two well-developed theories to understand the motivations for fraud and to detect earnings manipulation in a business. Therefore, this empirical research aims to examine the applicability of the fraud triangle components combined with the M-score from Beneish model. The investigation involves panel data from 270 non-financial companies listed on IDX (Indonesia Stock Exchange) during 2013-2015. The results approved that companies with detected fraud received (1) higher pressure on financial stability, leverage, and financial targets; (2) lower numbers of independent commissioners and more receivables from special (related) parties, and (3) more frequent changes to auditors.","author":[{"dropping-particle":"","family":"Fitri","given":"Fauziah Aida","non-dropping-particle":"","parse-names":false,"suffix":""},{"dropping-particle":"","family":"Syukur","given":"Muhammad","non-dropping-particle":"","parse-names":false,"suffix":""},{"dropping-particle":"","family":"Justisa","given":"Gita","non-dropping-particle":"","parse-names":false,"suffix":""}],"container-title":"Australasian Accounting, Business and Finance Journal","id":"ITEM-1","issue":"4","issued":{"date-parts":[["2019"]]},"page":"63-72","title":"Do the fraud triangle components motivate fraud in Indonesia?","type":"article-journal","volume":"13"},"uris":["http://www.mendeley.com/documents/?uuid=081f4c29-a59e-4b0e-aee7-05523274c0f4"]}],"mendeley":{"formattedCitation":"(Fitri et al., 2019)","plainTextFormattedCitation":"(Fitri et al., 2019)","previouslyFormattedCitation":"(Fitri et al., 2019)"},"properties":{"noteIndex":0},"schema":"https://github.com/citation-style-language/schema/raw/master/csl-citation.json"}</w:instrText>
      </w:r>
      <w:r w:rsidRPr="00883589">
        <w:rPr>
          <w:rFonts w:ascii="Cambria" w:hAnsi="Cambria"/>
          <w:i/>
          <w:sz w:val="21"/>
          <w:szCs w:val="21"/>
        </w:rPr>
        <w:fldChar w:fldCharType="separate"/>
      </w:r>
      <w:r w:rsidRPr="00883589">
        <w:rPr>
          <w:rFonts w:ascii="Cambria" w:hAnsi="Cambria"/>
          <w:noProof/>
          <w:sz w:val="21"/>
          <w:szCs w:val="21"/>
        </w:rPr>
        <w:t>(Fitri et al., 2019)</w:t>
      </w:r>
      <w:r w:rsidRPr="00883589">
        <w:rPr>
          <w:rFonts w:ascii="Cambria" w:hAnsi="Cambria"/>
          <w:i/>
          <w:sz w:val="21"/>
          <w:szCs w:val="21"/>
        </w:rPr>
        <w:fldChar w:fldCharType="end"/>
      </w:r>
      <w:r w:rsidRPr="00883589">
        <w:rPr>
          <w:rFonts w:ascii="Cambria" w:hAnsi="Cambria"/>
          <w:i/>
          <w:sz w:val="21"/>
          <w:szCs w:val="21"/>
          <w:lang w:val="en-US"/>
        </w:rPr>
        <w:t>.</w:t>
      </w:r>
    </w:p>
    <w:p w14:paraId="06950656"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 xml:space="preserve">Pressure is the reason someone commits fraud (Mat et al., 2019). This element causes a person to act or react and often indirectly expresses an emotion or passion (Desai, 2020) and is the driving force behind someone who changes from obeying the law to being criminals (Wuerges &amp; Borba, 2014). There are many motives for pressure to commit fraud, most of which are related to greed, including living below one's will, immediate financial need, debt, addiction to gambling and drinking, family pressure, and many other things. Greed is a force that motivates all types of fraud, especially corporate fraud in recent years (Doig, 2018). While greed is a common motive, sometimes revenge and ego also play a role. An employee may feel angry and hostile towards his boss or manager because of some wrongdoing imposed on him or the injustice he has received, and he may try to retaliate by committing fraud. </w:t>
      </w:r>
      <w:r w:rsidRPr="00883589">
        <w:rPr>
          <w:rFonts w:ascii="Cambria" w:hAnsi="Cambria"/>
          <w:sz w:val="21"/>
          <w:szCs w:val="21"/>
        </w:rPr>
        <w:fldChar w:fldCharType="begin" w:fldLock="1"/>
      </w:r>
      <w:r w:rsidRPr="00883589">
        <w:rPr>
          <w:rFonts w:ascii="Cambria" w:hAnsi="Cambria"/>
          <w:sz w:val="21"/>
          <w:szCs w:val="21"/>
        </w:rPr>
        <w:instrText>ADDIN CSL_CITATION {"citationItems":[{"id":"ITEM-1","itemData":{"abstract":"A number of fraud cases shocked the economic markets in the recent past. Fraud is an emerging global problem in private and public organizations and it could not distinguish in its occurrence. The detection and prevention of frauds are challenging for the organization due to adopting and the methods with which the fraud is committed by fraudsters. Detecting fraud is not an easy task and requires in depth knowledge about the nature, modus operandi for auditing, investigating agencies responsible for corporate governance. In year 1953, Cressey had explained three attributes (pressure, opportunity and rationalization) of fraud committer with help of \" Fraud Triangle \" . In 2004, Wolfe and Hermanson introduced the \" Fraud Diamond Model \" with addition of another attribute i.e.; capabilities / expertise. The basic theme of this paper would facilitate understanding the fraud and why it occurs with another attribute i.e; greed. Further, an approach is taken for development of a new model \" Fraud Five Stars \" .","author":[{"dropping-particle":"","family":"Varma","given":"T N","non-dropping-particle":"","parse-names":false,"suffix":""},{"dropping-particle":"","family":"Khan","given":"D A","non-dropping-particle":"","parse-names":false,"suffix":""}],"container-title":"AIMS International Journal of Management      ","id":"ITEM-1","issue":"2","issued":{"date-parts":[["2016"]]},"page":"83-99","title":"Greed an Attribute of Fraudster   ","type":"article-journal","volume":"10"},"uris":["http://www.mendeley.com/documents/?uuid=dc6f2ecc-60f3-4111-9af8-7565cc43c8e7"]}],"mendeley":{"formattedCitation":"(Varma &amp; Khan, 2016)","plainTextFormattedCitation":"(Varma &amp; Khan, 2016)","previouslyFormattedCitation":"(Varma &amp; Khan, 2016)"},"properties":{"noteIndex":0},"schema":"https://github.com/citation-style-language/schema/raw/master/csl-citation.json"}</w:instrText>
      </w:r>
      <w:r w:rsidRPr="00883589">
        <w:rPr>
          <w:rFonts w:ascii="Cambria" w:hAnsi="Cambria"/>
          <w:sz w:val="21"/>
          <w:szCs w:val="21"/>
        </w:rPr>
        <w:fldChar w:fldCharType="separate"/>
      </w:r>
      <w:r w:rsidRPr="00883589">
        <w:rPr>
          <w:rFonts w:ascii="Cambria" w:hAnsi="Cambria"/>
          <w:noProof/>
          <w:sz w:val="21"/>
          <w:szCs w:val="21"/>
        </w:rPr>
        <w:t>(Varma &amp; Khan, 2016)</w:t>
      </w:r>
      <w:r w:rsidRPr="00883589">
        <w:rPr>
          <w:rFonts w:ascii="Cambria" w:hAnsi="Cambria"/>
          <w:sz w:val="21"/>
          <w:szCs w:val="21"/>
        </w:rPr>
        <w:fldChar w:fldCharType="end"/>
      </w:r>
      <w:r w:rsidRPr="00883589">
        <w:rPr>
          <w:rFonts w:ascii="Cambria" w:hAnsi="Cambria"/>
          <w:sz w:val="21"/>
          <w:szCs w:val="21"/>
        </w:rPr>
        <w:t>.</w:t>
      </w:r>
    </w:p>
    <w:p w14:paraId="1E20D08F"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Although the argument is revenge, it also fell to greed when the perpetrator pocketed money from a company or agency. Sometimes the motive is lust to beat the system (Levi, 2011). People might think that he is more intelligent than anyone else, and he is sure that no one will stop him. Sometimes people commit fraud to help increase finances or the desire to live in luxury (Omar et al., 2016). Emotional instability is also a motivating factor, but it seems to be much smaller than other fraud motives.</w:t>
      </w:r>
    </w:p>
    <w:p w14:paraId="6BEDC414"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 xml:space="preserve">Opportunity is a supportive environment in carrying out fraud (Sabatian &amp; Hutabarat, 2020). The number of opportunities a person has to commit fraud is usually determined by his position of authority within the company or agency and his access to assets and records. It can be seen as bad behavior by employees to pursue personal gain and high economic pressure to commit fraud (Said et al., 2017). An employee who can commit fraud and make hospital financial reports in the form of procurement of goods, can sell goods to anyone, and manipulate financial reports, is an example of a weakness in internal control and a good opportunity for fraud to occur (Klaus, 2016). An inventory of check forms that are not properly stored and locked is another example of an opportunity. A strict separation of functions will reduce the opportunity for fraud to occur (Liou et al., 2008). Eliminating or reducing opportunities to commit fraud and its misuse is essential in any fraud prevention program </w:t>
      </w:r>
      <w:r w:rsidRPr="00883589">
        <w:rPr>
          <w:rFonts w:ascii="Cambria" w:hAnsi="Cambria"/>
          <w:sz w:val="21"/>
          <w:szCs w:val="21"/>
        </w:rPr>
        <w:fldChar w:fldCharType="begin" w:fldLock="1"/>
      </w:r>
      <w:r w:rsidRPr="00883589">
        <w:rPr>
          <w:rFonts w:ascii="Cambria" w:hAnsi="Cambria"/>
          <w:sz w:val="21"/>
          <w:szCs w:val="21"/>
        </w:rPr>
        <w:instrText>ADDIN CSL_CITATION {"citationItems":[{"id":"ITEM-1","itemData":{"DOI":"10.1007/s10742-016-0154-8","ISSN":"15729400","abstract":"From its infancy in the 1910s, healthcare group insurance continues to increase, creating a consistently rising burden on the government and taxpayers. The growing number of people enrolled in healthcare programs such as Medicare, along with the enormous volume of money in the healthcare industry, increases the appeal for and risk of fraudulent activities. One such fraud, known as upcoding, is a means by which a provider can obtain additional reimbursement by coding a certain provided service as a more expensive service than what was actually performed. With the proliferation of data mining techniques and the recent and continued availability of public healthcare data, the application of these techniques towards fraud detection, using this increasing cache of data, has the potential to greatly reduce healthcare costs through a more robust detection of upcoding fraud. Presently, there is a sizable body of healthcare fraud detection research available but upcoding fraud studies are limited. Audit data can be difficult to obtain, limiting the usefulness of supervised learning; therefore, other data mining techniques, such as unsupervised learning, must be explored using mostly unlabeled records in order to detect upcoding fraud. This paper is specific to reviewing upcoding fraud analysis and detection research providing an overview of healthcare, upcoding, and a review of the current data mining techniques used therein.","author":[{"dropping-particle":"","family":"Bauder","given":"Richard","non-dropping-particle":"","parse-names":false,"suffix":""},{"dropping-particle":"","family":"Khoshgoftaar","given":"Taghi M.","non-dropping-particle":"","parse-names":false,"suffix":""},{"dropping-particle":"","family":"Seliya","given":"Naeem","non-dropping-particle":"","parse-names":false,"suffix":""}],"container-title":"Health Services and Outcomes Research Methodology","id":"ITEM-1","issue":"1","issued":{"date-parts":[["2017"]]},"page":"31-55","publisher":"Springer US","title":"A survey on the state of healthcare upcoding fraud analysis and detection","type":"article-journal","volume":"17"},"uris":["http://www.mendeley.com/documents/?uuid=ce92c103-5cb0-4b39-ae78-0aa627dcbee5"]}],"mendeley":{"formattedCitation":"(Bauder et al., 2017)","plainTextFormattedCitation":"(Bauder et al., 2017)","previouslyFormattedCitation":"(Bauder et al., 2017)"},"properties":{"noteIndex":0},"schema":"https://github.com/citation-style-language/schema/raw/master/csl-citation.json"}</w:instrText>
      </w:r>
      <w:r w:rsidRPr="00883589">
        <w:rPr>
          <w:rFonts w:ascii="Cambria" w:hAnsi="Cambria"/>
          <w:sz w:val="21"/>
          <w:szCs w:val="21"/>
        </w:rPr>
        <w:fldChar w:fldCharType="separate"/>
      </w:r>
      <w:r w:rsidRPr="00883589">
        <w:rPr>
          <w:rFonts w:ascii="Cambria" w:hAnsi="Cambria"/>
          <w:noProof/>
          <w:sz w:val="21"/>
          <w:szCs w:val="21"/>
        </w:rPr>
        <w:t>(Bauder et al., 2017)</w:t>
      </w:r>
      <w:r w:rsidRPr="00883589">
        <w:rPr>
          <w:rFonts w:ascii="Cambria" w:hAnsi="Cambria"/>
          <w:sz w:val="21"/>
          <w:szCs w:val="21"/>
        </w:rPr>
        <w:fldChar w:fldCharType="end"/>
      </w:r>
      <w:r w:rsidRPr="00883589">
        <w:rPr>
          <w:rFonts w:ascii="Cambria" w:hAnsi="Cambria"/>
          <w:sz w:val="21"/>
          <w:szCs w:val="21"/>
        </w:rPr>
        <w:t>.</w:t>
      </w:r>
    </w:p>
    <w:p w14:paraId="1B883412"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Fraudsters believe that their activities will go undetected (Massi et al., 2020). Opportunities can occur due to weak internal control, poor management supervision, or through the use of positions, where the highest position given in a company or agency provides indirect benefits for perpetrators to commit fraud more freely. (Jesilow, 2005).</w:t>
      </w:r>
    </w:p>
    <w:p w14:paraId="5342534E"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The results of previous studies showed that Ludwigshafen City Hospital was one of the largest hospitals that reported at least 10-91 cases in manipulating false data (Wiedermann &amp; Joannidis, 2018). There are also other types of behavior, for example, in the world of complex and expensive construction and solid third-party contractual relationships (Gunduz, 2013). Fraud perpetrators always have the knowledge and opportunities to commit fraud so that they are not detected. Good knowledge about the company or agency can minimize fraud committed by perpetrators that are not easy to detect. Therefore, it encourages perpetrators to go directly to commit fraud to take advantage of current opportunities (Brooks et al., 2012).</w:t>
      </w:r>
    </w:p>
    <w:p w14:paraId="3282BD17"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lastRenderedPageBreak/>
        <w:t>Rationalization is the most challenging part of fraud to measure. Rationalization is an attitude, character, or set of ethical values ​​that allow management or employees to commit dishonest acts, or they are in a sufficiently stressful environment that makes them rationalize dishonest actions (Shepherd &amp; Button, 2019). In this case, the integrity of management is the primary determinant of the quality of financial reports.</w:t>
      </w:r>
    </w:p>
    <w:p w14:paraId="5C9CE875"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 xml:space="preserve">When management integrity is questioned, the reliability of financial statements is in doubt. It will be easier for those who are generally dishonest to rationalize fraud (Farbmacher et al., 2020). For those with higher moral standards, it may not be so easy. Fraud perpetrators always look for rational justifications to justify their actions. The fraud perpetrators can justify inappropriate behavior to be feasible. Rationalization is the cause that explains a person's behavior with different motives from one person to another </w:t>
      </w:r>
      <w:r w:rsidRPr="00883589">
        <w:rPr>
          <w:rFonts w:ascii="Cambria" w:hAnsi="Cambria"/>
          <w:sz w:val="21"/>
          <w:szCs w:val="21"/>
        </w:rPr>
        <w:fldChar w:fldCharType="begin" w:fldLock="1"/>
      </w:r>
      <w:r w:rsidRPr="00883589">
        <w:rPr>
          <w:rFonts w:ascii="Cambria" w:hAnsi="Cambria"/>
          <w:sz w:val="21"/>
          <w:szCs w:val="21"/>
        </w:rPr>
        <w:instrText>ADDIN CSL_CITATION {"citationItems":[{"id":"ITEM-1","itemData":{"DOI":"10.1057/s41264-019-00061-w","ISSN":"14791846","abstract":"The paper examines the effects of cultural tightness, rationalization, and perceived unfairness on Japanese consumers’ attitude towards insurance fraud. The results show a positive effect of perceived inequity/unfairness on acceptance of fraud and a partial mediation of rationalization on insurance fraud acceptance, whereas cultural tightness was found to weigh against the acceptance of fraud. This would suggest that, while the perception of being unfairly treated by an insurance company and reframing a fraudulent behaviour as non-condemnable conduct contribute to fraud acceptance, the strength of social norms and the degree of sanctioning would reduce fraud tolerance. From a managerial perspective, global insurance companies would take advantage from understanding the role of cultural tightness in fighting against fraud. Furthermore, the use of counter-neutralization techniques would be helpful to reduce the effect of rationalization on public tolerance for insurance fraud.","author":[{"dropping-particle":"","family":"Zourrig","given":"Haithem","non-dropping-particle":"","parse-names":false,"suffix":""},{"dropping-particle":"","family":"Park","given":"Jeongsoo","non-dropping-particle":"","parse-names":false,"suffix":""}],"container-title":"Journal of Financial Services Marketing","id":"ITEM-1","issue":"1-2","issued":{"date-parts":[["2019"]]},"page":"21-30","publisher":"Palgrave Macmillan UK","title":"The effects of cultural tightness and perceived unfairness on Japanese consumers’ attitude towards insurance fraud: the mediating effect of rationalization","type":"article-journal","volume":"24"},"uris":["http://www.mendeley.com/documents/?uuid=af581868-d652-4779-a67a-3240c304d65e"]}],"mendeley":{"formattedCitation":"(Zourrig &amp; Park, 2019)","plainTextFormattedCitation":"(Zourrig &amp; Park, 2019)","previouslyFormattedCitation":"(Zourrig &amp; Park, 2019)"},"properties":{"noteIndex":0},"schema":"https://github.com/citation-style-language/schema/raw/master/csl-citation.json"}</w:instrText>
      </w:r>
      <w:r w:rsidRPr="00883589">
        <w:rPr>
          <w:rFonts w:ascii="Cambria" w:hAnsi="Cambria"/>
          <w:sz w:val="21"/>
          <w:szCs w:val="21"/>
        </w:rPr>
        <w:fldChar w:fldCharType="separate"/>
      </w:r>
      <w:r w:rsidRPr="00883589">
        <w:rPr>
          <w:rFonts w:ascii="Cambria" w:hAnsi="Cambria"/>
          <w:noProof/>
          <w:sz w:val="21"/>
          <w:szCs w:val="21"/>
        </w:rPr>
        <w:t>(Zourrig &amp; Park, 2019)</w:t>
      </w:r>
      <w:r w:rsidRPr="00883589">
        <w:rPr>
          <w:rFonts w:ascii="Cambria" w:hAnsi="Cambria"/>
          <w:sz w:val="21"/>
          <w:szCs w:val="21"/>
        </w:rPr>
        <w:fldChar w:fldCharType="end"/>
      </w:r>
      <w:r w:rsidRPr="00883589">
        <w:rPr>
          <w:rFonts w:ascii="Cambria" w:hAnsi="Cambria"/>
          <w:sz w:val="21"/>
          <w:szCs w:val="21"/>
        </w:rPr>
        <w:t>.</w:t>
      </w:r>
    </w:p>
    <w:p w14:paraId="0A8EA6D3" w14:textId="77777777" w:rsidR="00883589" w:rsidRPr="00883589" w:rsidRDefault="00883589" w:rsidP="00883589">
      <w:pPr>
        <w:pStyle w:val="JurnalASSETSIsibagian"/>
        <w:rPr>
          <w:rFonts w:ascii="Cambria" w:hAnsi="Cambria"/>
          <w:sz w:val="21"/>
          <w:szCs w:val="21"/>
          <w:lang w:val="en-US"/>
        </w:rPr>
      </w:pPr>
      <w:r w:rsidRPr="00883589">
        <w:rPr>
          <w:rFonts w:ascii="Cambria" w:hAnsi="Cambria"/>
          <w:sz w:val="21"/>
          <w:szCs w:val="21"/>
        </w:rPr>
        <w:t>When the elements of need and opportunity come together, fraud perpetrators believe that what happened was not bad or wrong. Fraud perpetrators often think that the action taken is a right they should get from the company or agency and do not think that he is a criminal who cheats on the company or agency (Murphy &amp; Dacin, 2011). Many perpetrators of corruption have been arrested, but none of them expected to be arrested. They all thought that they would get away with the crime they</w:t>
      </w:r>
      <w:r w:rsidRPr="00883589">
        <w:rPr>
          <w:rFonts w:ascii="Cambria" w:hAnsi="Cambria"/>
          <w:sz w:val="21"/>
          <w:szCs w:val="21"/>
          <w:lang w:val="en-US"/>
        </w:rPr>
        <w:t xml:space="preserve"> </w:t>
      </w:r>
      <w:r w:rsidRPr="00883589">
        <w:rPr>
          <w:rFonts w:ascii="Cambria" w:hAnsi="Cambria"/>
          <w:sz w:val="21"/>
          <w:szCs w:val="21"/>
        </w:rPr>
        <w:t>committed. They rationalize what they are doing and believe that they will not be punished (Mietzner, 2015). Thus, this study aimed to analyze the factors that affect the procurement of goods and services during the COVID-19 pandemic</w:t>
      </w:r>
      <w:r w:rsidRPr="00883589">
        <w:rPr>
          <w:rFonts w:ascii="Cambria" w:hAnsi="Cambria"/>
          <w:color w:val="000000"/>
          <w:sz w:val="21"/>
          <w:szCs w:val="21"/>
        </w:rPr>
        <w:t>.</w:t>
      </w:r>
    </w:p>
    <w:p w14:paraId="39477778" w14:textId="77777777" w:rsidR="00D97972" w:rsidRDefault="00D97972" w:rsidP="00D97972">
      <w:pPr>
        <w:pStyle w:val="07HEADA"/>
        <w:rPr>
          <w:rFonts w:eastAsia="Cambria"/>
        </w:rPr>
      </w:pPr>
      <w:r>
        <w:rPr>
          <w:rFonts w:eastAsia="Cambria"/>
        </w:rPr>
        <w:t>RESEARCH METHOD</w:t>
      </w:r>
    </w:p>
    <w:p w14:paraId="25A066FA" w14:textId="12426FB4" w:rsidR="008C6427" w:rsidRPr="008C6427" w:rsidRDefault="008C6427" w:rsidP="008C6427">
      <w:pPr>
        <w:spacing w:after="0" w:line="278" w:lineRule="auto"/>
        <w:ind w:firstLine="567"/>
        <w:jc w:val="both"/>
        <w:rPr>
          <w:rFonts w:ascii="Cambria" w:eastAsia="Cambria" w:hAnsi="Cambria" w:cs="Cambria"/>
          <w:color w:val="000000"/>
          <w:sz w:val="21"/>
          <w:szCs w:val="21"/>
        </w:rPr>
      </w:pPr>
      <w:r w:rsidRPr="008C6427">
        <w:rPr>
          <w:rFonts w:ascii="Cambria" w:hAnsi="Cambria"/>
          <w:sz w:val="21"/>
          <w:szCs w:val="21"/>
        </w:rPr>
        <w:t>This study used a type of causal-comparative research. It is research with the characteristics of the problem in the form of a cause-and-effect relationship between two or more variables.  The hospital that became the population of the study was a regional general hospital in Maluku Province. The samples used in this study were the finance department, the planning section, and the logistics section (procurement). At the same time, the sampling technique used in this research was purposive sampling. The criteria for selecting the sample in this study were determined as follows. The populations are 1) Employees who have worked at least one year at the hospital that were the population and 2) Employees or staff who worked in the finance, planning, and logistics sections of the hospital that become the population.</w:t>
      </w:r>
    </w:p>
    <w:p w14:paraId="159B48EF" w14:textId="77777777" w:rsidR="008C6427" w:rsidRPr="008C6427" w:rsidRDefault="008C6427" w:rsidP="008C6427">
      <w:pPr>
        <w:pStyle w:val="JurnalASSETSIsibagian"/>
        <w:rPr>
          <w:rFonts w:ascii="Cambria" w:hAnsi="Cambria"/>
          <w:sz w:val="21"/>
          <w:szCs w:val="21"/>
          <w:lang w:val="en-US"/>
        </w:rPr>
      </w:pPr>
      <w:r w:rsidRPr="008C6427">
        <w:rPr>
          <w:rFonts w:ascii="Cambria" w:hAnsi="Cambria"/>
          <w:sz w:val="21"/>
          <w:szCs w:val="21"/>
        </w:rPr>
        <w:t>This study used an instrument in the form of a questionnaire. The questionnaire contains a list of statements regarding the independent variables (Quality committee, systems and procedures, environment, internal control, and organizational commitment) and the dependent variable (Procurement Fraud) using a Likert scale to measure attitudes. The Likert scale used was a range of values ​​from 1 to 5</w:t>
      </w:r>
      <w:r w:rsidRPr="008C6427">
        <w:rPr>
          <w:rFonts w:ascii="Cambria" w:hAnsi="Cambria"/>
          <w:sz w:val="21"/>
          <w:szCs w:val="21"/>
          <w:lang w:val="en-US"/>
        </w:rPr>
        <w:t xml:space="preserve"> </w:t>
      </w:r>
      <w:r w:rsidRPr="008C6427">
        <w:rPr>
          <w:rFonts w:ascii="Cambria" w:hAnsi="Cambria"/>
          <w:sz w:val="21"/>
          <w:szCs w:val="21"/>
        </w:rPr>
        <w:t>(Strongly</w:t>
      </w:r>
      <w:r w:rsidRPr="008C6427">
        <w:rPr>
          <w:rFonts w:ascii="Cambria" w:hAnsi="Cambria"/>
          <w:sz w:val="21"/>
          <w:szCs w:val="21"/>
          <w:lang w:val="en-US"/>
        </w:rPr>
        <w:t xml:space="preserve"> </w:t>
      </w:r>
      <w:r w:rsidRPr="008C6427">
        <w:rPr>
          <w:rFonts w:ascii="Cambria" w:hAnsi="Cambria"/>
          <w:sz w:val="21"/>
          <w:szCs w:val="21"/>
        </w:rPr>
        <w:t>Disagree/Disagree/Doubt/Agree/Strongly agree).</w:t>
      </w:r>
    </w:p>
    <w:p w14:paraId="0149B093" w14:textId="77777777" w:rsidR="008C6427" w:rsidRPr="008C6427" w:rsidRDefault="008C6427" w:rsidP="008C6427">
      <w:pPr>
        <w:pStyle w:val="JurnalASSETSIsibagian"/>
        <w:rPr>
          <w:rFonts w:ascii="Cambria" w:hAnsi="Cambria"/>
          <w:sz w:val="21"/>
          <w:szCs w:val="21"/>
          <w:lang w:val="en-US"/>
        </w:rPr>
      </w:pPr>
      <w:r w:rsidRPr="008C6427">
        <w:rPr>
          <w:rFonts w:ascii="Cambria" w:hAnsi="Cambria"/>
          <w:sz w:val="21"/>
          <w:szCs w:val="21"/>
        </w:rPr>
        <w:t>This study used five independent variables and one dependent variable. The analytical method used was the multiple regression method. It is the regression used to determine how much influence the independent variable has on the dependent variable. It was used to test H</w:t>
      </w:r>
      <w:r w:rsidRPr="008C6427">
        <w:rPr>
          <w:rFonts w:ascii="Cambria" w:hAnsi="Cambria"/>
          <w:sz w:val="21"/>
          <w:szCs w:val="21"/>
          <w:vertAlign w:val="subscript"/>
        </w:rPr>
        <w:t>1</w:t>
      </w:r>
      <w:r w:rsidRPr="008C6427">
        <w:rPr>
          <w:rFonts w:ascii="Cambria" w:hAnsi="Cambria"/>
          <w:sz w:val="21"/>
          <w:szCs w:val="21"/>
        </w:rPr>
        <w:t>, H</w:t>
      </w:r>
      <w:r w:rsidRPr="008C6427">
        <w:rPr>
          <w:rFonts w:ascii="Cambria" w:hAnsi="Cambria"/>
          <w:sz w:val="21"/>
          <w:szCs w:val="21"/>
          <w:vertAlign w:val="subscript"/>
        </w:rPr>
        <w:t>2</w:t>
      </w:r>
      <w:r w:rsidRPr="008C6427">
        <w:rPr>
          <w:rFonts w:ascii="Cambria" w:hAnsi="Cambria"/>
          <w:sz w:val="21"/>
          <w:szCs w:val="21"/>
        </w:rPr>
        <w:t>, H</w:t>
      </w:r>
      <w:r w:rsidRPr="008C6427">
        <w:rPr>
          <w:rFonts w:ascii="Cambria" w:hAnsi="Cambria"/>
          <w:sz w:val="21"/>
          <w:szCs w:val="21"/>
          <w:vertAlign w:val="subscript"/>
        </w:rPr>
        <w:t>3</w:t>
      </w:r>
      <w:r w:rsidRPr="008C6427">
        <w:rPr>
          <w:rFonts w:ascii="Cambria" w:hAnsi="Cambria"/>
          <w:sz w:val="21"/>
          <w:szCs w:val="21"/>
        </w:rPr>
        <w:t>, H</w:t>
      </w:r>
      <w:r w:rsidRPr="008C6427">
        <w:rPr>
          <w:rFonts w:ascii="Cambria" w:hAnsi="Cambria"/>
          <w:sz w:val="21"/>
          <w:szCs w:val="21"/>
          <w:vertAlign w:val="subscript"/>
        </w:rPr>
        <w:t>4</w:t>
      </w:r>
      <w:r w:rsidRPr="008C6427">
        <w:rPr>
          <w:rFonts w:ascii="Cambria" w:hAnsi="Cambria"/>
          <w:sz w:val="21"/>
          <w:szCs w:val="21"/>
        </w:rPr>
        <w:t>, and H5 with an interactive</w:t>
      </w:r>
      <w:r w:rsidRPr="008C6427">
        <w:rPr>
          <w:rFonts w:ascii="Cambria" w:hAnsi="Cambria"/>
          <w:sz w:val="21"/>
          <w:szCs w:val="21"/>
          <w:lang w:val="en-US"/>
        </w:rPr>
        <w:t xml:space="preserve"> </w:t>
      </w:r>
      <w:r w:rsidRPr="008C6427">
        <w:rPr>
          <w:rFonts w:ascii="Cambria" w:hAnsi="Cambria"/>
          <w:sz w:val="21"/>
          <w:szCs w:val="21"/>
        </w:rPr>
        <w:t>approach that aimed to meet research expectations regarding the effectiveness of internal control and organizational commitment to preventing fraud in the procurement of goods. Multiple Linear Regression Analysis:</w:t>
      </w:r>
    </w:p>
    <w:p w14:paraId="19C40CD5" w14:textId="77777777" w:rsidR="008C6427" w:rsidRDefault="008C6427" w:rsidP="008C6427">
      <w:pPr>
        <w:jc w:val="center"/>
        <w:rPr>
          <w:rFonts w:ascii="Cambria" w:hAnsi="Cambria"/>
          <w:sz w:val="21"/>
          <w:szCs w:val="21"/>
        </w:rPr>
      </w:pPr>
    </w:p>
    <w:p w14:paraId="112D02F3" w14:textId="77777777" w:rsidR="008C6427" w:rsidRDefault="008C6427" w:rsidP="008C6427">
      <w:pPr>
        <w:jc w:val="center"/>
        <w:rPr>
          <w:rFonts w:ascii="Cambria" w:hAnsi="Cambria"/>
          <w:sz w:val="21"/>
          <w:szCs w:val="21"/>
        </w:rPr>
      </w:pPr>
    </w:p>
    <w:p w14:paraId="06D6E744" w14:textId="77777777" w:rsidR="008C6427" w:rsidRDefault="008C6427" w:rsidP="008C6427">
      <w:pPr>
        <w:jc w:val="center"/>
        <w:rPr>
          <w:rFonts w:ascii="Cambria" w:hAnsi="Cambria"/>
          <w:sz w:val="21"/>
          <w:szCs w:val="21"/>
        </w:rPr>
      </w:pPr>
    </w:p>
    <w:p w14:paraId="0307B047" w14:textId="77777777" w:rsidR="008C6427" w:rsidRPr="008C6427" w:rsidRDefault="008C6427" w:rsidP="008C6427">
      <w:pPr>
        <w:jc w:val="center"/>
        <w:rPr>
          <w:rFonts w:ascii="Cambria" w:hAnsi="Cambria"/>
          <w:sz w:val="21"/>
          <w:szCs w:val="21"/>
        </w:rPr>
      </w:pPr>
      <w:r w:rsidRPr="008C6427">
        <w:rPr>
          <w:rFonts w:ascii="Cambria" w:hAnsi="Cambria"/>
          <w:sz w:val="21"/>
          <w:szCs w:val="21"/>
        </w:rPr>
        <w:t>Y = α + β</w:t>
      </w:r>
      <w:r w:rsidRPr="008C6427">
        <w:rPr>
          <w:rFonts w:ascii="Cambria" w:hAnsi="Cambria"/>
          <w:sz w:val="21"/>
          <w:szCs w:val="21"/>
          <w:vertAlign w:val="subscript"/>
        </w:rPr>
        <w:t>1</w:t>
      </w:r>
      <w:r w:rsidRPr="008C6427">
        <w:rPr>
          <w:rFonts w:ascii="Cambria" w:hAnsi="Cambria"/>
          <w:sz w:val="21"/>
          <w:szCs w:val="21"/>
        </w:rPr>
        <w:t>X</w:t>
      </w:r>
      <w:r w:rsidRPr="008C6427">
        <w:rPr>
          <w:rFonts w:ascii="Cambria" w:hAnsi="Cambria"/>
          <w:sz w:val="21"/>
          <w:szCs w:val="21"/>
          <w:vertAlign w:val="subscript"/>
        </w:rPr>
        <w:t>1</w:t>
      </w:r>
      <w:r w:rsidRPr="008C6427">
        <w:rPr>
          <w:rFonts w:ascii="Cambria" w:hAnsi="Cambria"/>
          <w:sz w:val="21"/>
          <w:szCs w:val="21"/>
        </w:rPr>
        <w:t xml:space="preserve"> + β</w:t>
      </w:r>
      <w:r w:rsidRPr="008C6427">
        <w:rPr>
          <w:rFonts w:ascii="Cambria" w:hAnsi="Cambria"/>
          <w:sz w:val="21"/>
          <w:szCs w:val="21"/>
          <w:vertAlign w:val="subscript"/>
        </w:rPr>
        <w:t>2</w:t>
      </w:r>
      <w:r w:rsidRPr="008C6427">
        <w:rPr>
          <w:rFonts w:ascii="Cambria" w:hAnsi="Cambria"/>
          <w:sz w:val="21"/>
          <w:szCs w:val="21"/>
        </w:rPr>
        <w:t>X</w:t>
      </w:r>
      <w:r w:rsidRPr="008C6427">
        <w:rPr>
          <w:rFonts w:ascii="Cambria" w:hAnsi="Cambria"/>
          <w:sz w:val="21"/>
          <w:szCs w:val="21"/>
          <w:vertAlign w:val="subscript"/>
        </w:rPr>
        <w:t>2</w:t>
      </w:r>
      <w:r w:rsidRPr="008C6427">
        <w:rPr>
          <w:rFonts w:ascii="Cambria" w:hAnsi="Cambria"/>
          <w:sz w:val="21"/>
          <w:szCs w:val="21"/>
        </w:rPr>
        <w:t xml:space="preserve"> + e</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2"/>
        <w:gridCol w:w="5104"/>
      </w:tblGrid>
      <w:tr w:rsidR="008C6427" w:rsidRPr="008C6427" w14:paraId="0CFB5FD1" w14:textId="77777777" w:rsidTr="009E5333">
        <w:trPr>
          <w:jc w:val="center"/>
        </w:trPr>
        <w:tc>
          <w:tcPr>
            <w:tcW w:w="720" w:type="dxa"/>
            <w:hideMark/>
          </w:tcPr>
          <w:p w14:paraId="59024219"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lastRenderedPageBreak/>
              <w:t>Y</w:t>
            </w:r>
          </w:p>
        </w:tc>
        <w:tc>
          <w:tcPr>
            <w:tcW w:w="272" w:type="dxa"/>
            <w:hideMark/>
          </w:tcPr>
          <w:p w14:paraId="46AEA829"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35760DC7"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Prevention of Procurement Fraud</w:t>
            </w:r>
          </w:p>
        </w:tc>
      </w:tr>
      <w:tr w:rsidR="008C6427" w:rsidRPr="008C6427" w14:paraId="6DE6D241" w14:textId="77777777" w:rsidTr="009E5333">
        <w:trPr>
          <w:jc w:val="center"/>
        </w:trPr>
        <w:tc>
          <w:tcPr>
            <w:tcW w:w="720" w:type="dxa"/>
            <w:hideMark/>
          </w:tcPr>
          <w:p w14:paraId="22978435"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α</w:t>
            </w:r>
          </w:p>
        </w:tc>
        <w:tc>
          <w:tcPr>
            <w:tcW w:w="272" w:type="dxa"/>
            <w:hideMark/>
          </w:tcPr>
          <w:p w14:paraId="29B7B055"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06F486DF"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Constant</w:t>
            </w:r>
          </w:p>
        </w:tc>
      </w:tr>
      <w:tr w:rsidR="008C6427" w:rsidRPr="008C6427" w14:paraId="28CEBD0E" w14:textId="77777777" w:rsidTr="009E5333">
        <w:trPr>
          <w:jc w:val="center"/>
        </w:trPr>
        <w:tc>
          <w:tcPr>
            <w:tcW w:w="720" w:type="dxa"/>
            <w:hideMark/>
          </w:tcPr>
          <w:p w14:paraId="4B1CFF20"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β</w:t>
            </w:r>
            <w:r w:rsidRPr="008C6427">
              <w:rPr>
                <w:rFonts w:ascii="Cambria" w:hAnsi="Cambria"/>
                <w:sz w:val="21"/>
                <w:szCs w:val="21"/>
                <w:vertAlign w:val="subscript"/>
              </w:rPr>
              <w:t>1</w:t>
            </w:r>
            <w:r w:rsidRPr="008C6427">
              <w:rPr>
                <w:rFonts w:ascii="Cambria" w:hAnsi="Cambria"/>
                <w:sz w:val="21"/>
                <w:szCs w:val="21"/>
              </w:rPr>
              <w:t>, β</w:t>
            </w:r>
            <w:r w:rsidRPr="008C6427">
              <w:rPr>
                <w:rFonts w:ascii="Cambria" w:hAnsi="Cambria"/>
                <w:sz w:val="21"/>
                <w:szCs w:val="21"/>
                <w:vertAlign w:val="subscript"/>
              </w:rPr>
              <w:t>2</w:t>
            </w:r>
          </w:p>
        </w:tc>
        <w:tc>
          <w:tcPr>
            <w:tcW w:w="272" w:type="dxa"/>
            <w:hideMark/>
          </w:tcPr>
          <w:p w14:paraId="32743DAD"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306EE187"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Coefficient of regression direction</w:t>
            </w:r>
          </w:p>
        </w:tc>
      </w:tr>
      <w:tr w:rsidR="008C6427" w:rsidRPr="008C6427" w14:paraId="5235B5A0" w14:textId="77777777" w:rsidTr="009E5333">
        <w:trPr>
          <w:jc w:val="center"/>
        </w:trPr>
        <w:tc>
          <w:tcPr>
            <w:tcW w:w="720" w:type="dxa"/>
            <w:hideMark/>
          </w:tcPr>
          <w:p w14:paraId="1E3780BA"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X</w:t>
            </w:r>
            <w:r w:rsidRPr="008C6427">
              <w:rPr>
                <w:rFonts w:ascii="Cambria" w:hAnsi="Cambria"/>
                <w:sz w:val="21"/>
                <w:szCs w:val="21"/>
                <w:vertAlign w:val="subscript"/>
              </w:rPr>
              <w:t>1</w:t>
            </w:r>
          </w:p>
        </w:tc>
        <w:tc>
          <w:tcPr>
            <w:tcW w:w="272" w:type="dxa"/>
            <w:hideMark/>
          </w:tcPr>
          <w:p w14:paraId="525233B7"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3696CCA5"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Internal control</w:t>
            </w:r>
          </w:p>
        </w:tc>
      </w:tr>
      <w:tr w:rsidR="008C6427" w:rsidRPr="008C6427" w14:paraId="79E6C7A1" w14:textId="77777777" w:rsidTr="009E5333">
        <w:trPr>
          <w:jc w:val="center"/>
        </w:trPr>
        <w:tc>
          <w:tcPr>
            <w:tcW w:w="720" w:type="dxa"/>
            <w:hideMark/>
          </w:tcPr>
          <w:p w14:paraId="7185933D"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X</w:t>
            </w:r>
            <w:r w:rsidRPr="008C6427">
              <w:rPr>
                <w:rFonts w:ascii="Cambria" w:hAnsi="Cambria"/>
                <w:sz w:val="21"/>
                <w:szCs w:val="21"/>
                <w:vertAlign w:val="subscript"/>
              </w:rPr>
              <w:t>2</w:t>
            </w:r>
          </w:p>
        </w:tc>
        <w:tc>
          <w:tcPr>
            <w:tcW w:w="272" w:type="dxa"/>
            <w:hideMark/>
          </w:tcPr>
          <w:p w14:paraId="2C6E7C61"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25A65A66"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Organizational Commitment</w:t>
            </w:r>
          </w:p>
        </w:tc>
      </w:tr>
      <w:tr w:rsidR="008C6427" w:rsidRPr="008C6427" w14:paraId="65A1C23B" w14:textId="77777777" w:rsidTr="009E5333">
        <w:trPr>
          <w:jc w:val="center"/>
        </w:trPr>
        <w:tc>
          <w:tcPr>
            <w:tcW w:w="720" w:type="dxa"/>
            <w:hideMark/>
          </w:tcPr>
          <w:p w14:paraId="25855DC2"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e</w:t>
            </w:r>
          </w:p>
        </w:tc>
        <w:tc>
          <w:tcPr>
            <w:tcW w:w="272" w:type="dxa"/>
            <w:hideMark/>
          </w:tcPr>
          <w:p w14:paraId="086A8F1B"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w:t>
            </w:r>
          </w:p>
        </w:tc>
        <w:tc>
          <w:tcPr>
            <w:tcW w:w="5104" w:type="dxa"/>
            <w:hideMark/>
          </w:tcPr>
          <w:p w14:paraId="7B00B80D" w14:textId="77777777" w:rsidR="008C6427" w:rsidRPr="008C6427" w:rsidRDefault="008C6427" w:rsidP="009E5333">
            <w:pPr>
              <w:spacing w:after="0"/>
              <w:jc w:val="both"/>
              <w:rPr>
                <w:rFonts w:ascii="Cambria" w:hAnsi="Cambria"/>
                <w:sz w:val="21"/>
                <w:szCs w:val="21"/>
              </w:rPr>
            </w:pPr>
            <w:r w:rsidRPr="008C6427">
              <w:rPr>
                <w:rFonts w:ascii="Cambria" w:hAnsi="Cambria"/>
                <w:sz w:val="21"/>
                <w:szCs w:val="21"/>
              </w:rPr>
              <w:t xml:space="preserve">Error term </w:t>
            </w:r>
          </w:p>
        </w:tc>
      </w:tr>
    </w:tbl>
    <w:p w14:paraId="573BBF9F" w14:textId="77777777" w:rsidR="00D97972" w:rsidRDefault="00D97972" w:rsidP="00D97972">
      <w:pPr>
        <w:pStyle w:val="07HEADA"/>
        <w:rPr>
          <w:rFonts w:eastAsia="Cambria"/>
        </w:rPr>
      </w:pPr>
      <w:r>
        <w:rPr>
          <w:rFonts w:eastAsia="Cambria"/>
        </w:rPr>
        <w:t>RESULTS AND DISCUSSION</w:t>
      </w:r>
    </w:p>
    <w:p w14:paraId="645C08F9" w14:textId="4CD32050" w:rsidR="008C6427" w:rsidRPr="008C6427" w:rsidRDefault="008C6427" w:rsidP="008C6427">
      <w:pPr>
        <w:spacing w:after="0" w:line="278" w:lineRule="auto"/>
        <w:ind w:firstLine="567"/>
        <w:jc w:val="both"/>
        <w:rPr>
          <w:rFonts w:ascii="Cambria" w:hAnsi="Cambria"/>
          <w:sz w:val="21"/>
          <w:szCs w:val="21"/>
        </w:rPr>
      </w:pPr>
      <w:r w:rsidRPr="008C6427">
        <w:rPr>
          <w:rFonts w:ascii="Cambria" w:hAnsi="Cambria"/>
          <w:sz w:val="21"/>
          <w:szCs w:val="21"/>
        </w:rPr>
        <w:t>The data collected was in the form of respondents' answers to determine the effect of the quality of the committee, systems and procedures, environment, internal control, and organizational commitment to the prevention of fraud in the procurement of goods.  Questionnaires were distributed to hospital employees who had at least one year of service and worked in government hospitals' finance, planning, and logistics (goods procurement) departments. The object of the study consisted of 6 hospitals in Maluku Province, namely four hospitals in Ambon City, 1 Hospital in Central Maluku, and 1 Hospital in Southwest Maluku.  This study used descriptive analysis. Descriptive statistical analysis was intended to look at the profile of the study and provide an overview of the object under study through sample data and make generally accepted conclusions. The results of descriptive statistical analysis can be seen in Table 1</w:t>
      </w:r>
      <w:r w:rsidRPr="008C6427">
        <w:rPr>
          <w:rFonts w:ascii="Cambria" w:eastAsia="Times New Roman" w:hAnsi="Cambria"/>
          <w:sz w:val="21"/>
          <w:szCs w:val="21"/>
        </w:rPr>
        <w:t>.</w:t>
      </w:r>
    </w:p>
    <w:p w14:paraId="39D133DD" w14:textId="77777777" w:rsidR="008C6427" w:rsidRPr="008C6427" w:rsidRDefault="008C6427" w:rsidP="008C6427">
      <w:pPr>
        <w:tabs>
          <w:tab w:val="left" w:pos="7740"/>
        </w:tabs>
        <w:spacing w:after="0"/>
        <w:rPr>
          <w:rFonts w:ascii="Cambria" w:eastAsia="Times New Roman" w:hAnsi="Cambria"/>
          <w:iCs/>
          <w:sz w:val="21"/>
          <w:szCs w:val="21"/>
        </w:rPr>
      </w:pPr>
    </w:p>
    <w:p w14:paraId="29BF8558" w14:textId="77777777" w:rsidR="008C6427" w:rsidRPr="00FF45B1" w:rsidRDefault="008C6427" w:rsidP="008C6427">
      <w:pPr>
        <w:tabs>
          <w:tab w:val="left" w:pos="7740"/>
        </w:tabs>
        <w:spacing w:after="0"/>
        <w:jc w:val="center"/>
        <w:rPr>
          <w:rFonts w:ascii="Cambria" w:eastAsia="Times New Roman" w:hAnsi="Cambria"/>
          <w:b/>
          <w:iCs/>
          <w:sz w:val="21"/>
          <w:szCs w:val="21"/>
        </w:rPr>
      </w:pPr>
      <w:proofErr w:type="gramStart"/>
      <w:r w:rsidRPr="00FF45B1">
        <w:rPr>
          <w:rFonts w:ascii="Cambria" w:eastAsia="Times New Roman" w:hAnsi="Cambria"/>
          <w:b/>
          <w:iCs/>
          <w:sz w:val="21"/>
          <w:szCs w:val="21"/>
        </w:rPr>
        <w:t>Table 1.</w:t>
      </w:r>
      <w:proofErr w:type="gramEnd"/>
      <w:r w:rsidRPr="00FF45B1">
        <w:rPr>
          <w:rFonts w:ascii="Cambria" w:eastAsia="Times New Roman" w:hAnsi="Cambria"/>
          <w:b/>
          <w:iCs/>
          <w:sz w:val="21"/>
          <w:szCs w:val="21"/>
        </w:rPr>
        <w:t xml:space="preserve"> </w:t>
      </w:r>
      <w:r w:rsidRPr="00FF45B1">
        <w:rPr>
          <w:rFonts w:ascii="Cambria" w:hAnsi="Cambria"/>
          <w:b/>
          <w:bCs/>
          <w:sz w:val="21"/>
          <w:szCs w:val="21"/>
        </w:rPr>
        <w:t>Statistical Descriptive Test Results</w:t>
      </w:r>
    </w:p>
    <w:tbl>
      <w:tblPr>
        <w:tblW w:w="8254" w:type="dxa"/>
        <w:jc w:val="center"/>
        <w:tblInd w:w="-1743" w:type="dxa"/>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425"/>
        <w:gridCol w:w="1418"/>
        <w:gridCol w:w="1417"/>
        <w:gridCol w:w="993"/>
        <w:gridCol w:w="1591"/>
      </w:tblGrid>
      <w:tr w:rsidR="008C6427" w:rsidRPr="008C6427" w14:paraId="64F58BA5" w14:textId="77777777" w:rsidTr="009E5333">
        <w:trPr>
          <w:trHeight w:val="264"/>
          <w:jc w:val="center"/>
        </w:trPr>
        <w:tc>
          <w:tcPr>
            <w:tcW w:w="2410" w:type="dxa"/>
            <w:tcBorders>
              <w:top w:val="single" w:sz="4" w:space="0" w:color="auto"/>
              <w:left w:val="nil"/>
              <w:bottom w:val="single" w:sz="4" w:space="0" w:color="auto"/>
              <w:right w:val="nil"/>
            </w:tcBorders>
            <w:noWrap/>
            <w:vAlign w:val="center"/>
          </w:tcPr>
          <w:p w14:paraId="336B5590" w14:textId="77777777" w:rsidR="008C6427" w:rsidRPr="008C6427" w:rsidRDefault="008C6427" w:rsidP="009E5333">
            <w:pPr>
              <w:tabs>
                <w:tab w:val="left" w:pos="7740"/>
              </w:tabs>
              <w:spacing w:after="0"/>
              <w:ind w:right="-88"/>
              <w:jc w:val="center"/>
              <w:rPr>
                <w:rFonts w:ascii="Cambria" w:eastAsia="Times New Roman" w:hAnsi="Cambria"/>
                <w:b/>
                <w:bCs/>
                <w:sz w:val="18"/>
                <w:szCs w:val="18"/>
                <w:lang w:eastAsia="en-ID"/>
              </w:rPr>
            </w:pPr>
          </w:p>
        </w:tc>
        <w:tc>
          <w:tcPr>
            <w:tcW w:w="425" w:type="dxa"/>
            <w:tcBorders>
              <w:top w:val="single" w:sz="4" w:space="0" w:color="auto"/>
              <w:left w:val="nil"/>
              <w:bottom w:val="single" w:sz="4" w:space="0" w:color="auto"/>
              <w:right w:val="nil"/>
            </w:tcBorders>
            <w:noWrap/>
            <w:vAlign w:val="bottom"/>
            <w:hideMark/>
          </w:tcPr>
          <w:p w14:paraId="37BE51ED" w14:textId="77777777" w:rsidR="008C6427" w:rsidRPr="008C6427" w:rsidRDefault="008C6427" w:rsidP="009E5333">
            <w:pPr>
              <w:tabs>
                <w:tab w:val="left" w:pos="7740"/>
              </w:tabs>
              <w:spacing w:after="0"/>
              <w:ind w:left="-66" w:right="-70"/>
              <w:jc w:val="center"/>
              <w:rPr>
                <w:rFonts w:ascii="Cambria" w:eastAsia="Times New Roman" w:hAnsi="Cambria"/>
                <w:b/>
                <w:bCs/>
                <w:sz w:val="18"/>
                <w:szCs w:val="18"/>
                <w:lang w:eastAsia="en-ID"/>
              </w:rPr>
            </w:pPr>
            <w:r w:rsidRPr="008C6427">
              <w:rPr>
                <w:rFonts w:ascii="Cambria" w:hAnsi="Cambria"/>
                <w:b/>
                <w:color w:val="000000"/>
                <w:sz w:val="18"/>
                <w:szCs w:val="18"/>
              </w:rPr>
              <w:t>N</w:t>
            </w:r>
          </w:p>
        </w:tc>
        <w:tc>
          <w:tcPr>
            <w:tcW w:w="1418" w:type="dxa"/>
            <w:tcBorders>
              <w:top w:val="single" w:sz="4" w:space="0" w:color="auto"/>
              <w:left w:val="nil"/>
              <w:bottom w:val="single" w:sz="4" w:space="0" w:color="auto"/>
              <w:right w:val="nil"/>
            </w:tcBorders>
            <w:noWrap/>
            <w:vAlign w:val="bottom"/>
            <w:hideMark/>
          </w:tcPr>
          <w:p w14:paraId="1B59B80F" w14:textId="77777777" w:rsidR="008C6427" w:rsidRPr="008C6427" w:rsidRDefault="008C6427" w:rsidP="009E5333">
            <w:pPr>
              <w:tabs>
                <w:tab w:val="left" w:pos="7740"/>
              </w:tabs>
              <w:spacing w:after="0"/>
              <w:ind w:left="-66" w:right="-118"/>
              <w:jc w:val="center"/>
              <w:rPr>
                <w:rFonts w:ascii="Cambria" w:eastAsia="Times New Roman" w:hAnsi="Cambria"/>
                <w:b/>
                <w:bCs/>
                <w:sz w:val="18"/>
                <w:szCs w:val="18"/>
                <w:lang w:eastAsia="en-ID"/>
              </w:rPr>
            </w:pPr>
            <w:r w:rsidRPr="008C6427">
              <w:rPr>
                <w:rFonts w:ascii="Cambria" w:hAnsi="Cambria"/>
                <w:b/>
                <w:color w:val="000000"/>
                <w:sz w:val="18"/>
                <w:szCs w:val="18"/>
              </w:rPr>
              <w:t>Minimum</w:t>
            </w:r>
          </w:p>
        </w:tc>
        <w:tc>
          <w:tcPr>
            <w:tcW w:w="1417" w:type="dxa"/>
            <w:tcBorders>
              <w:top w:val="single" w:sz="4" w:space="0" w:color="auto"/>
              <w:left w:val="nil"/>
              <w:bottom w:val="single" w:sz="4" w:space="0" w:color="auto"/>
              <w:right w:val="nil"/>
            </w:tcBorders>
            <w:noWrap/>
            <w:vAlign w:val="bottom"/>
            <w:hideMark/>
          </w:tcPr>
          <w:p w14:paraId="5BF6CB73" w14:textId="77777777" w:rsidR="008C6427" w:rsidRPr="008C6427" w:rsidRDefault="008C6427" w:rsidP="009E5333">
            <w:pPr>
              <w:tabs>
                <w:tab w:val="left" w:pos="7740"/>
              </w:tabs>
              <w:spacing w:after="0"/>
              <w:ind w:left="-59" w:right="-66"/>
              <w:jc w:val="center"/>
              <w:rPr>
                <w:rFonts w:ascii="Cambria" w:eastAsia="Times New Roman" w:hAnsi="Cambria"/>
                <w:b/>
                <w:bCs/>
                <w:sz w:val="18"/>
                <w:szCs w:val="18"/>
                <w:lang w:eastAsia="en-ID"/>
              </w:rPr>
            </w:pPr>
            <w:r w:rsidRPr="008C6427">
              <w:rPr>
                <w:rFonts w:ascii="Cambria" w:hAnsi="Cambria"/>
                <w:b/>
                <w:color w:val="000000"/>
                <w:sz w:val="18"/>
                <w:szCs w:val="18"/>
              </w:rPr>
              <w:t>Maximum</w:t>
            </w:r>
          </w:p>
        </w:tc>
        <w:tc>
          <w:tcPr>
            <w:tcW w:w="993" w:type="dxa"/>
            <w:tcBorders>
              <w:top w:val="single" w:sz="4" w:space="0" w:color="auto"/>
              <w:left w:val="nil"/>
              <w:bottom w:val="single" w:sz="4" w:space="0" w:color="auto"/>
              <w:right w:val="nil"/>
            </w:tcBorders>
            <w:noWrap/>
            <w:vAlign w:val="bottom"/>
            <w:hideMark/>
          </w:tcPr>
          <w:p w14:paraId="25E7D6DE" w14:textId="77777777" w:rsidR="008C6427" w:rsidRPr="008C6427" w:rsidRDefault="008C6427" w:rsidP="009E5333">
            <w:pPr>
              <w:tabs>
                <w:tab w:val="left" w:pos="7740"/>
              </w:tabs>
              <w:spacing w:after="0"/>
              <w:ind w:left="-106" w:right="-97"/>
              <w:jc w:val="center"/>
              <w:rPr>
                <w:rFonts w:ascii="Cambria" w:eastAsia="Times New Roman" w:hAnsi="Cambria"/>
                <w:b/>
                <w:bCs/>
                <w:sz w:val="18"/>
                <w:szCs w:val="18"/>
                <w:lang w:eastAsia="en-ID"/>
              </w:rPr>
            </w:pPr>
            <w:r w:rsidRPr="008C6427">
              <w:rPr>
                <w:rFonts w:ascii="Cambria" w:hAnsi="Cambria"/>
                <w:b/>
                <w:color w:val="000000"/>
                <w:sz w:val="18"/>
                <w:szCs w:val="18"/>
              </w:rPr>
              <w:t>Mean</w:t>
            </w:r>
          </w:p>
        </w:tc>
        <w:tc>
          <w:tcPr>
            <w:tcW w:w="1591" w:type="dxa"/>
            <w:tcBorders>
              <w:top w:val="single" w:sz="4" w:space="0" w:color="auto"/>
              <w:left w:val="nil"/>
              <w:bottom w:val="single" w:sz="4" w:space="0" w:color="auto"/>
              <w:right w:val="nil"/>
            </w:tcBorders>
            <w:noWrap/>
            <w:vAlign w:val="bottom"/>
            <w:hideMark/>
          </w:tcPr>
          <w:p w14:paraId="4A2ABF31" w14:textId="77777777" w:rsidR="008C6427" w:rsidRPr="008C6427" w:rsidRDefault="008C6427" w:rsidP="009E5333">
            <w:pPr>
              <w:tabs>
                <w:tab w:val="left" w:pos="7740"/>
              </w:tabs>
              <w:spacing w:after="0"/>
              <w:ind w:left="-108" w:right="-98"/>
              <w:jc w:val="center"/>
              <w:rPr>
                <w:rFonts w:ascii="Cambria" w:eastAsia="Times New Roman" w:hAnsi="Cambria"/>
                <w:b/>
                <w:bCs/>
                <w:sz w:val="18"/>
                <w:szCs w:val="18"/>
                <w:lang w:eastAsia="en-ID"/>
              </w:rPr>
            </w:pPr>
            <w:r w:rsidRPr="008C6427">
              <w:rPr>
                <w:rFonts w:ascii="Cambria" w:hAnsi="Cambria"/>
                <w:b/>
                <w:color w:val="000000"/>
                <w:sz w:val="18"/>
                <w:szCs w:val="18"/>
              </w:rPr>
              <w:t>Std. Deviation</w:t>
            </w:r>
          </w:p>
        </w:tc>
      </w:tr>
      <w:tr w:rsidR="008C6427" w:rsidRPr="008C6427" w14:paraId="519AEC16" w14:textId="77777777" w:rsidTr="009E5333">
        <w:trPr>
          <w:trHeight w:val="249"/>
          <w:jc w:val="center"/>
        </w:trPr>
        <w:tc>
          <w:tcPr>
            <w:tcW w:w="2410" w:type="dxa"/>
            <w:tcBorders>
              <w:top w:val="single" w:sz="4" w:space="0" w:color="auto"/>
              <w:left w:val="nil"/>
              <w:bottom w:val="nil"/>
              <w:right w:val="nil"/>
            </w:tcBorders>
            <w:noWrap/>
            <w:hideMark/>
          </w:tcPr>
          <w:p w14:paraId="3AFB38C5"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KPX1</w:t>
            </w:r>
          </w:p>
        </w:tc>
        <w:tc>
          <w:tcPr>
            <w:tcW w:w="425" w:type="dxa"/>
            <w:tcBorders>
              <w:top w:val="single" w:sz="4" w:space="0" w:color="auto"/>
              <w:left w:val="nil"/>
              <w:bottom w:val="nil"/>
              <w:right w:val="nil"/>
            </w:tcBorders>
            <w:noWrap/>
            <w:hideMark/>
          </w:tcPr>
          <w:p w14:paraId="52BDB2C2"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single" w:sz="4" w:space="0" w:color="auto"/>
              <w:left w:val="nil"/>
              <w:bottom w:val="nil"/>
              <w:right w:val="nil"/>
            </w:tcBorders>
            <w:noWrap/>
            <w:hideMark/>
          </w:tcPr>
          <w:p w14:paraId="527FAA78"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16</w:t>
            </w:r>
          </w:p>
        </w:tc>
        <w:tc>
          <w:tcPr>
            <w:tcW w:w="1417" w:type="dxa"/>
            <w:tcBorders>
              <w:top w:val="single" w:sz="4" w:space="0" w:color="auto"/>
              <w:left w:val="nil"/>
              <w:bottom w:val="nil"/>
              <w:right w:val="nil"/>
            </w:tcBorders>
            <w:noWrap/>
            <w:hideMark/>
          </w:tcPr>
          <w:p w14:paraId="06BBB050"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30</w:t>
            </w:r>
          </w:p>
        </w:tc>
        <w:tc>
          <w:tcPr>
            <w:tcW w:w="993" w:type="dxa"/>
            <w:tcBorders>
              <w:top w:val="single" w:sz="4" w:space="0" w:color="auto"/>
              <w:left w:val="nil"/>
              <w:bottom w:val="nil"/>
              <w:right w:val="nil"/>
            </w:tcBorders>
            <w:noWrap/>
            <w:hideMark/>
          </w:tcPr>
          <w:p w14:paraId="6967A40F"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24,87</w:t>
            </w:r>
          </w:p>
        </w:tc>
        <w:tc>
          <w:tcPr>
            <w:tcW w:w="1591" w:type="dxa"/>
            <w:tcBorders>
              <w:top w:val="single" w:sz="4" w:space="0" w:color="auto"/>
              <w:left w:val="nil"/>
              <w:bottom w:val="nil"/>
              <w:right w:val="nil"/>
            </w:tcBorders>
            <w:noWrap/>
            <w:hideMark/>
          </w:tcPr>
          <w:p w14:paraId="480DB9BA"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3,954</w:t>
            </w:r>
          </w:p>
        </w:tc>
      </w:tr>
      <w:tr w:rsidR="008C6427" w:rsidRPr="008C6427" w14:paraId="49D23267" w14:textId="77777777" w:rsidTr="009E5333">
        <w:trPr>
          <w:trHeight w:val="249"/>
          <w:jc w:val="center"/>
        </w:trPr>
        <w:tc>
          <w:tcPr>
            <w:tcW w:w="2410" w:type="dxa"/>
            <w:tcBorders>
              <w:top w:val="nil"/>
              <w:left w:val="nil"/>
              <w:bottom w:val="nil"/>
              <w:right w:val="nil"/>
            </w:tcBorders>
            <w:noWrap/>
            <w:hideMark/>
          </w:tcPr>
          <w:p w14:paraId="3F5FE7D3"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SDPX2</w:t>
            </w:r>
          </w:p>
        </w:tc>
        <w:tc>
          <w:tcPr>
            <w:tcW w:w="425" w:type="dxa"/>
            <w:tcBorders>
              <w:top w:val="nil"/>
              <w:left w:val="nil"/>
              <w:bottom w:val="nil"/>
              <w:right w:val="nil"/>
            </w:tcBorders>
            <w:noWrap/>
            <w:hideMark/>
          </w:tcPr>
          <w:p w14:paraId="5D4D6FB4"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nil"/>
              <w:left w:val="nil"/>
              <w:bottom w:val="nil"/>
              <w:right w:val="nil"/>
            </w:tcBorders>
            <w:noWrap/>
            <w:hideMark/>
          </w:tcPr>
          <w:p w14:paraId="7EC3355D"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20</w:t>
            </w:r>
          </w:p>
        </w:tc>
        <w:tc>
          <w:tcPr>
            <w:tcW w:w="1417" w:type="dxa"/>
            <w:tcBorders>
              <w:top w:val="nil"/>
              <w:left w:val="nil"/>
              <w:bottom w:val="nil"/>
              <w:right w:val="nil"/>
            </w:tcBorders>
            <w:noWrap/>
            <w:hideMark/>
          </w:tcPr>
          <w:p w14:paraId="21E31CFC"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40</w:t>
            </w:r>
          </w:p>
        </w:tc>
        <w:tc>
          <w:tcPr>
            <w:tcW w:w="993" w:type="dxa"/>
            <w:tcBorders>
              <w:top w:val="nil"/>
              <w:left w:val="nil"/>
              <w:bottom w:val="nil"/>
              <w:right w:val="nil"/>
            </w:tcBorders>
            <w:noWrap/>
            <w:hideMark/>
          </w:tcPr>
          <w:p w14:paraId="20DBAE1D"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34,27</w:t>
            </w:r>
          </w:p>
        </w:tc>
        <w:tc>
          <w:tcPr>
            <w:tcW w:w="1591" w:type="dxa"/>
            <w:tcBorders>
              <w:top w:val="nil"/>
              <w:left w:val="nil"/>
              <w:bottom w:val="nil"/>
              <w:right w:val="nil"/>
            </w:tcBorders>
            <w:noWrap/>
            <w:hideMark/>
          </w:tcPr>
          <w:p w14:paraId="26B35BB7"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4,965</w:t>
            </w:r>
          </w:p>
        </w:tc>
      </w:tr>
      <w:tr w:rsidR="008C6427" w:rsidRPr="008C6427" w14:paraId="78FCB4F7" w14:textId="77777777" w:rsidTr="009E5333">
        <w:trPr>
          <w:trHeight w:val="249"/>
          <w:jc w:val="center"/>
        </w:trPr>
        <w:tc>
          <w:tcPr>
            <w:tcW w:w="2410" w:type="dxa"/>
            <w:tcBorders>
              <w:top w:val="nil"/>
              <w:left w:val="nil"/>
              <w:bottom w:val="nil"/>
              <w:right w:val="nil"/>
            </w:tcBorders>
            <w:noWrap/>
            <w:hideMark/>
          </w:tcPr>
          <w:p w14:paraId="1FE478BB"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LINGX3</w:t>
            </w:r>
          </w:p>
        </w:tc>
        <w:tc>
          <w:tcPr>
            <w:tcW w:w="425" w:type="dxa"/>
            <w:tcBorders>
              <w:top w:val="nil"/>
              <w:left w:val="nil"/>
              <w:bottom w:val="nil"/>
              <w:right w:val="nil"/>
            </w:tcBorders>
            <w:noWrap/>
            <w:hideMark/>
          </w:tcPr>
          <w:p w14:paraId="1AF85336"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nil"/>
              <w:left w:val="nil"/>
              <w:bottom w:val="nil"/>
              <w:right w:val="nil"/>
            </w:tcBorders>
            <w:noWrap/>
            <w:hideMark/>
          </w:tcPr>
          <w:p w14:paraId="439CF7B6"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19</w:t>
            </w:r>
          </w:p>
        </w:tc>
        <w:tc>
          <w:tcPr>
            <w:tcW w:w="1417" w:type="dxa"/>
            <w:tcBorders>
              <w:top w:val="nil"/>
              <w:left w:val="nil"/>
              <w:bottom w:val="nil"/>
              <w:right w:val="nil"/>
            </w:tcBorders>
            <w:noWrap/>
            <w:hideMark/>
          </w:tcPr>
          <w:p w14:paraId="77D7EAB0"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29</w:t>
            </w:r>
          </w:p>
        </w:tc>
        <w:tc>
          <w:tcPr>
            <w:tcW w:w="993" w:type="dxa"/>
            <w:tcBorders>
              <w:top w:val="nil"/>
              <w:left w:val="nil"/>
              <w:bottom w:val="nil"/>
              <w:right w:val="nil"/>
            </w:tcBorders>
            <w:noWrap/>
            <w:hideMark/>
          </w:tcPr>
          <w:p w14:paraId="31535F85"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23,20</w:t>
            </w:r>
          </w:p>
        </w:tc>
        <w:tc>
          <w:tcPr>
            <w:tcW w:w="1591" w:type="dxa"/>
            <w:tcBorders>
              <w:top w:val="nil"/>
              <w:left w:val="nil"/>
              <w:bottom w:val="nil"/>
              <w:right w:val="nil"/>
            </w:tcBorders>
            <w:noWrap/>
            <w:hideMark/>
          </w:tcPr>
          <w:p w14:paraId="66843546"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2,040</w:t>
            </w:r>
          </w:p>
        </w:tc>
      </w:tr>
      <w:tr w:rsidR="008C6427" w:rsidRPr="008C6427" w14:paraId="7DFFEE84" w14:textId="77777777" w:rsidTr="009E5333">
        <w:trPr>
          <w:trHeight w:val="249"/>
          <w:jc w:val="center"/>
        </w:trPr>
        <w:tc>
          <w:tcPr>
            <w:tcW w:w="2410" w:type="dxa"/>
            <w:tcBorders>
              <w:top w:val="nil"/>
              <w:left w:val="nil"/>
              <w:bottom w:val="nil"/>
              <w:right w:val="nil"/>
            </w:tcBorders>
            <w:noWrap/>
            <w:hideMark/>
          </w:tcPr>
          <w:p w14:paraId="11B74F36"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PIX4</w:t>
            </w:r>
          </w:p>
        </w:tc>
        <w:tc>
          <w:tcPr>
            <w:tcW w:w="425" w:type="dxa"/>
            <w:tcBorders>
              <w:top w:val="nil"/>
              <w:left w:val="nil"/>
              <w:bottom w:val="nil"/>
              <w:right w:val="nil"/>
            </w:tcBorders>
            <w:noWrap/>
            <w:hideMark/>
          </w:tcPr>
          <w:p w14:paraId="40667840"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nil"/>
              <w:left w:val="nil"/>
              <w:bottom w:val="nil"/>
              <w:right w:val="nil"/>
            </w:tcBorders>
            <w:noWrap/>
            <w:hideMark/>
          </w:tcPr>
          <w:p w14:paraId="361FFA7B"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47</w:t>
            </w:r>
          </w:p>
        </w:tc>
        <w:tc>
          <w:tcPr>
            <w:tcW w:w="1417" w:type="dxa"/>
            <w:tcBorders>
              <w:top w:val="nil"/>
              <w:left w:val="nil"/>
              <w:bottom w:val="nil"/>
              <w:right w:val="nil"/>
            </w:tcBorders>
            <w:noWrap/>
            <w:hideMark/>
          </w:tcPr>
          <w:p w14:paraId="03D90240"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72</w:t>
            </w:r>
          </w:p>
        </w:tc>
        <w:tc>
          <w:tcPr>
            <w:tcW w:w="993" w:type="dxa"/>
            <w:tcBorders>
              <w:top w:val="nil"/>
              <w:left w:val="nil"/>
              <w:bottom w:val="nil"/>
              <w:right w:val="nil"/>
            </w:tcBorders>
            <w:noWrap/>
            <w:hideMark/>
          </w:tcPr>
          <w:p w14:paraId="37380241"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58,22</w:t>
            </w:r>
          </w:p>
        </w:tc>
        <w:tc>
          <w:tcPr>
            <w:tcW w:w="1591" w:type="dxa"/>
            <w:tcBorders>
              <w:top w:val="nil"/>
              <w:left w:val="nil"/>
              <w:bottom w:val="nil"/>
              <w:right w:val="nil"/>
            </w:tcBorders>
            <w:noWrap/>
            <w:hideMark/>
          </w:tcPr>
          <w:p w14:paraId="7ABB4982"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6,382</w:t>
            </w:r>
          </w:p>
        </w:tc>
      </w:tr>
      <w:tr w:rsidR="008C6427" w:rsidRPr="008C6427" w14:paraId="39D5FAB7" w14:textId="77777777" w:rsidTr="009E5333">
        <w:trPr>
          <w:trHeight w:val="249"/>
          <w:jc w:val="center"/>
        </w:trPr>
        <w:tc>
          <w:tcPr>
            <w:tcW w:w="2410" w:type="dxa"/>
            <w:tcBorders>
              <w:top w:val="nil"/>
              <w:left w:val="nil"/>
              <w:bottom w:val="nil"/>
              <w:right w:val="nil"/>
            </w:tcBorders>
            <w:noWrap/>
            <w:hideMark/>
          </w:tcPr>
          <w:p w14:paraId="5E6E4C8A"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KOX5</w:t>
            </w:r>
          </w:p>
        </w:tc>
        <w:tc>
          <w:tcPr>
            <w:tcW w:w="425" w:type="dxa"/>
            <w:tcBorders>
              <w:top w:val="nil"/>
              <w:left w:val="nil"/>
              <w:bottom w:val="nil"/>
              <w:right w:val="nil"/>
            </w:tcBorders>
            <w:noWrap/>
            <w:hideMark/>
          </w:tcPr>
          <w:p w14:paraId="487B3D72"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nil"/>
              <w:left w:val="nil"/>
              <w:bottom w:val="nil"/>
              <w:right w:val="nil"/>
            </w:tcBorders>
            <w:noWrap/>
            <w:hideMark/>
          </w:tcPr>
          <w:p w14:paraId="3AF12D29"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32</w:t>
            </w:r>
          </w:p>
        </w:tc>
        <w:tc>
          <w:tcPr>
            <w:tcW w:w="1417" w:type="dxa"/>
            <w:tcBorders>
              <w:top w:val="nil"/>
              <w:left w:val="nil"/>
              <w:bottom w:val="nil"/>
              <w:right w:val="nil"/>
            </w:tcBorders>
            <w:noWrap/>
            <w:hideMark/>
          </w:tcPr>
          <w:p w14:paraId="515E4334"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48</w:t>
            </w:r>
          </w:p>
        </w:tc>
        <w:tc>
          <w:tcPr>
            <w:tcW w:w="993" w:type="dxa"/>
            <w:tcBorders>
              <w:top w:val="nil"/>
              <w:left w:val="nil"/>
              <w:bottom w:val="nil"/>
              <w:right w:val="nil"/>
            </w:tcBorders>
            <w:noWrap/>
            <w:hideMark/>
          </w:tcPr>
          <w:p w14:paraId="2844FC68"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40,02</w:t>
            </w:r>
          </w:p>
        </w:tc>
        <w:tc>
          <w:tcPr>
            <w:tcW w:w="1591" w:type="dxa"/>
            <w:tcBorders>
              <w:top w:val="nil"/>
              <w:left w:val="nil"/>
              <w:bottom w:val="nil"/>
              <w:right w:val="nil"/>
            </w:tcBorders>
            <w:noWrap/>
            <w:hideMark/>
          </w:tcPr>
          <w:p w14:paraId="7993E570"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3,932</w:t>
            </w:r>
          </w:p>
        </w:tc>
      </w:tr>
      <w:tr w:rsidR="008C6427" w:rsidRPr="008C6427" w14:paraId="50477743" w14:textId="77777777" w:rsidTr="009E5333">
        <w:trPr>
          <w:trHeight w:val="249"/>
          <w:jc w:val="center"/>
        </w:trPr>
        <w:tc>
          <w:tcPr>
            <w:tcW w:w="2410" w:type="dxa"/>
            <w:tcBorders>
              <w:top w:val="nil"/>
              <w:left w:val="nil"/>
              <w:bottom w:val="single" w:sz="4" w:space="0" w:color="auto"/>
              <w:right w:val="nil"/>
            </w:tcBorders>
            <w:noWrap/>
            <w:hideMark/>
          </w:tcPr>
          <w:p w14:paraId="61001013" w14:textId="77777777" w:rsidR="008C6427" w:rsidRPr="008C6427" w:rsidRDefault="008C6427" w:rsidP="009E5333">
            <w:pPr>
              <w:tabs>
                <w:tab w:val="left" w:pos="7740"/>
              </w:tabs>
              <w:spacing w:after="0"/>
              <w:ind w:right="-88"/>
              <w:rPr>
                <w:rFonts w:ascii="Cambria" w:eastAsia="Times New Roman" w:hAnsi="Cambria"/>
                <w:bCs/>
                <w:sz w:val="18"/>
                <w:szCs w:val="18"/>
                <w:lang w:eastAsia="en-ID"/>
              </w:rPr>
            </w:pPr>
            <w:r w:rsidRPr="008C6427">
              <w:rPr>
                <w:rFonts w:ascii="Cambria" w:hAnsi="Cambria"/>
                <w:color w:val="000000"/>
                <w:sz w:val="18"/>
                <w:szCs w:val="18"/>
              </w:rPr>
              <w:t>PFY</w:t>
            </w:r>
          </w:p>
        </w:tc>
        <w:tc>
          <w:tcPr>
            <w:tcW w:w="425" w:type="dxa"/>
            <w:tcBorders>
              <w:top w:val="nil"/>
              <w:left w:val="nil"/>
              <w:bottom w:val="single" w:sz="4" w:space="0" w:color="auto"/>
              <w:right w:val="nil"/>
            </w:tcBorders>
            <w:noWrap/>
            <w:hideMark/>
          </w:tcPr>
          <w:p w14:paraId="5A75A1AF" w14:textId="77777777" w:rsidR="008C6427" w:rsidRPr="008C6427" w:rsidRDefault="008C6427" w:rsidP="009E5333">
            <w:pPr>
              <w:tabs>
                <w:tab w:val="left" w:pos="7740"/>
              </w:tabs>
              <w:spacing w:after="0"/>
              <w:ind w:left="-66" w:right="-70"/>
              <w:jc w:val="center"/>
              <w:rPr>
                <w:rFonts w:ascii="Cambria" w:eastAsia="Times New Roman" w:hAnsi="Cambria"/>
                <w:sz w:val="18"/>
                <w:szCs w:val="18"/>
                <w:lang w:eastAsia="en-ID"/>
              </w:rPr>
            </w:pPr>
            <w:r w:rsidRPr="008C6427">
              <w:rPr>
                <w:rFonts w:ascii="Cambria" w:hAnsi="Cambria"/>
                <w:color w:val="000000"/>
                <w:sz w:val="18"/>
                <w:szCs w:val="18"/>
              </w:rPr>
              <w:t>55</w:t>
            </w:r>
          </w:p>
        </w:tc>
        <w:tc>
          <w:tcPr>
            <w:tcW w:w="1418" w:type="dxa"/>
            <w:tcBorders>
              <w:top w:val="nil"/>
              <w:left w:val="nil"/>
              <w:bottom w:val="single" w:sz="4" w:space="0" w:color="auto"/>
              <w:right w:val="nil"/>
            </w:tcBorders>
            <w:noWrap/>
            <w:hideMark/>
          </w:tcPr>
          <w:p w14:paraId="6DC8AF48" w14:textId="77777777" w:rsidR="008C6427" w:rsidRPr="008C6427" w:rsidRDefault="008C6427" w:rsidP="009E5333">
            <w:pPr>
              <w:tabs>
                <w:tab w:val="left" w:pos="7740"/>
              </w:tabs>
              <w:spacing w:after="0"/>
              <w:ind w:left="-66" w:right="-118"/>
              <w:jc w:val="center"/>
              <w:rPr>
                <w:rFonts w:ascii="Cambria" w:eastAsia="Times New Roman" w:hAnsi="Cambria"/>
                <w:sz w:val="18"/>
                <w:szCs w:val="18"/>
                <w:lang w:eastAsia="en-ID"/>
              </w:rPr>
            </w:pPr>
            <w:r w:rsidRPr="008C6427">
              <w:rPr>
                <w:rFonts w:ascii="Cambria" w:hAnsi="Cambria"/>
                <w:color w:val="000000"/>
                <w:sz w:val="18"/>
                <w:szCs w:val="18"/>
              </w:rPr>
              <w:t>15</w:t>
            </w:r>
          </w:p>
        </w:tc>
        <w:tc>
          <w:tcPr>
            <w:tcW w:w="1417" w:type="dxa"/>
            <w:tcBorders>
              <w:top w:val="nil"/>
              <w:left w:val="nil"/>
              <w:bottom w:val="single" w:sz="4" w:space="0" w:color="auto"/>
              <w:right w:val="nil"/>
            </w:tcBorders>
            <w:noWrap/>
            <w:hideMark/>
          </w:tcPr>
          <w:p w14:paraId="46F94EE6" w14:textId="77777777" w:rsidR="008C6427" w:rsidRPr="008C6427" w:rsidRDefault="008C6427" w:rsidP="009E5333">
            <w:pPr>
              <w:tabs>
                <w:tab w:val="left" w:pos="7740"/>
              </w:tabs>
              <w:spacing w:after="0"/>
              <w:ind w:left="-59" w:right="-66"/>
              <w:jc w:val="center"/>
              <w:rPr>
                <w:rFonts w:ascii="Cambria" w:eastAsia="Times New Roman" w:hAnsi="Cambria"/>
                <w:sz w:val="18"/>
                <w:szCs w:val="18"/>
                <w:lang w:eastAsia="en-ID"/>
              </w:rPr>
            </w:pPr>
            <w:r w:rsidRPr="008C6427">
              <w:rPr>
                <w:rFonts w:ascii="Cambria" w:hAnsi="Cambria"/>
                <w:color w:val="000000"/>
                <w:sz w:val="18"/>
                <w:szCs w:val="18"/>
              </w:rPr>
              <w:t>24</w:t>
            </w:r>
          </w:p>
        </w:tc>
        <w:tc>
          <w:tcPr>
            <w:tcW w:w="993" w:type="dxa"/>
            <w:tcBorders>
              <w:top w:val="nil"/>
              <w:left w:val="nil"/>
              <w:bottom w:val="single" w:sz="4" w:space="0" w:color="auto"/>
              <w:right w:val="nil"/>
            </w:tcBorders>
            <w:noWrap/>
            <w:hideMark/>
          </w:tcPr>
          <w:p w14:paraId="65549D0D" w14:textId="77777777" w:rsidR="008C6427" w:rsidRPr="008C6427" w:rsidRDefault="008C6427" w:rsidP="009E5333">
            <w:pPr>
              <w:tabs>
                <w:tab w:val="left" w:pos="7740"/>
              </w:tabs>
              <w:spacing w:after="0"/>
              <w:ind w:left="-106" w:right="-97"/>
              <w:jc w:val="center"/>
              <w:rPr>
                <w:rFonts w:ascii="Cambria" w:eastAsia="Times New Roman" w:hAnsi="Cambria"/>
                <w:sz w:val="18"/>
                <w:szCs w:val="18"/>
                <w:lang w:eastAsia="en-ID"/>
              </w:rPr>
            </w:pPr>
            <w:r w:rsidRPr="008C6427">
              <w:rPr>
                <w:rFonts w:ascii="Cambria" w:hAnsi="Cambria"/>
                <w:color w:val="000000"/>
                <w:sz w:val="18"/>
                <w:szCs w:val="18"/>
              </w:rPr>
              <w:t>19,69</w:t>
            </w:r>
          </w:p>
        </w:tc>
        <w:tc>
          <w:tcPr>
            <w:tcW w:w="1591" w:type="dxa"/>
            <w:tcBorders>
              <w:top w:val="nil"/>
              <w:left w:val="nil"/>
              <w:bottom w:val="single" w:sz="4" w:space="0" w:color="auto"/>
              <w:right w:val="nil"/>
            </w:tcBorders>
            <w:noWrap/>
            <w:hideMark/>
          </w:tcPr>
          <w:p w14:paraId="7A19F135" w14:textId="77777777" w:rsidR="008C6427" w:rsidRPr="008C6427" w:rsidRDefault="008C6427" w:rsidP="009E5333">
            <w:pPr>
              <w:tabs>
                <w:tab w:val="left" w:pos="7740"/>
              </w:tabs>
              <w:spacing w:after="0"/>
              <w:ind w:left="-108" w:right="-35"/>
              <w:jc w:val="center"/>
              <w:rPr>
                <w:rFonts w:ascii="Cambria" w:eastAsia="Times New Roman" w:hAnsi="Cambria"/>
                <w:sz w:val="18"/>
                <w:szCs w:val="18"/>
                <w:lang w:eastAsia="en-ID"/>
              </w:rPr>
            </w:pPr>
            <w:r w:rsidRPr="008C6427">
              <w:rPr>
                <w:rFonts w:ascii="Cambria" w:hAnsi="Cambria"/>
                <w:color w:val="000000"/>
                <w:sz w:val="18"/>
                <w:szCs w:val="18"/>
              </w:rPr>
              <w:t>2,252</w:t>
            </w:r>
          </w:p>
        </w:tc>
      </w:tr>
      <w:tr w:rsidR="008C6427" w:rsidRPr="008C6427" w14:paraId="4FD3DFBE" w14:textId="77777777" w:rsidTr="009E5333">
        <w:trPr>
          <w:trHeight w:val="249"/>
          <w:jc w:val="center"/>
        </w:trPr>
        <w:tc>
          <w:tcPr>
            <w:tcW w:w="2410" w:type="dxa"/>
            <w:tcBorders>
              <w:top w:val="single" w:sz="4" w:space="0" w:color="auto"/>
              <w:left w:val="nil"/>
              <w:bottom w:val="single" w:sz="4" w:space="0" w:color="auto"/>
              <w:right w:val="nil"/>
            </w:tcBorders>
            <w:noWrap/>
            <w:hideMark/>
          </w:tcPr>
          <w:p w14:paraId="60B72CAA" w14:textId="77777777" w:rsidR="008C6427" w:rsidRPr="008C6427" w:rsidRDefault="008C6427" w:rsidP="009E5333">
            <w:pPr>
              <w:tabs>
                <w:tab w:val="left" w:pos="7740"/>
              </w:tabs>
              <w:spacing w:after="0"/>
              <w:ind w:right="-88"/>
              <w:rPr>
                <w:rFonts w:ascii="Cambria" w:hAnsi="Cambria"/>
                <w:color w:val="000000"/>
                <w:sz w:val="18"/>
                <w:szCs w:val="18"/>
                <w:lang w:eastAsia="en-ID"/>
              </w:rPr>
            </w:pPr>
            <w:r w:rsidRPr="008C6427">
              <w:rPr>
                <w:rFonts w:ascii="Cambria" w:hAnsi="Cambria"/>
                <w:color w:val="000000"/>
                <w:sz w:val="18"/>
                <w:szCs w:val="18"/>
              </w:rPr>
              <w:t>Valid N (</w:t>
            </w:r>
            <w:proofErr w:type="spellStart"/>
            <w:r w:rsidRPr="008C6427">
              <w:rPr>
                <w:rFonts w:ascii="Cambria" w:hAnsi="Cambria"/>
                <w:color w:val="000000"/>
                <w:sz w:val="18"/>
                <w:szCs w:val="18"/>
              </w:rPr>
              <w:t>listwise</w:t>
            </w:r>
            <w:proofErr w:type="spellEnd"/>
            <w:r w:rsidRPr="008C6427">
              <w:rPr>
                <w:rFonts w:ascii="Cambria" w:hAnsi="Cambria"/>
                <w:color w:val="000000"/>
                <w:sz w:val="18"/>
                <w:szCs w:val="18"/>
              </w:rPr>
              <w:t>)</w:t>
            </w:r>
          </w:p>
        </w:tc>
        <w:tc>
          <w:tcPr>
            <w:tcW w:w="425" w:type="dxa"/>
            <w:tcBorders>
              <w:top w:val="single" w:sz="4" w:space="0" w:color="auto"/>
              <w:left w:val="nil"/>
              <w:bottom w:val="single" w:sz="4" w:space="0" w:color="auto"/>
              <w:right w:val="nil"/>
            </w:tcBorders>
            <w:noWrap/>
            <w:hideMark/>
          </w:tcPr>
          <w:p w14:paraId="6E39621A" w14:textId="77777777" w:rsidR="008C6427" w:rsidRPr="008C6427" w:rsidRDefault="008C6427" w:rsidP="009E5333">
            <w:pPr>
              <w:tabs>
                <w:tab w:val="left" w:pos="7740"/>
              </w:tabs>
              <w:spacing w:after="0"/>
              <w:ind w:left="-66" w:right="-70"/>
              <w:jc w:val="right"/>
              <w:rPr>
                <w:rFonts w:ascii="Cambria" w:hAnsi="Cambria"/>
                <w:color w:val="000000"/>
                <w:sz w:val="18"/>
                <w:szCs w:val="18"/>
                <w:lang w:eastAsia="en-ID"/>
              </w:rPr>
            </w:pPr>
            <w:r w:rsidRPr="008C6427">
              <w:rPr>
                <w:rFonts w:ascii="Cambria" w:hAnsi="Cambria"/>
                <w:color w:val="000000"/>
                <w:sz w:val="18"/>
                <w:szCs w:val="18"/>
              </w:rPr>
              <w:t>55</w:t>
            </w:r>
          </w:p>
        </w:tc>
        <w:tc>
          <w:tcPr>
            <w:tcW w:w="1418" w:type="dxa"/>
            <w:tcBorders>
              <w:top w:val="single" w:sz="4" w:space="0" w:color="auto"/>
              <w:left w:val="nil"/>
              <w:bottom w:val="single" w:sz="4" w:space="0" w:color="auto"/>
              <w:right w:val="nil"/>
            </w:tcBorders>
            <w:noWrap/>
          </w:tcPr>
          <w:p w14:paraId="2A757250" w14:textId="77777777" w:rsidR="008C6427" w:rsidRPr="008C6427" w:rsidRDefault="008C6427" w:rsidP="009E5333">
            <w:pPr>
              <w:tabs>
                <w:tab w:val="left" w:pos="7740"/>
              </w:tabs>
              <w:spacing w:after="0"/>
              <w:ind w:left="-66" w:right="-118"/>
              <w:jc w:val="center"/>
              <w:rPr>
                <w:rFonts w:ascii="Cambria" w:hAnsi="Cambria"/>
                <w:color w:val="000000"/>
                <w:sz w:val="18"/>
                <w:szCs w:val="18"/>
                <w:lang w:eastAsia="en-ID"/>
              </w:rPr>
            </w:pPr>
          </w:p>
        </w:tc>
        <w:tc>
          <w:tcPr>
            <w:tcW w:w="1417" w:type="dxa"/>
            <w:tcBorders>
              <w:top w:val="single" w:sz="4" w:space="0" w:color="auto"/>
              <w:left w:val="nil"/>
              <w:bottom w:val="single" w:sz="4" w:space="0" w:color="auto"/>
              <w:right w:val="nil"/>
            </w:tcBorders>
            <w:noWrap/>
          </w:tcPr>
          <w:p w14:paraId="76AF2C12" w14:textId="77777777" w:rsidR="008C6427" w:rsidRPr="008C6427" w:rsidRDefault="008C6427" w:rsidP="009E5333">
            <w:pPr>
              <w:tabs>
                <w:tab w:val="left" w:pos="7740"/>
              </w:tabs>
              <w:spacing w:after="0"/>
              <w:ind w:left="-59" w:right="-66"/>
              <w:jc w:val="center"/>
              <w:rPr>
                <w:rFonts w:ascii="Cambria" w:hAnsi="Cambria"/>
                <w:color w:val="000000"/>
                <w:sz w:val="18"/>
                <w:szCs w:val="18"/>
                <w:lang w:eastAsia="en-ID"/>
              </w:rPr>
            </w:pPr>
          </w:p>
        </w:tc>
        <w:tc>
          <w:tcPr>
            <w:tcW w:w="993" w:type="dxa"/>
            <w:tcBorders>
              <w:top w:val="single" w:sz="4" w:space="0" w:color="auto"/>
              <w:left w:val="nil"/>
              <w:bottom w:val="single" w:sz="4" w:space="0" w:color="auto"/>
              <w:right w:val="nil"/>
            </w:tcBorders>
            <w:noWrap/>
          </w:tcPr>
          <w:p w14:paraId="393A938B" w14:textId="77777777" w:rsidR="008C6427" w:rsidRPr="008C6427" w:rsidRDefault="008C6427" w:rsidP="009E5333">
            <w:pPr>
              <w:tabs>
                <w:tab w:val="left" w:pos="7740"/>
              </w:tabs>
              <w:spacing w:after="0"/>
              <w:ind w:left="-106" w:right="-97"/>
              <w:jc w:val="center"/>
              <w:rPr>
                <w:rFonts w:ascii="Cambria" w:hAnsi="Cambria"/>
                <w:color w:val="000000"/>
                <w:sz w:val="18"/>
                <w:szCs w:val="18"/>
                <w:lang w:eastAsia="en-ID"/>
              </w:rPr>
            </w:pPr>
          </w:p>
        </w:tc>
        <w:tc>
          <w:tcPr>
            <w:tcW w:w="1591" w:type="dxa"/>
            <w:tcBorders>
              <w:top w:val="single" w:sz="4" w:space="0" w:color="auto"/>
              <w:left w:val="nil"/>
              <w:bottom w:val="single" w:sz="4" w:space="0" w:color="auto"/>
              <w:right w:val="nil"/>
            </w:tcBorders>
            <w:noWrap/>
          </w:tcPr>
          <w:p w14:paraId="173B0FA5" w14:textId="77777777" w:rsidR="008C6427" w:rsidRPr="008C6427" w:rsidRDefault="008C6427" w:rsidP="009E5333">
            <w:pPr>
              <w:tabs>
                <w:tab w:val="left" w:pos="7740"/>
              </w:tabs>
              <w:spacing w:after="0"/>
              <w:ind w:left="-108" w:right="-35"/>
              <w:jc w:val="right"/>
              <w:rPr>
                <w:rFonts w:ascii="Cambria" w:hAnsi="Cambria"/>
                <w:color w:val="000000"/>
                <w:sz w:val="18"/>
                <w:szCs w:val="18"/>
                <w:lang w:eastAsia="en-ID"/>
              </w:rPr>
            </w:pPr>
          </w:p>
        </w:tc>
      </w:tr>
    </w:tbl>
    <w:p w14:paraId="0E3B5BB6" w14:textId="77777777" w:rsidR="008C6427" w:rsidRPr="008C6427" w:rsidRDefault="008C6427" w:rsidP="008C6427">
      <w:pPr>
        <w:autoSpaceDE w:val="0"/>
        <w:autoSpaceDN w:val="0"/>
        <w:adjustRightInd w:val="0"/>
        <w:spacing w:after="0"/>
        <w:ind w:firstLine="720"/>
        <w:jc w:val="both"/>
        <w:rPr>
          <w:rFonts w:ascii="Cambria" w:hAnsi="Cambria"/>
          <w:sz w:val="21"/>
          <w:szCs w:val="21"/>
        </w:rPr>
      </w:pPr>
    </w:p>
    <w:p w14:paraId="163A06DF" w14:textId="77777777" w:rsidR="008C6427" w:rsidRPr="008C6427" w:rsidRDefault="008C6427" w:rsidP="008C6427">
      <w:pPr>
        <w:autoSpaceDE w:val="0"/>
        <w:autoSpaceDN w:val="0"/>
        <w:adjustRightInd w:val="0"/>
        <w:spacing w:after="0"/>
        <w:ind w:firstLine="567"/>
        <w:jc w:val="both"/>
        <w:rPr>
          <w:rFonts w:ascii="Cambria" w:hAnsi="Cambria"/>
          <w:sz w:val="21"/>
          <w:szCs w:val="21"/>
        </w:rPr>
      </w:pPr>
      <w:r w:rsidRPr="008C6427">
        <w:rPr>
          <w:rFonts w:ascii="Cambria" w:hAnsi="Cambria"/>
          <w:sz w:val="21"/>
          <w:szCs w:val="21"/>
        </w:rPr>
        <w:t>Information in Table 1 describes that the amount of research data (N) is 55 data. The committee quality variable (X</w:t>
      </w:r>
      <w:r w:rsidRPr="008C6427">
        <w:rPr>
          <w:rFonts w:ascii="Cambria" w:hAnsi="Cambria"/>
          <w:sz w:val="21"/>
          <w:szCs w:val="21"/>
          <w:vertAlign w:val="subscript"/>
        </w:rPr>
        <w:t>1</w:t>
      </w:r>
      <w:r w:rsidRPr="008C6427">
        <w:rPr>
          <w:rFonts w:ascii="Cambria" w:hAnsi="Cambria"/>
          <w:sz w:val="21"/>
          <w:szCs w:val="21"/>
        </w:rPr>
        <w:t>) has a minimum of 16 and a maximum of 30. The average value of the committee's quality (X</w:t>
      </w:r>
      <w:r w:rsidRPr="008C6427">
        <w:rPr>
          <w:rFonts w:ascii="Cambria" w:hAnsi="Cambria"/>
          <w:sz w:val="21"/>
          <w:szCs w:val="21"/>
          <w:vertAlign w:val="subscript"/>
        </w:rPr>
        <w:t>1</w:t>
      </w:r>
      <w:r w:rsidRPr="008C6427">
        <w:rPr>
          <w:rFonts w:ascii="Cambria" w:hAnsi="Cambria"/>
          <w:sz w:val="21"/>
          <w:szCs w:val="21"/>
        </w:rPr>
        <w:t>) is 24.87, with a standard deviation of 3.954. The system and procedure variable (X</w:t>
      </w:r>
      <w:r w:rsidRPr="008C6427">
        <w:rPr>
          <w:rFonts w:ascii="Cambria" w:hAnsi="Cambria"/>
          <w:sz w:val="21"/>
          <w:szCs w:val="21"/>
          <w:vertAlign w:val="subscript"/>
        </w:rPr>
        <w:t>2</w:t>
      </w:r>
      <w:r w:rsidRPr="008C6427">
        <w:rPr>
          <w:rFonts w:ascii="Cambria" w:hAnsi="Cambria"/>
          <w:sz w:val="21"/>
          <w:szCs w:val="21"/>
        </w:rPr>
        <w:t>) has a minimum value of 20 and 40. The average value of the system and procedure (X</w:t>
      </w:r>
      <w:r w:rsidRPr="008C6427">
        <w:rPr>
          <w:rFonts w:ascii="Cambria" w:hAnsi="Cambria"/>
          <w:sz w:val="21"/>
          <w:szCs w:val="21"/>
          <w:vertAlign w:val="subscript"/>
        </w:rPr>
        <w:t>2</w:t>
      </w:r>
      <w:r w:rsidRPr="008C6427">
        <w:rPr>
          <w:rFonts w:ascii="Cambria" w:hAnsi="Cambria"/>
          <w:sz w:val="21"/>
          <w:szCs w:val="21"/>
        </w:rPr>
        <w:t>) is 34.27, with a standard deviation of 4.965. The environmental variable (X</w:t>
      </w:r>
      <w:r w:rsidRPr="008C6427">
        <w:rPr>
          <w:rFonts w:ascii="Cambria" w:hAnsi="Cambria"/>
          <w:sz w:val="21"/>
          <w:szCs w:val="21"/>
          <w:vertAlign w:val="subscript"/>
        </w:rPr>
        <w:t>3</w:t>
      </w:r>
      <w:r w:rsidRPr="008C6427">
        <w:rPr>
          <w:rFonts w:ascii="Cambria" w:hAnsi="Cambria"/>
          <w:sz w:val="21"/>
          <w:szCs w:val="21"/>
        </w:rPr>
        <w:t>) has a minimum value of 19 and a maximum value of 29. The average value of the environment for the procurement of goods/services (X</w:t>
      </w:r>
      <w:r w:rsidRPr="008C6427">
        <w:rPr>
          <w:rFonts w:ascii="Cambria" w:hAnsi="Cambria"/>
          <w:sz w:val="21"/>
          <w:szCs w:val="21"/>
          <w:vertAlign w:val="subscript"/>
        </w:rPr>
        <w:t>3</w:t>
      </w:r>
      <w:r w:rsidRPr="008C6427">
        <w:rPr>
          <w:rFonts w:ascii="Cambria" w:hAnsi="Cambria"/>
          <w:sz w:val="21"/>
          <w:szCs w:val="21"/>
        </w:rPr>
        <w:t>) is 23.20, with a standard deviation of 2,040. The internal control variable (X</w:t>
      </w:r>
      <w:r w:rsidRPr="008C6427">
        <w:rPr>
          <w:rFonts w:ascii="Cambria" w:hAnsi="Cambria"/>
          <w:sz w:val="21"/>
          <w:szCs w:val="21"/>
          <w:vertAlign w:val="subscript"/>
        </w:rPr>
        <w:t>4</w:t>
      </w:r>
      <w:r w:rsidRPr="008C6427">
        <w:rPr>
          <w:rFonts w:ascii="Cambria" w:hAnsi="Cambria"/>
          <w:sz w:val="21"/>
          <w:szCs w:val="21"/>
        </w:rPr>
        <w:t>) has a minimum of 47 and a maximum of 72. The average value of internal control (X</w:t>
      </w:r>
      <w:r w:rsidRPr="008C6427">
        <w:rPr>
          <w:rFonts w:ascii="Cambria" w:hAnsi="Cambria"/>
          <w:sz w:val="21"/>
          <w:szCs w:val="21"/>
          <w:vertAlign w:val="subscript"/>
        </w:rPr>
        <w:t>4</w:t>
      </w:r>
      <w:r w:rsidRPr="008C6427">
        <w:rPr>
          <w:rFonts w:ascii="Cambria" w:hAnsi="Cambria"/>
          <w:sz w:val="21"/>
          <w:szCs w:val="21"/>
        </w:rPr>
        <w:t>) is 58.22, with a standard deviation of 6382. The organizational commitment variable (X</w:t>
      </w:r>
      <w:r w:rsidRPr="008C6427">
        <w:rPr>
          <w:rFonts w:ascii="Cambria" w:hAnsi="Cambria"/>
          <w:sz w:val="21"/>
          <w:szCs w:val="21"/>
          <w:vertAlign w:val="subscript"/>
        </w:rPr>
        <w:t>5</w:t>
      </w:r>
      <w:r w:rsidRPr="008C6427">
        <w:rPr>
          <w:rFonts w:ascii="Cambria" w:hAnsi="Cambria"/>
          <w:sz w:val="21"/>
          <w:szCs w:val="21"/>
        </w:rPr>
        <w:t>) has a minimum value of 32 and a maximum value of 48. The average value of organizational commitment (X</w:t>
      </w:r>
      <w:r w:rsidRPr="008C6427">
        <w:rPr>
          <w:rFonts w:ascii="Cambria" w:hAnsi="Cambria"/>
          <w:sz w:val="21"/>
          <w:szCs w:val="21"/>
          <w:vertAlign w:val="subscript"/>
        </w:rPr>
        <w:t>5</w:t>
      </w:r>
      <w:r w:rsidRPr="008C6427">
        <w:rPr>
          <w:rFonts w:ascii="Cambria" w:hAnsi="Cambria"/>
          <w:sz w:val="21"/>
          <w:szCs w:val="21"/>
        </w:rPr>
        <w:t>) is 40.02, with a standard deviation of 3.932. The fraud prevention variable (Y) has a minimum value of 15 and a maximum value of 24. The average value of fraud prevention (Y) is 19.69, with a standard deviation of 2252. The results of the t-test can be shown in Table 2.</w:t>
      </w:r>
    </w:p>
    <w:p w14:paraId="74A0A74A" w14:textId="77777777" w:rsidR="008C6427" w:rsidRDefault="008C6427" w:rsidP="008C6427">
      <w:pPr>
        <w:autoSpaceDE w:val="0"/>
        <w:autoSpaceDN w:val="0"/>
        <w:adjustRightInd w:val="0"/>
        <w:spacing w:after="0"/>
        <w:rPr>
          <w:rFonts w:ascii="Cambria" w:hAnsi="Cambria"/>
          <w:b/>
          <w:sz w:val="21"/>
          <w:szCs w:val="21"/>
        </w:rPr>
      </w:pPr>
    </w:p>
    <w:p w14:paraId="4B2663DD" w14:textId="77777777" w:rsidR="008C6427" w:rsidRPr="00FF45B1" w:rsidRDefault="008C6427" w:rsidP="008C6427">
      <w:pPr>
        <w:autoSpaceDE w:val="0"/>
        <w:autoSpaceDN w:val="0"/>
        <w:adjustRightInd w:val="0"/>
        <w:spacing w:after="0"/>
        <w:jc w:val="center"/>
        <w:rPr>
          <w:rFonts w:ascii="Cambria" w:hAnsi="Cambria"/>
          <w:b/>
          <w:sz w:val="21"/>
          <w:szCs w:val="21"/>
        </w:rPr>
      </w:pPr>
      <w:proofErr w:type="gramStart"/>
      <w:r w:rsidRPr="00FF45B1">
        <w:rPr>
          <w:rFonts w:ascii="Cambria" w:hAnsi="Cambria"/>
          <w:b/>
          <w:sz w:val="21"/>
          <w:szCs w:val="21"/>
        </w:rPr>
        <w:lastRenderedPageBreak/>
        <w:t>Table 2.</w:t>
      </w:r>
      <w:proofErr w:type="gramEnd"/>
      <w:r w:rsidRPr="00FF45B1">
        <w:rPr>
          <w:rFonts w:ascii="Cambria" w:hAnsi="Cambria"/>
          <w:b/>
          <w:sz w:val="21"/>
          <w:szCs w:val="21"/>
        </w:rPr>
        <w:t xml:space="preserve"> Hypothesis t-Test Results</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1183"/>
        <w:gridCol w:w="1338"/>
        <w:gridCol w:w="1338"/>
        <w:gridCol w:w="1598"/>
        <w:gridCol w:w="1134"/>
        <w:gridCol w:w="804"/>
      </w:tblGrid>
      <w:tr w:rsidR="008C6427" w:rsidRPr="008C6427" w14:paraId="0572F1E9" w14:textId="77777777" w:rsidTr="008C6427">
        <w:trPr>
          <w:cantSplit/>
          <w:jc w:val="center"/>
        </w:trPr>
        <w:tc>
          <w:tcPr>
            <w:tcW w:w="8130" w:type="dxa"/>
            <w:gridSpan w:val="7"/>
            <w:tcBorders>
              <w:top w:val="single" w:sz="4" w:space="0" w:color="auto"/>
              <w:left w:val="nil"/>
              <w:bottom w:val="single" w:sz="4" w:space="0" w:color="auto"/>
              <w:right w:val="nil"/>
            </w:tcBorders>
            <w:shd w:val="clear" w:color="auto" w:fill="FFFFFF"/>
            <w:vAlign w:val="center"/>
            <w:hideMark/>
          </w:tcPr>
          <w:p w14:paraId="1AD200BC"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proofErr w:type="spellStart"/>
            <w:r w:rsidRPr="008C6427">
              <w:rPr>
                <w:rFonts w:ascii="Cambria" w:hAnsi="Cambria"/>
                <w:bCs/>
                <w:color w:val="000000" w:themeColor="text1"/>
                <w:sz w:val="18"/>
                <w:szCs w:val="18"/>
              </w:rPr>
              <w:t>Coefficients</w:t>
            </w:r>
            <w:r w:rsidRPr="008C6427">
              <w:rPr>
                <w:rFonts w:ascii="Cambria" w:hAnsi="Cambria"/>
                <w:bCs/>
                <w:color w:val="000000" w:themeColor="text1"/>
                <w:sz w:val="18"/>
                <w:szCs w:val="18"/>
                <w:vertAlign w:val="superscript"/>
              </w:rPr>
              <w:t>a</w:t>
            </w:r>
            <w:proofErr w:type="spellEnd"/>
          </w:p>
        </w:tc>
      </w:tr>
      <w:tr w:rsidR="008C6427" w:rsidRPr="008C6427" w14:paraId="6D5767F5" w14:textId="77777777" w:rsidTr="008C6427">
        <w:trPr>
          <w:cantSplit/>
          <w:jc w:val="center"/>
        </w:trPr>
        <w:tc>
          <w:tcPr>
            <w:tcW w:w="1918" w:type="dxa"/>
            <w:gridSpan w:val="2"/>
            <w:vMerge w:val="restart"/>
            <w:tcBorders>
              <w:top w:val="single" w:sz="4" w:space="0" w:color="auto"/>
              <w:left w:val="nil"/>
              <w:bottom w:val="single" w:sz="4" w:space="0" w:color="auto"/>
              <w:right w:val="nil"/>
            </w:tcBorders>
            <w:shd w:val="clear" w:color="auto" w:fill="FFFFFF"/>
            <w:vAlign w:val="bottom"/>
            <w:hideMark/>
          </w:tcPr>
          <w:p w14:paraId="25B7214E"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Model</w:t>
            </w:r>
          </w:p>
        </w:tc>
        <w:tc>
          <w:tcPr>
            <w:tcW w:w="2676" w:type="dxa"/>
            <w:gridSpan w:val="2"/>
            <w:tcBorders>
              <w:top w:val="single" w:sz="4" w:space="0" w:color="auto"/>
              <w:left w:val="nil"/>
              <w:bottom w:val="single" w:sz="4" w:space="0" w:color="auto"/>
              <w:right w:val="nil"/>
            </w:tcBorders>
            <w:shd w:val="clear" w:color="auto" w:fill="FFFFFF"/>
            <w:vAlign w:val="bottom"/>
            <w:hideMark/>
          </w:tcPr>
          <w:p w14:paraId="7D8586DF"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Unstandardized Coefficients</w:t>
            </w:r>
          </w:p>
        </w:tc>
        <w:tc>
          <w:tcPr>
            <w:tcW w:w="1598" w:type="dxa"/>
            <w:tcBorders>
              <w:top w:val="single" w:sz="4" w:space="0" w:color="auto"/>
              <w:left w:val="nil"/>
              <w:bottom w:val="single" w:sz="4" w:space="0" w:color="auto"/>
              <w:right w:val="nil"/>
            </w:tcBorders>
            <w:shd w:val="clear" w:color="auto" w:fill="FFFFFF"/>
            <w:vAlign w:val="bottom"/>
            <w:hideMark/>
          </w:tcPr>
          <w:p w14:paraId="06941B8A"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Standardized Coefficients</w:t>
            </w:r>
          </w:p>
        </w:tc>
        <w:tc>
          <w:tcPr>
            <w:tcW w:w="1134" w:type="dxa"/>
            <w:vMerge w:val="restart"/>
            <w:tcBorders>
              <w:top w:val="single" w:sz="4" w:space="0" w:color="auto"/>
              <w:left w:val="nil"/>
              <w:bottom w:val="single" w:sz="4" w:space="0" w:color="auto"/>
              <w:right w:val="nil"/>
            </w:tcBorders>
            <w:shd w:val="clear" w:color="auto" w:fill="FFFFFF"/>
            <w:vAlign w:val="bottom"/>
            <w:hideMark/>
          </w:tcPr>
          <w:p w14:paraId="7AF140A4"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t</w:t>
            </w:r>
          </w:p>
        </w:tc>
        <w:tc>
          <w:tcPr>
            <w:tcW w:w="804" w:type="dxa"/>
            <w:vMerge w:val="restart"/>
            <w:tcBorders>
              <w:top w:val="single" w:sz="4" w:space="0" w:color="auto"/>
              <w:left w:val="nil"/>
              <w:bottom w:val="single" w:sz="4" w:space="0" w:color="auto"/>
              <w:right w:val="nil"/>
            </w:tcBorders>
            <w:shd w:val="clear" w:color="auto" w:fill="FFFFFF"/>
            <w:vAlign w:val="bottom"/>
            <w:hideMark/>
          </w:tcPr>
          <w:p w14:paraId="1449C6AC"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Sig.</w:t>
            </w:r>
          </w:p>
        </w:tc>
      </w:tr>
      <w:tr w:rsidR="008C6427" w:rsidRPr="008C6427" w14:paraId="1A77087B" w14:textId="77777777" w:rsidTr="008C6427">
        <w:trPr>
          <w:cantSplit/>
          <w:jc w:val="center"/>
        </w:trPr>
        <w:tc>
          <w:tcPr>
            <w:tcW w:w="1918" w:type="dxa"/>
            <w:gridSpan w:val="2"/>
            <w:vMerge/>
            <w:tcBorders>
              <w:top w:val="single" w:sz="4" w:space="0" w:color="auto"/>
              <w:left w:val="nil"/>
              <w:bottom w:val="single" w:sz="4" w:space="0" w:color="auto"/>
              <w:right w:val="nil"/>
            </w:tcBorders>
            <w:vAlign w:val="center"/>
            <w:hideMark/>
          </w:tcPr>
          <w:p w14:paraId="4D3C1A0A"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338" w:type="dxa"/>
            <w:tcBorders>
              <w:top w:val="single" w:sz="4" w:space="0" w:color="auto"/>
              <w:left w:val="nil"/>
              <w:bottom w:val="single" w:sz="4" w:space="0" w:color="auto"/>
              <w:right w:val="nil"/>
            </w:tcBorders>
            <w:shd w:val="clear" w:color="auto" w:fill="FFFFFF"/>
            <w:vAlign w:val="bottom"/>
            <w:hideMark/>
          </w:tcPr>
          <w:p w14:paraId="15BFCB06"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B</w:t>
            </w:r>
          </w:p>
        </w:tc>
        <w:tc>
          <w:tcPr>
            <w:tcW w:w="1338" w:type="dxa"/>
            <w:tcBorders>
              <w:top w:val="single" w:sz="4" w:space="0" w:color="auto"/>
              <w:left w:val="nil"/>
              <w:bottom w:val="single" w:sz="4" w:space="0" w:color="auto"/>
              <w:right w:val="nil"/>
            </w:tcBorders>
            <w:shd w:val="clear" w:color="auto" w:fill="FFFFFF"/>
            <w:vAlign w:val="bottom"/>
            <w:hideMark/>
          </w:tcPr>
          <w:p w14:paraId="79DC7367"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Std. Error</w:t>
            </w:r>
          </w:p>
        </w:tc>
        <w:tc>
          <w:tcPr>
            <w:tcW w:w="1598" w:type="dxa"/>
            <w:tcBorders>
              <w:top w:val="single" w:sz="4" w:space="0" w:color="auto"/>
              <w:left w:val="nil"/>
              <w:bottom w:val="single" w:sz="4" w:space="0" w:color="auto"/>
              <w:right w:val="nil"/>
            </w:tcBorders>
            <w:shd w:val="clear" w:color="auto" w:fill="FFFFFF"/>
            <w:vAlign w:val="bottom"/>
            <w:hideMark/>
          </w:tcPr>
          <w:p w14:paraId="19442889"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Beta</w:t>
            </w:r>
          </w:p>
        </w:tc>
        <w:tc>
          <w:tcPr>
            <w:tcW w:w="1134" w:type="dxa"/>
            <w:vMerge/>
            <w:tcBorders>
              <w:top w:val="single" w:sz="4" w:space="0" w:color="auto"/>
              <w:left w:val="nil"/>
              <w:bottom w:val="single" w:sz="4" w:space="0" w:color="auto"/>
              <w:right w:val="nil"/>
            </w:tcBorders>
            <w:vAlign w:val="center"/>
            <w:hideMark/>
          </w:tcPr>
          <w:p w14:paraId="66D3DBD2"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804" w:type="dxa"/>
            <w:vMerge/>
            <w:tcBorders>
              <w:top w:val="single" w:sz="4" w:space="0" w:color="auto"/>
              <w:left w:val="nil"/>
              <w:bottom w:val="single" w:sz="4" w:space="0" w:color="auto"/>
              <w:right w:val="nil"/>
            </w:tcBorders>
            <w:vAlign w:val="center"/>
            <w:hideMark/>
          </w:tcPr>
          <w:p w14:paraId="68A4EF23" w14:textId="77777777" w:rsidR="008C6427" w:rsidRPr="008C6427" w:rsidRDefault="008C6427" w:rsidP="009E5333">
            <w:pPr>
              <w:spacing w:after="0" w:line="240" w:lineRule="auto"/>
              <w:rPr>
                <w:rFonts w:ascii="Cambria" w:hAnsi="Cambria"/>
                <w:color w:val="000000" w:themeColor="text1"/>
                <w:sz w:val="18"/>
                <w:szCs w:val="18"/>
                <w:lang w:eastAsia="en-ID"/>
              </w:rPr>
            </w:pPr>
          </w:p>
        </w:tc>
      </w:tr>
      <w:tr w:rsidR="008C6427" w:rsidRPr="008C6427" w14:paraId="3C0536B1" w14:textId="77777777" w:rsidTr="008C6427">
        <w:trPr>
          <w:cantSplit/>
          <w:jc w:val="center"/>
        </w:trPr>
        <w:tc>
          <w:tcPr>
            <w:tcW w:w="735" w:type="dxa"/>
            <w:vMerge w:val="restart"/>
            <w:tcBorders>
              <w:top w:val="single" w:sz="4" w:space="0" w:color="auto"/>
              <w:left w:val="nil"/>
              <w:bottom w:val="single" w:sz="4" w:space="0" w:color="auto"/>
              <w:right w:val="nil"/>
            </w:tcBorders>
            <w:hideMark/>
          </w:tcPr>
          <w:p w14:paraId="638D0656"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1</w:t>
            </w:r>
          </w:p>
        </w:tc>
        <w:tc>
          <w:tcPr>
            <w:tcW w:w="1183" w:type="dxa"/>
            <w:tcBorders>
              <w:top w:val="single" w:sz="4" w:space="0" w:color="auto"/>
              <w:left w:val="nil"/>
              <w:bottom w:val="nil"/>
              <w:right w:val="nil"/>
            </w:tcBorders>
            <w:hideMark/>
          </w:tcPr>
          <w:p w14:paraId="3438FF2A"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(Constant)</w:t>
            </w:r>
          </w:p>
        </w:tc>
        <w:tc>
          <w:tcPr>
            <w:tcW w:w="1338" w:type="dxa"/>
            <w:tcBorders>
              <w:top w:val="single" w:sz="4" w:space="0" w:color="auto"/>
              <w:left w:val="nil"/>
              <w:bottom w:val="nil"/>
              <w:right w:val="nil"/>
            </w:tcBorders>
            <w:shd w:val="clear" w:color="auto" w:fill="FFFFFF"/>
            <w:hideMark/>
          </w:tcPr>
          <w:p w14:paraId="09A1B3A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-5,585</w:t>
            </w:r>
          </w:p>
        </w:tc>
        <w:tc>
          <w:tcPr>
            <w:tcW w:w="1338" w:type="dxa"/>
            <w:tcBorders>
              <w:top w:val="single" w:sz="4" w:space="0" w:color="auto"/>
              <w:left w:val="nil"/>
              <w:bottom w:val="nil"/>
              <w:right w:val="nil"/>
            </w:tcBorders>
            <w:shd w:val="clear" w:color="auto" w:fill="FFFFFF"/>
            <w:hideMark/>
          </w:tcPr>
          <w:p w14:paraId="1B757C10"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,892</w:t>
            </w:r>
          </w:p>
        </w:tc>
        <w:tc>
          <w:tcPr>
            <w:tcW w:w="1598" w:type="dxa"/>
            <w:tcBorders>
              <w:top w:val="single" w:sz="4" w:space="0" w:color="auto"/>
              <w:left w:val="nil"/>
              <w:bottom w:val="nil"/>
              <w:right w:val="nil"/>
            </w:tcBorders>
            <w:shd w:val="clear" w:color="auto" w:fill="FFFFFF"/>
            <w:vAlign w:val="center"/>
          </w:tcPr>
          <w:p w14:paraId="0525315B"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c>
          <w:tcPr>
            <w:tcW w:w="1134" w:type="dxa"/>
            <w:tcBorders>
              <w:top w:val="single" w:sz="4" w:space="0" w:color="auto"/>
              <w:left w:val="nil"/>
              <w:bottom w:val="nil"/>
              <w:right w:val="nil"/>
            </w:tcBorders>
            <w:shd w:val="clear" w:color="auto" w:fill="FFFFFF"/>
            <w:hideMark/>
          </w:tcPr>
          <w:p w14:paraId="7EE324BB"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-6,259</w:t>
            </w:r>
          </w:p>
        </w:tc>
        <w:tc>
          <w:tcPr>
            <w:tcW w:w="804" w:type="dxa"/>
            <w:tcBorders>
              <w:top w:val="single" w:sz="4" w:space="0" w:color="auto"/>
              <w:left w:val="nil"/>
              <w:bottom w:val="nil"/>
              <w:right w:val="nil"/>
            </w:tcBorders>
            <w:shd w:val="clear" w:color="auto" w:fill="FFFFFF"/>
            <w:hideMark/>
          </w:tcPr>
          <w:p w14:paraId="6B050E5F"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,000</w:t>
            </w:r>
          </w:p>
        </w:tc>
      </w:tr>
      <w:tr w:rsidR="008C6427" w:rsidRPr="008C6427" w14:paraId="376B8FF1" w14:textId="77777777" w:rsidTr="008C6427">
        <w:trPr>
          <w:cantSplit/>
          <w:jc w:val="center"/>
        </w:trPr>
        <w:tc>
          <w:tcPr>
            <w:tcW w:w="735" w:type="dxa"/>
            <w:vMerge/>
            <w:tcBorders>
              <w:top w:val="single" w:sz="4" w:space="0" w:color="auto"/>
              <w:left w:val="nil"/>
              <w:bottom w:val="single" w:sz="4" w:space="0" w:color="auto"/>
              <w:right w:val="nil"/>
            </w:tcBorders>
            <w:vAlign w:val="center"/>
            <w:hideMark/>
          </w:tcPr>
          <w:p w14:paraId="2F0FF899"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183" w:type="dxa"/>
            <w:tcBorders>
              <w:top w:val="nil"/>
              <w:left w:val="nil"/>
              <w:bottom w:val="nil"/>
              <w:right w:val="nil"/>
            </w:tcBorders>
            <w:hideMark/>
          </w:tcPr>
          <w:p w14:paraId="12C0C653"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KPX1</w:t>
            </w:r>
          </w:p>
        </w:tc>
        <w:tc>
          <w:tcPr>
            <w:tcW w:w="1338" w:type="dxa"/>
            <w:tcBorders>
              <w:top w:val="nil"/>
              <w:left w:val="nil"/>
              <w:bottom w:val="nil"/>
              <w:right w:val="nil"/>
            </w:tcBorders>
            <w:shd w:val="clear" w:color="auto" w:fill="FFFFFF"/>
            <w:hideMark/>
          </w:tcPr>
          <w:p w14:paraId="08850F3C"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-,038</w:t>
            </w:r>
          </w:p>
        </w:tc>
        <w:tc>
          <w:tcPr>
            <w:tcW w:w="1338" w:type="dxa"/>
            <w:tcBorders>
              <w:top w:val="nil"/>
              <w:left w:val="nil"/>
              <w:bottom w:val="nil"/>
              <w:right w:val="nil"/>
            </w:tcBorders>
            <w:shd w:val="clear" w:color="auto" w:fill="FFFFFF"/>
            <w:hideMark/>
          </w:tcPr>
          <w:p w14:paraId="73A6234C"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,004</w:t>
            </w:r>
          </w:p>
        </w:tc>
        <w:tc>
          <w:tcPr>
            <w:tcW w:w="1598" w:type="dxa"/>
            <w:tcBorders>
              <w:top w:val="nil"/>
              <w:left w:val="nil"/>
              <w:bottom w:val="nil"/>
              <w:right w:val="nil"/>
            </w:tcBorders>
            <w:shd w:val="clear" w:color="auto" w:fill="FFFFFF"/>
            <w:hideMark/>
          </w:tcPr>
          <w:p w14:paraId="47A504C8"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-1,141</w:t>
            </w:r>
          </w:p>
        </w:tc>
        <w:tc>
          <w:tcPr>
            <w:tcW w:w="1134" w:type="dxa"/>
            <w:tcBorders>
              <w:top w:val="nil"/>
              <w:left w:val="nil"/>
              <w:bottom w:val="nil"/>
              <w:right w:val="nil"/>
            </w:tcBorders>
            <w:shd w:val="clear" w:color="auto" w:fill="FFFFFF"/>
            <w:hideMark/>
          </w:tcPr>
          <w:p w14:paraId="20B5555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-9,841</w:t>
            </w:r>
          </w:p>
        </w:tc>
        <w:tc>
          <w:tcPr>
            <w:tcW w:w="804" w:type="dxa"/>
            <w:tcBorders>
              <w:top w:val="nil"/>
              <w:left w:val="nil"/>
              <w:bottom w:val="nil"/>
              <w:right w:val="nil"/>
            </w:tcBorders>
            <w:shd w:val="clear" w:color="auto" w:fill="FFFFFF"/>
            <w:hideMark/>
          </w:tcPr>
          <w:p w14:paraId="67976E33"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,000</w:t>
            </w:r>
          </w:p>
        </w:tc>
      </w:tr>
      <w:tr w:rsidR="008C6427" w:rsidRPr="008C6427" w14:paraId="5252E958" w14:textId="77777777" w:rsidTr="008C6427">
        <w:trPr>
          <w:cantSplit/>
          <w:jc w:val="center"/>
        </w:trPr>
        <w:tc>
          <w:tcPr>
            <w:tcW w:w="735" w:type="dxa"/>
            <w:vMerge/>
            <w:tcBorders>
              <w:top w:val="single" w:sz="4" w:space="0" w:color="auto"/>
              <w:left w:val="nil"/>
              <w:bottom w:val="single" w:sz="4" w:space="0" w:color="auto"/>
              <w:right w:val="nil"/>
            </w:tcBorders>
            <w:vAlign w:val="center"/>
            <w:hideMark/>
          </w:tcPr>
          <w:p w14:paraId="347DDC3B"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183" w:type="dxa"/>
            <w:tcBorders>
              <w:top w:val="nil"/>
              <w:left w:val="nil"/>
              <w:bottom w:val="nil"/>
              <w:right w:val="nil"/>
            </w:tcBorders>
            <w:hideMark/>
          </w:tcPr>
          <w:p w14:paraId="5B768871"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SDPX2</w:t>
            </w:r>
          </w:p>
        </w:tc>
        <w:tc>
          <w:tcPr>
            <w:tcW w:w="1338" w:type="dxa"/>
            <w:tcBorders>
              <w:top w:val="nil"/>
              <w:left w:val="nil"/>
              <w:bottom w:val="nil"/>
              <w:right w:val="nil"/>
            </w:tcBorders>
            <w:shd w:val="clear" w:color="auto" w:fill="FFFFFF"/>
            <w:hideMark/>
          </w:tcPr>
          <w:p w14:paraId="6D5D3C0D"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,002</w:t>
            </w:r>
          </w:p>
        </w:tc>
        <w:tc>
          <w:tcPr>
            <w:tcW w:w="1338" w:type="dxa"/>
            <w:tcBorders>
              <w:top w:val="nil"/>
              <w:left w:val="nil"/>
              <w:bottom w:val="nil"/>
              <w:right w:val="nil"/>
            </w:tcBorders>
            <w:shd w:val="clear" w:color="auto" w:fill="FFFFFF"/>
            <w:hideMark/>
          </w:tcPr>
          <w:p w14:paraId="2CD5B93B"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,004</w:t>
            </w:r>
          </w:p>
        </w:tc>
        <w:tc>
          <w:tcPr>
            <w:tcW w:w="1598" w:type="dxa"/>
            <w:tcBorders>
              <w:top w:val="nil"/>
              <w:left w:val="nil"/>
              <w:bottom w:val="nil"/>
              <w:right w:val="nil"/>
            </w:tcBorders>
            <w:shd w:val="clear" w:color="auto" w:fill="FFFFFF"/>
            <w:hideMark/>
          </w:tcPr>
          <w:p w14:paraId="1E2FE5AD"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,065</w:t>
            </w:r>
          </w:p>
        </w:tc>
        <w:tc>
          <w:tcPr>
            <w:tcW w:w="1134" w:type="dxa"/>
            <w:tcBorders>
              <w:top w:val="nil"/>
              <w:left w:val="nil"/>
              <w:bottom w:val="nil"/>
              <w:right w:val="nil"/>
            </w:tcBorders>
            <w:shd w:val="clear" w:color="auto" w:fill="FFFFFF"/>
            <w:hideMark/>
          </w:tcPr>
          <w:p w14:paraId="2E8ADE23"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,422</w:t>
            </w:r>
          </w:p>
        </w:tc>
        <w:tc>
          <w:tcPr>
            <w:tcW w:w="804" w:type="dxa"/>
            <w:tcBorders>
              <w:top w:val="nil"/>
              <w:left w:val="nil"/>
              <w:bottom w:val="nil"/>
              <w:right w:val="nil"/>
            </w:tcBorders>
            <w:shd w:val="clear" w:color="auto" w:fill="FFFFFF"/>
            <w:hideMark/>
          </w:tcPr>
          <w:p w14:paraId="2078B8B6"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,034</w:t>
            </w:r>
          </w:p>
        </w:tc>
      </w:tr>
      <w:tr w:rsidR="008C6427" w:rsidRPr="008C6427" w14:paraId="7A5D912D" w14:textId="77777777" w:rsidTr="008C6427">
        <w:trPr>
          <w:cantSplit/>
          <w:jc w:val="center"/>
        </w:trPr>
        <w:tc>
          <w:tcPr>
            <w:tcW w:w="735" w:type="dxa"/>
            <w:vMerge/>
            <w:tcBorders>
              <w:top w:val="single" w:sz="4" w:space="0" w:color="auto"/>
              <w:left w:val="nil"/>
              <w:bottom w:val="single" w:sz="4" w:space="0" w:color="auto"/>
              <w:right w:val="nil"/>
            </w:tcBorders>
            <w:vAlign w:val="center"/>
            <w:hideMark/>
          </w:tcPr>
          <w:p w14:paraId="51CEBCE5"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183" w:type="dxa"/>
            <w:tcBorders>
              <w:top w:val="nil"/>
              <w:left w:val="nil"/>
              <w:bottom w:val="nil"/>
              <w:right w:val="nil"/>
            </w:tcBorders>
            <w:hideMark/>
          </w:tcPr>
          <w:p w14:paraId="03317490"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LINGX3</w:t>
            </w:r>
          </w:p>
        </w:tc>
        <w:tc>
          <w:tcPr>
            <w:tcW w:w="1338" w:type="dxa"/>
            <w:tcBorders>
              <w:top w:val="nil"/>
              <w:left w:val="nil"/>
              <w:bottom w:val="nil"/>
              <w:right w:val="nil"/>
            </w:tcBorders>
            <w:shd w:val="clear" w:color="auto" w:fill="FFFFFF"/>
            <w:hideMark/>
          </w:tcPr>
          <w:p w14:paraId="1B5163D9"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,033</w:t>
            </w:r>
          </w:p>
        </w:tc>
        <w:tc>
          <w:tcPr>
            <w:tcW w:w="1338" w:type="dxa"/>
            <w:tcBorders>
              <w:top w:val="nil"/>
              <w:left w:val="nil"/>
              <w:bottom w:val="nil"/>
              <w:right w:val="nil"/>
            </w:tcBorders>
            <w:shd w:val="clear" w:color="auto" w:fill="FFFFFF"/>
            <w:hideMark/>
          </w:tcPr>
          <w:p w14:paraId="1C7043C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,008</w:t>
            </w:r>
          </w:p>
        </w:tc>
        <w:tc>
          <w:tcPr>
            <w:tcW w:w="1598" w:type="dxa"/>
            <w:tcBorders>
              <w:top w:val="nil"/>
              <w:left w:val="nil"/>
              <w:bottom w:val="nil"/>
              <w:right w:val="nil"/>
            </w:tcBorders>
            <w:shd w:val="clear" w:color="auto" w:fill="FFFFFF"/>
            <w:hideMark/>
          </w:tcPr>
          <w:p w14:paraId="19E48F12"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,503</w:t>
            </w:r>
          </w:p>
        </w:tc>
        <w:tc>
          <w:tcPr>
            <w:tcW w:w="1134" w:type="dxa"/>
            <w:tcBorders>
              <w:top w:val="nil"/>
              <w:left w:val="nil"/>
              <w:bottom w:val="nil"/>
              <w:right w:val="nil"/>
            </w:tcBorders>
            <w:shd w:val="clear" w:color="auto" w:fill="FFFFFF"/>
            <w:hideMark/>
          </w:tcPr>
          <w:p w14:paraId="70516959"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4,306</w:t>
            </w:r>
          </w:p>
        </w:tc>
        <w:tc>
          <w:tcPr>
            <w:tcW w:w="804" w:type="dxa"/>
            <w:tcBorders>
              <w:top w:val="nil"/>
              <w:left w:val="nil"/>
              <w:bottom w:val="nil"/>
              <w:right w:val="nil"/>
            </w:tcBorders>
            <w:shd w:val="clear" w:color="auto" w:fill="FFFFFF"/>
            <w:hideMark/>
          </w:tcPr>
          <w:p w14:paraId="7E4363EE"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,003</w:t>
            </w:r>
          </w:p>
        </w:tc>
      </w:tr>
      <w:tr w:rsidR="008C6427" w:rsidRPr="008C6427" w14:paraId="3A6A7EB1" w14:textId="77777777" w:rsidTr="008C6427">
        <w:trPr>
          <w:cantSplit/>
          <w:jc w:val="center"/>
        </w:trPr>
        <w:tc>
          <w:tcPr>
            <w:tcW w:w="735" w:type="dxa"/>
            <w:vMerge/>
            <w:tcBorders>
              <w:top w:val="single" w:sz="4" w:space="0" w:color="auto"/>
              <w:left w:val="nil"/>
              <w:bottom w:val="single" w:sz="4" w:space="0" w:color="auto"/>
              <w:right w:val="nil"/>
            </w:tcBorders>
            <w:vAlign w:val="center"/>
            <w:hideMark/>
          </w:tcPr>
          <w:p w14:paraId="729764F4"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183" w:type="dxa"/>
            <w:tcBorders>
              <w:top w:val="nil"/>
              <w:left w:val="nil"/>
              <w:bottom w:val="nil"/>
              <w:right w:val="nil"/>
            </w:tcBorders>
            <w:hideMark/>
          </w:tcPr>
          <w:p w14:paraId="3508DD5A"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PIX4</w:t>
            </w:r>
          </w:p>
        </w:tc>
        <w:tc>
          <w:tcPr>
            <w:tcW w:w="1338" w:type="dxa"/>
            <w:tcBorders>
              <w:top w:val="nil"/>
              <w:left w:val="nil"/>
              <w:bottom w:val="nil"/>
              <w:right w:val="nil"/>
            </w:tcBorders>
            <w:shd w:val="clear" w:color="auto" w:fill="FFFFFF"/>
            <w:hideMark/>
          </w:tcPr>
          <w:p w14:paraId="30209126"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,012</w:t>
            </w:r>
          </w:p>
        </w:tc>
        <w:tc>
          <w:tcPr>
            <w:tcW w:w="1338" w:type="dxa"/>
            <w:tcBorders>
              <w:top w:val="nil"/>
              <w:left w:val="nil"/>
              <w:bottom w:val="nil"/>
              <w:right w:val="nil"/>
            </w:tcBorders>
            <w:shd w:val="clear" w:color="auto" w:fill="FFFFFF"/>
            <w:hideMark/>
          </w:tcPr>
          <w:p w14:paraId="6C6D354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,003</w:t>
            </w:r>
          </w:p>
        </w:tc>
        <w:tc>
          <w:tcPr>
            <w:tcW w:w="1598" w:type="dxa"/>
            <w:tcBorders>
              <w:top w:val="nil"/>
              <w:left w:val="nil"/>
              <w:bottom w:val="nil"/>
              <w:right w:val="nil"/>
            </w:tcBorders>
            <w:shd w:val="clear" w:color="auto" w:fill="FFFFFF"/>
            <w:hideMark/>
          </w:tcPr>
          <w:p w14:paraId="34A1896F"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,395</w:t>
            </w:r>
          </w:p>
        </w:tc>
        <w:tc>
          <w:tcPr>
            <w:tcW w:w="1134" w:type="dxa"/>
            <w:tcBorders>
              <w:top w:val="nil"/>
              <w:left w:val="nil"/>
              <w:bottom w:val="nil"/>
              <w:right w:val="nil"/>
            </w:tcBorders>
            <w:shd w:val="clear" w:color="auto" w:fill="FFFFFF"/>
            <w:hideMark/>
          </w:tcPr>
          <w:p w14:paraId="34223A6C"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3,883</w:t>
            </w:r>
          </w:p>
        </w:tc>
        <w:tc>
          <w:tcPr>
            <w:tcW w:w="804" w:type="dxa"/>
            <w:tcBorders>
              <w:top w:val="nil"/>
              <w:left w:val="nil"/>
              <w:bottom w:val="nil"/>
              <w:right w:val="nil"/>
            </w:tcBorders>
            <w:shd w:val="clear" w:color="auto" w:fill="FFFFFF"/>
            <w:hideMark/>
          </w:tcPr>
          <w:p w14:paraId="20280592"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,005</w:t>
            </w:r>
          </w:p>
        </w:tc>
      </w:tr>
      <w:tr w:rsidR="008C6427" w:rsidRPr="008C6427" w14:paraId="316D9883" w14:textId="77777777" w:rsidTr="008C6427">
        <w:trPr>
          <w:cantSplit/>
          <w:jc w:val="center"/>
        </w:trPr>
        <w:tc>
          <w:tcPr>
            <w:tcW w:w="735" w:type="dxa"/>
            <w:vMerge/>
            <w:tcBorders>
              <w:top w:val="single" w:sz="4" w:space="0" w:color="auto"/>
              <w:left w:val="nil"/>
              <w:bottom w:val="single" w:sz="4" w:space="0" w:color="auto"/>
              <w:right w:val="nil"/>
            </w:tcBorders>
            <w:vAlign w:val="center"/>
            <w:hideMark/>
          </w:tcPr>
          <w:p w14:paraId="228B1F2C"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183" w:type="dxa"/>
            <w:tcBorders>
              <w:top w:val="nil"/>
              <w:left w:val="nil"/>
              <w:bottom w:val="single" w:sz="4" w:space="0" w:color="auto"/>
              <w:right w:val="nil"/>
            </w:tcBorders>
            <w:hideMark/>
          </w:tcPr>
          <w:p w14:paraId="4E37B0C7"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KOX5</w:t>
            </w:r>
          </w:p>
        </w:tc>
        <w:tc>
          <w:tcPr>
            <w:tcW w:w="1338" w:type="dxa"/>
            <w:tcBorders>
              <w:top w:val="nil"/>
              <w:left w:val="nil"/>
              <w:bottom w:val="single" w:sz="4" w:space="0" w:color="auto"/>
              <w:right w:val="nil"/>
            </w:tcBorders>
            <w:shd w:val="clear" w:color="auto" w:fill="FFFFFF"/>
            <w:hideMark/>
          </w:tcPr>
          <w:p w14:paraId="49859B4F"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,119</w:t>
            </w:r>
          </w:p>
        </w:tc>
        <w:tc>
          <w:tcPr>
            <w:tcW w:w="1338" w:type="dxa"/>
            <w:tcBorders>
              <w:top w:val="nil"/>
              <w:left w:val="nil"/>
              <w:bottom w:val="single" w:sz="4" w:space="0" w:color="auto"/>
              <w:right w:val="nil"/>
            </w:tcBorders>
            <w:shd w:val="clear" w:color="auto" w:fill="FFFFFF"/>
            <w:hideMark/>
          </w:tcPr>
          <w:p w14:paraId="25A3F773"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,018</w:t>
            </w:r>
          </w:p>
        </w:tc>
        <w:tc>
          <w:tcPr>
            <w:tcW w:w="1598" w:type="dxa"/>
            <w:tcBorders>
              <w:top w:val="nil"/>
              <w:left w:val="nil"/>
              <w:bottom w:val="single" w:sz="4" w:space="0" w:color="auto"/>
              <w:right w:val="nil"/>
            </w:tcBorders>
            <w:shd w:val="clear" w:color="auto" w:fill="FFFFFF"/>
            <w:hideMark/>
          </w:tcPr>
          <w:p w14:paraId="1E58B0C6"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1,184</w:t>
            </w:r>
          </w:p>
        </w:tc>
        <w:tc>
          <w:tcPr>
            <w:tcW w:w="1134" w:type="dxa"/>
            <w:tcBorders>
              <w:top w:val="nil"/>
              <w:left w:val="nil"/>
              <w:bottom w:val="single" w:sz="4" w:space="0" w:color="auto"/>
              <w:right w:val="nil"/>
            </w:tcBorders>
            <w:shd w:val="clear" w:color="auto" w:fill="FFFFFF"/>
            <w:hideMark/>
          </w:tcPr>
          <w:p w14:paraId="4B826609"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6,544</w:t>
            </w:r>
          </w:p>
        </w:tc>
        <w:tc>
          <w:tcPr>
            <w:tcW w:w="804" w:type="dxa"/>
            <w:tcBorders>
              <w:top w:val="nil"/>
              <w:left w:val="nil"/>
              <w:bottom w:val="single" w:sz="4" w:space="0" w:color="auto"/>
              <w:right w:val="nil"/>
            </w:tcBorders>
            <w:shd w:val="clear" w:color="auto" w:fill="FFFFFF"/>
            <w:hideMark/>
          </w:tcPr>
          <w:p w14:paraId="6491336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,000</w:t>
            </w:r>
          </w:p>
        </w:tc>
      </w:tr>
      <w:tr w:rsidR="008C6427" w:rsidRPr="008C6427" w14:paraId="66680C0A" w14:textId="77777777" w:rsidTr="008C6427">
        <w:trPr>
          <w:cantSplit/>
          <w:jc w:val="center"/>
        </w:trPr>
        <w:tc>
          <w:tcPr>
            <w:tcW w:w="8130" w:type="dxa"/>
            <w:gridSpan w:val="7"/>
            <w:tcBorders>
              <w:top w:val="single" w:sz="4" w:space="0" w:color="auto"/>
              <w:left w:val="nil"/>
              <w:bottom w:val="single" w:sz="4" w:space="0" w:color="auto"/>
              <w:right w:val="nil"/>
            </w:tcBorders>
            <w:shd w:val="clear" w:color="auto" w:fill="FFFFFF"/>
            <w:hideMark/>
          </w:tcPr>
          <w:p w14:paraId="5480A5DE"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a. Dependent Variable: Fraud Prevention</w:t>
            </w:r>
          </w:p>
        </w:tc>
      </w:tr>
    </w:tbl>
    <w:p w14:paraId="40A2C608" w14:textId="77777777" w:rsidR="008C6427" w:rsidRPr="008C6427" w:rsidRDefault="008C6427" w:rsidP="008C6427">
      <w:pPr>
        <w:autoSpaceDE w:val="0"/>
        <w:autoSpaceDN w:val="0"/>
        <w:adjustRightInd w:val="0"/>
        <w:spacing w:after="0"/>
        <w:ind w:firstLine="720"/>
        <w:jc w:val="both"/>
        <w:rPr>
          <w:rFonts w:ascii="Cambria" w:hAnsi="Cambria"/>
          <w:sz w:val="21"/>
          <w:szCs w:val="21"/>
        </w:rPr>
      </w:pPr>
    </w:p>
    <w:p w14:paraId="3F93F80C" w14:textId="77777777" w:rsidR="008C6427" w:rsidRPr="008C6427" w:rsidRDefault="008C6427" w:rsidP="008C6427">
      <w:pPr>
        <w:spacing w:after="0"/>
        <w:ind w:firstLine="567"/>
        <w:jc w:val="both"/>
        <w:rPr>
          <w:rFonts w:ascii="Cambria" w:hAnsi="Cambria"/>
          <w:sz w:val="21"/>
          <w:szCs w:val="21"/>
          <w:lang w:eastAsia="ja-JP"/>
        </w:rPr>
      </w:pPr>
      <w:r w:rsidRPr="008C6427">
        <w:rPr>
          <w:rFonts w:ascii="Cambria" w:hAnsi="Cambria"/>
          <w:sz w:val="21"/>
          <w:szCs w:val="21"/>
        </w:rPr>
        <w:t>Based on the values ​​of the constants and regression coefficients in Table 2, it is known that the multiple linear regression equation is as follows.</w:t>
      </w:r>
    </w:p>
    <w:p w14:paraId="2A9FC7B7" w14:textId="77777777" w:rsidR="008C6427" w:rsidRPr="008C6427" w:rsidRDefault="008C6427" w:rsidP="008C6427">
      <w:pPr>
        <w:autoSpaceDE w:val="0"/>
        <w:autoSpaceDN w:val="0"/>
        <w:adjustRightInd w:val="0"/>
        <w:spacing w:after="0"/>
        <w:jc w:val="both"/>
        <w:rPr>
          <w:rFonts w:ascii="Cambria" w:hAnsi="Cambria"/>
          <w:sz w:val="21"/>
          <w:szCs w:val="21"/>
          <w:lang w:eastAsia="en-ID"/>
        </w:rPr>
      </w:pPr>
      <w:r w:rsidRPr="008C6427">
        <w:rPr>
          <w:rFonts w:ascii="Cambria" w:hAnsi="Cambria"/>
          <w:sz w:val="21"/>
          <w:szCs w:val="21"/>
        </w:rPr>
        <w:t>Y = -5,585 + -0,038 X1 + 0,002 X2 + 0,033 X3 + 0,012 X4 + 0,119 X5 + e</w:t>
      </w:r>
    </w:p>
    <w:p w14:paraId="4EBD8BC6" w14:textId="77777777" w:rsidR="008C6427" w:rsidRPr="008C6427" w:rsidRDefault="008C6427" w:rsidP="008C6427">
      <w:pPr>
        <w:pStyle w:val="NormalWeb"/>
        <w:spacing w:before="0" w:beforeAutospacing="0" w:after="0" w:afterAutospacing="0"/>
        <w:jc w:val="both"/>
        <w:rPr>
          <w:rFonts w:ascii="Cambria" w:hAnsi="Cambria"/>
          <w:color w:val="0E101A"/>
          <w:sz w:val="21"/>
          <w:szCs w:val="21"/>
        </w:rPr>
      </w:pPr>
      <w:r w:rsidRPr="008C6427">
        <w:rPr>
          <w:rFonts w:ascii="Cambria" w:hAnsi="Cambria"/>
          <w:color w:val="0E101A"/>
          <w:sz w:val="21"/>
          <w:szCs w:val="21"/>
        </w:rPr>
        <w:t>The numbers in the multiple linear regression equation can be interpreted as follows.</w:t>
      </w:r>
    </w:p>
    <w:p w14:paraId="58A81208"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color w:val="0E101A"/>
          <w:sz w:val="21"/>
          <w:szCs w:val="21"/>
        </w:rPr>
        <w:t>The value of constant (</w:t>
      </w:r>
      <w:r w:rsidRPr="008C6427">
        <w:rPr>
          <w:rStyle w:val="Emphasis"/>
          <w:rFonts w:ascii="Cambria" w:hAnsi="Cambria"/>
          <w:b/>
          <w:bCs/>
          <w:color w:val="0E101A"/>
          <w:sz w:val="21"/>
          <w:szCs w:val="21"/>
        </w:rPr>
        <w:t>a</w:t>
      </w:r>
      <w:r w:rsidRPr="008C6427">
        <w:rPr>
          <w:rFonts w:ascii="Cambria" w:hAnsi="Cambria"/>
          <w:color w:val="0E101A"/>
          <w:sz w:val="21"/>
          <w:szCs w:val="21"/>
        </w:rPr>
        <w:t>) is -5.585. It means that if there is no quality of committee, system, and procedure, environment, internal control, and organizational commitment or X</w:t>
      </w:r>
      <w:r w:rsidRPr="008C6427">
        <w:rPr>
          <w:rFonts w:ascii="Cambria" w:hAnsi="Cambria"/>
          <w:color w:val="0E101A"/>
          <w:sz w:val="21"/>
          <w:szCs w:val="21"/>
          <w:vertAlign w:val="subscript"/>
        </w:rPr>
        <w:t>1</w:t>
      </w:r>
      <w:r w:rsidRPr="008C6427">
        <w:rPr>
          <w:rFonts w:ascii="Cambria" w:hAnsi="Cambria"/>
          <w:color w:val="0E101A"/>
          <w:sz w:val="21"/>
          <w:szCs w:val="21"/>
        </w:rPr>
        <w:t>, X</w:t>
      </w:r>
      <w:r w:rsidRPr="008C6427">
        <w:rPr>
          <w:rFonts w:ascii="Cambria" w:hAnsi="Cambria"/>
          <w:color w:val="0E101A"/>
          <w:sz w:val="21"/>
          <w:szCs w:val="21"/>
          <w:vertAlign w:val="subscript"/>
        </w:rPr>
        <w:t>2</w:t>
      </w:r>
      <w:r w:rsidRPr="008C6427">
        <w:rPr>
          <w:rFonts w:ascii="Cambria" w:hAnsi="Cambria"/>
          <w:color w:val="0E101A"/>
          <w:sz w:val="21"/>
          <w:szCs w:val="21"/>
        </w:rPr>
        <w:t>, X</w:t>
      </w:r>
      <w:r w:rsidRPr="008C6427">
        <w:rPr>
          <w:rFonts w:ascii="Cambria" w:hAnsi="Cambria"/>
          <w:color w:val="0E101A"/>
          <w:sz w:val="21"/>
          <w:szCs w:val="21"/>
          <w:vertAlign w:val="subscript"/>
        </w:rPr>
        <w:t>3</w:t>
      </w:r>
      <w:r w:rsidRPr="008C6427">
        <w:rPr>
          <w:rFonts w:ascii="Cambria" w:hAnsi="Cambria"/>
          <w:color w:val="0E101A"/>
          <w:sz w:val="21"/>
          <w:szCs w:val="21"/>
        </w:rPr>
        <w:t>, X</w:t>
      </w:r>
      <w:r w:rsidRPr="008C6427">
        <w:rPr>
          <w:rFonts w:ascii="Cambria" w:hAnsi="Cambria"/>
          <w:color w:val="0E101A"/>
          <w:sz w:val="21"/>
          <w:szCs w:val="21"/>
          <w:vertAlign w:val="subscript"/>
        </w:rPr>
        <w:t>4</w:t>
      </w:r>
      <w:r w:rsidRPr="008C6427">
        <w:rPr>
          <w:rFonts w:ascii="Cambria" w:hAnsi="Cambria"/>
          <w:color w:val="0E101A"/>
          <w:sz w:val="21"/>
          <w:szCs w:val="21"/>
        </w:rPr>
        <w:t>, and X</w:t>
      </w:r>
      <w:r w:rsidRPr="008C6427">
        <w:rPr>
          <w:rFonts w:ascii="Cambria" w:hAnsi="Cambria"/>
          <w:color w:val="0E101A"/>
          <w:sz w:val="21"/>
          <w:szCs w:val="21"/>
          <w:vertAlign w:val="subscript"/>
        </w:rPr>
        <w:t>5</w:t>
      </w:r>
      <w:r w:rsidRPr="008C6427">
        <w:rPr>
          <w:rFonts w:ascii="Cambria" w:hAnsi="Cambria"/>
          <w:color w:val="0E101A"/>
          <w:sz w:val="21"/>
          <w:szCs w:val="21"/>
        </w:rPr>
        <w:t xml:space="preserve"> are equal to 0, then the organizational performance is equal to - 5.585.</w:t>
      </w:r>
    </w:p>
    <w:p w14:paraId="42C89459"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color w:val="0E101A"/>
          <w:sz w:val="21"/>
          <w:szCs w:val="21"/>
        </w:rPr>
        <w:t>The regression coefficient value of the committee team quality variable (β1) is -0.038. It is a significant value of 0.000 which means that it has a negative effect on fraud prevention. </w:t>
      </w:r>
    </w:p>
    <w:p w14:paraId="23EFF333"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color w:val="0E101A"/>
          <w:sz w:val="21"/>
          <w:szCs w:val="21"/>
        </w:rPr>
        <w:t>The system and procedure variables (β2) are positive (0.002), significant value is 0.034. It means that there is a positive influence on fraud prevention.</w:t>
      </w:r>
    </w:p>
    <w:p w14:paraId="4751AF56"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color w:val="0E101A"/>
          <w:sz w:val="21"/>
          <w:szCs w:val="21"/>
        </w:rPr>
        <w:t>The value of the environmental variable regression coefficient (β3) is positive (0.033), the significance value is 0.003. It means that there is a positive influence on fraud prevention.</w:t>
      </w:r>
    </w:p>
    <w:p w14:paraId="23C05ED8"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color w:val="0E101A"/>
          <w:sz w:val="21"/>
          <w:szCs w:val="21"/>
        </w:rPr>
        <w:t>The regression coefficient value of the internal control variable (β4) is positive (0.012), the significance value is 0.005. It means that there is a positive influence on fraud prevention.</w:t>
      </w:r>
    </w:p>
    <w:p w14:paraId="26034DD3" w14:textId="77777777" w:rsidR="008C6427" w:rsidRPr="008C6427" w:rsidRDefault="008C6427" w:rsidP="008C6427">
      <w:pPr>
        <w:pStyle w:val="NormalWeb"/>
        <w:numPr>
          <w:ilvl w:val="0"/>
          <w:numId w:val="23"/>
        </w:numPr>
        <w:spacing w:before="0" w:beforeAutospacing="0" w:after="0" w:afterAutospacing="0"/>
        <w:ind w:left="284" w:hanging="284"/>
        <w:jc w:val="both"/>
        <w:rPr>
          <w:rFonts w:ascii="Cambria" w:hAnsi="Cambria"/>
          <w:color w:val="0E101A"/>
          <w:sz w:val="21"/>
          <w:szCs w:val="21"/>
        </w:rPr>
      </w:pPr>
      <w:r w:rsidRPr="008C6427">
        <w:rPr>
          <w:rFonts w:ascii="Cambria" w:hAnsi="Cambria"/>
          <w:sz w:val="21"/>
          <w:szCs w:val="21"/>
        </w:rPr>
        <w:t>The regression coefficient value of the internal control variable (β5) is positive (0.119), the significance value is 0.000. It means that there is a positive influence on fraud prevention</w:t>
      </w:r>
    </w:p>
    <w:p w14:paraId="67CD6AD2" w14:textId="77777777" w:rsidR="008C6427" w:rsidRPr="008C6427" w:rsidRDefault="008C6427" w:rsidP="008C6427">
      <w:pPr>
        <w:tabs>
          <w:tab w:val="left" w:pos="851"/>
        </w:tabs>
        <w:spacing w:after="0"/>
        <w:rPr>
          <w:rFonts w:ascii="Cambria" w:hAnsi="Cambria"/>
          <w:sz w:val="21"/>
          <w:szCs w:val="21"/>
        </w:rPr>
      </w:pPr>
    </w:p>
    <w:p w14:paraId="4E87EBF4" w14:textId="77777777" w:rsidR="008C6427" w:rsidRPr="00FF45B1" w:rsidRDefault="008C6427" w:rsidP="008C6427">
      <w:pPr>
        <w:tabs>
          <w:tab w:val="left" w:pos="851"/>
        </w:tabs>
        <w:spacing w:after="0"/>
        <w:jc w:val="center"/>
        <w:rPr>
          <w:rFonts w:ascii="Cambria" w:hAnsi="Cambria"/>
          <w:b/>
          <w:sz w:val="21"/>
          <w:szCs w:val="21"/>
        </w:rPr>
      </w:pPr>
      <w:proofErr w:type="gramStart"/>
      <w:r w:rsidRPr="00FF45B1">
        <w:rPr>
          <w:rFonts w:ascii="Cambria" w:hAnsi="Cambria"/>
          <w:b/>
          <w:sz w:val="21"/>
          <w:szCs w:val="21"/>
        </w:rPr>
        <w:t>Table 3.</w:t>
      </w:r>
      <w:proofErr w:type="gramEnd"/>
      <w:r w:rsidRPr="00FF45B1">
        <w:rPr>
          <w:rFonts w:ascii="Cambria" w:hAnsi="Cambria"/>
          <w:b/>
          <w:sz w:val="21"/>
          <w:szCs w:val="21"/>
        </w:rPr>
        <w:t xml:space="preserve"> Simultaneous Test (F)</w:t>
      </w:r>
    </w:p>
    <w:tbl>
      <w:tblPr>
        <w:tblW w:w="7995"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1292"/>
        <w:gridCol w:w="1475"/>
        <w:gridCol w:w="1030"/>
        <w:gridCol w:w="1414"/>
        <w:gridCol w:w="1030"/>
        <w:gridCol w:w="1233"/>
      </w:tblGrid>
      <w:tr w:rsidR="008C6427" w:rsidRPr="008C6427" w14:paraId="2B2D0104" w14:textId="77777777" w:rsidTr="009E5333">
        <w:trPr>
          <w:cantSplit/>
          <w:jc w:val="center"/>
        </w:trPr>
        <w:tc>
          <w:tcPr>
            <w:tcW w:w="7998" w:type="dxa"/>
            <w:gridSpan w:val="7"/>
            <w:tcBorders>
              <w:top w:val="single" w:sz="4" w:space="0" w:color="auto"/>
              <w:left w:val="nil"/>
              <w:bottom w:val="single" w:sz="4" w:space="0" w:color="auto"/>
              <w:right w:val="nil"/>
            </w:tcBorders>
            <w:shd w:val="clear" w:color="auto" w:fill="FFFFFF"/>
            <w:vAlign w:val="center"/>
            <w:hideMark/>
          </w:tcPr>
          <w:p w14:paraId="4F73DE89" w14:textId="77777777" w:rsidR="008C6427" w:rsidRPr="008C6427" w:rsidRDefault="008C6427" w:rsidP="009E5333">
            <w:pPr>
              <w:autoSpaceDE w:val="0"/>
              <w:autoSpaceDN w:val="0"/>
              <w:adjustRightInd w:val="0"/>
              <w:spacing w:after="0"/>
              <w:ind w:left="60" w:right="60"/>
              <w:jc w:val="center"/>
              <w:rPr>
                <w:rFonts w:ascii="Cambria" w:hAnsi="Cambria"/>
                <w:color w:val="010205"/>
                <w:sz w:val="18"/>
                <w:szCs w:val="18"/>
                <w:lang w:eastAsia="en-ID"/>
              </w:rPr>
            </w:pPr>
            <w:proofErr w:type="spellStart"/>
            <w:r w:rsidRPr="008C6427">
              <w:rPr>
                <w:rFonts w:ascii="Cambria" w:hAnsi="Cambria"/>
                <w:bCs/>
                <w:color w:val="010205"/>
                <w:sz w:val="18"/>
                <w:szCs w:val="18"/>
              </w:rPr>
              <w:t>ANOVA</w:t>
            </w:r>
            <w:r w:rsidRPr="008C6427">
              <w:rPr>
                <w:rFonts w:ascii="Cambria" w:hAnsi="Cambria"/>
                <w:bCs/>
                <w:color w:val="010205"/>
                <w:sz w:val="18"/>
                <w:szCs w:val="18"/>
                <w:vertAlign w:val="superscript"/>
              </w:rPr>
              <w:t>a</w:t>
            </w:r>
            <w:proofErr w:type="spellEnd"/>
          </w:p>
        </w:tc>
      </w:tr>
      <w:tr w:rsidR="008C6427" w:rsidRPr="008C6427" w14:paraId="4D385757" w14:textId="77777777" w:rsidTr="009E5333">
        <w:trPr>
          <w:cantSplit/>
          <w:trHeight w:val="128"/>
          <w:jc w:val="center"/>
        </w:trPr>
        <w:tc>
          <w:tcPr>
            <w:tcW w:w="1814" w:type="dxa"/>
            <w:gridSpan w:val="2"/>
            <w:tcBorders>
              <w:top w:val="single" w:sz="4" w:space="0" w:color="auto"/>
              <w:left w:val="nil"/>
              <w:bottom w:val="single" w:sz="4" w:space="0" w:color="auto"/>
              <w:right w:val="nil"/>
            </w:tcBorders>
            <w:vAlign w:val="bottom"/>
            <w:hideMark/>
          </w:tcPr>
          <w:p w14:paraId="788CC8B9" w14:textId="77777777" w:rsidR="008C6427" w:rsidRPr="008C6427" w:rsidRDefault="008C6427" w:rsidP="009E5333">
            <w:pPr>
              <w:autoSpaceDE w:val="0"/>
              <w:autoSpaceDN w:val="0"/>
              <w:adjustRightInd w:val="0"/>
              <w:spacing w:after="0"/>
              <w:ind w:right="60"/>
              <w:rPr>
                <w:rFonts w:ascii="Cambria" w:hAnsi="Cambria"/>
                <w:color w:val="000000" w:themeColor="text1"/>
                <w:sz w:val="18"/>
                <w:szCs w:val="18"/>
                <w:lang w:eastAsia="en-ID"/>
              </w:rPr>
            </w:pPr>
            <w:r w:rsidRPr="008C6427">
              <w:rPr>
                <w:rFonts w:ascii="Cambria" w:hAnsi="Cambria"/>
                <w:color w:val="000000" w:themeColor="text1"/>
                <w:sz w:val="18"/>
                <w:szCs w:val="18"/>
              </w:rPr>
              <w:t>Model</w:t>
            </w:r>
          </w:p>
        </w:tc>
        <w:tc>
          <w:tcPr>
            <w:tcW w:w="1476" w:type="dxa"/>
            <w:tcBorders>
              <w:top w:val="single" w:sz="4" w:space="0" w:color="auto"/>
              <w:left w:val="nil"/>
              <w:bottom w:val="single" w:sz="4" w:space="0" w:color="auto"/>
              <w:right w:val="nil"/>
            </w:tcBorders>
            <w:vAlign w:val="bottom"/>
            <w:hideMark/>
          </w:tcPr>
          <w:p w14:paraId="4BFD4BFB" w14:textId="77777777" w:rsidR="008C6427" w:rsidRPr="008C6427" w:rsidRDefault="008C6427" w:rsidP="009E5333">
            <w:pPr>
              <w:autoSpaceDE w:val="0"/>
              <w:autoSpaceDN w:val="0"/>
              <w:adjustRightInd w:val="0"/>
              <w:spacing w:after="0"/>
              <w:ind w:right="60"/>
              <w:rPr>
                <w:rFonts w:ascii="Cambria" w:hAnsi="Cambria"/>
                <w:color w:val="000000" w:themeColor="text1"/>
                <w:sz w:val="18"/>
                <w:szCs w:val="18"/>
                <w:lang w:eastAsia="en-ID"/>
              </w:rPr>
            </w:pPr>
            <w:r w:rsidRPr="008C6427">
              <w:rPr>
                <w:rFonts w:ascii="Cambria" w:hAnsi="Cambria"/>
                <w:color w:val="000000" w:themeColor="text1"/>
                <w:sz w:val="18"/>
                <w:szCs w:val="18"/>
              </w:rPr>
              <w:t>Sum of Squares</w:t>
            </w:r>
          </w:p>
        </w:tc>
        <w:tc>
          <w:tcPr>
            <w:tcW w:w="1030" w:type="dxa"/>
            <w:tcBorders>
              <w:top w:val="single" w:sz="4" w:space="0" w:color="auto"/>
              <w:left w:val="nil"/>
              <w:bottom w:val="single" w:sz="4" w:space="0" w:color="auto"/>
              <w:right w:val="nil"/>
            </w:tcBorders>
            <w:vAlign w:val="bottom"/>
            <w:hideMark/>
          </w:tcPr>
          <w:p w14:paraId="4F58AFE1" w14:textId="77777777" w:rsidR="008C6427" w:rsidRPr="008C6427" w:rsidRDefault="008C6427" w:rsidP="009E5333">
            <w:pPr>
              <w:autoSpaceDE w:val="0"/>
              <w:autoSpaceDN w:val="0"/>
              <w:adjustRightInd w:val="0"/>
              <w:spacing w:after="0"/>
              <w:ind w:right="60"/>
              <w:rPr>
                <w:rFonts w:ascii="Cambria" w:hAnsi="Cambria"/>
                <w:color w:val="000000" w:themeColor="text1"/>
                <w:sz w:val="18"/>
                <w:szCs w:val="18"/>
                <w:lang w:eastAsia="en-ID"/>
              </w:rPr>
            </w:pPr>
            <w:proofErr w:type="spellStart"/>
            <w:r w:rsidRPr="008C6427">
              <w:rPr>
                <w:rFonts w:ascii="Cambria" w:hAnsi="Cambria"/>
                <w:color w:val="000000" w:themeColor="text1"/>
                <w:sz w:val="18"/>
                <w:szCs w:val="18"/>
              </w:rPr>
              <w:t>df</w:t>
            </w:r>
            <w:proofErr w:type="spellEnd"/>
          </w:p>
        </w:tc>
        <w:tc>
          <w:tcPr>
            <w:tcW w:w="1415" w:type="dxa"/>
            <w:tcBorders>
              <w:top w:val="single" w:sz="4" w:space="0" w:color="auto"/>
              <w:left w:val="nil"/>
              <w:bottom w:val="single" w:sz="4" w:space="0" w:color="auto"/>
              <w:right w:val="nil"/>
            </w:tcBorders>
            <w:vAlign w:val="bottom"/>
            <w:hideMark/>
          </w:tcPr>
          <w:p w14:paraId="18602076"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Mean Square</w:t>
            </w:r>
          </w:p>
        </w:tc>
        <w:tc>
          <w:tcPr>
            <w:tcW w:w="1030" w:type="dxa"/>
            <w:tcBorders>
              <w:top w:val="single" w:sz="4" w:space="0" w:color="auto"/>
              <w:left w:val="nil"/>
              <w:bottom w:val="single" w:sz="4" w:space="0" w:color="auto"/>
              <w:right w:val="nil"/>
            </w:tcBorders>
            <w:vAlign w:val="bottom"/>
            <w:hideMark/>
          </w:tcPr>
          <w:p w14:paraId="3AC9FA8D"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F</w:t>
            </w:r>
          </w:p>
        </w:tc>
        <w:tc>
          <w:tcPr>
            <w:tcW w:w="1233" w:type="dxa"/>
            <w:tcBorders>
              <w:top w:val="single" w:sz="4" w:space="0" w:color="auto"/>
              <w:left w:val="nil"/>
              <w:bottom w:val="single" w:sz="4" w:space="0" w:color="auto"/>
              <w:right w:val="nil"/>
            </w:tcBorders>
            <w:vAlign w:val="bottom"/>
            <w:hideMark/>
          </w:tcPr>
          <w:p w14:paraId="719DC916"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18"/>
                <w:szCs w:val="18"/>
                <w:lang w:eastAsia="en-ID"/>
              </w:rPr>
            </w:pPr>
            <w:r w:rsidRPr="008C6427">
              <w:rPr>
                <w:rFonts w:ascii="Cambria" w:hAnsi="Cambria"/>
                <w:color w:val="000000" w:themeColor="text1"/>
                <w:sz w:val="18"/>
                <w:szCs w:val="18"/>
              </w:rPr>
              <w:t>Sig.</w:t>
            </w:r>
          </w:p>
        </w:tc>
      </w:tr>
      <w:tr w:rsidR="008C6427" w:rsidRPr="008C6427" w14:paraId="6ACC2495" w14:textId="77777777" w:rsidTr="009E5333">
        <w:trPr>
          <w:cantSplit/>
          <w:jc w:val="center"/>
        </w:trPr>
        <w:tc>
          <w:tcPr>
            <w:tcW w:w="522" w:type="dxa"/>
            <w:vMerge w:val="restart"/>
            <w:tcBorders>
              <w:top w:val="single" w:sz="4" w:space="0" w:color="auto"/>
              <w:left w:val="nil"/>
              <w:bottom w:val="single" w:sz="4" w:space="0" w:color="auto"/>
              <w:right w:val="nil"/>
            </w:tcBorders>
            <w:hideMark/>
          </w:tcPr>
          <w:p w14:paraId="057B724F" w14:textId="77777777" w:rsidR="008C6427" w:rsidRPr="008C6427" w:rsidRDefault="008C6427" w:rsidP="009E5333">
            <w:pPr>
              <w:autoSpaceDE w:val="0"/>
              <w:autoSpaceDN w:val="0"/>
              <w:adjustRightInd w:val="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1</w:t>
            </w:r>
          </w:p>
        </w:tc>
        <w:tc>
          <w:tcPr>
            <w:tcW w:w="1292" w:type="dxa"/>
            <w:tcBorders>
              <w:top w:val="single" w:sz="4" w:space="0" w:color="auto"/>
              <w:left w:val="nil"/>
              <w:bottom w:val="nil"/>
              <w:right w:val="nil"/>
            </w:tcBorders>
            <w:hideMark/>
          </w:tcPr>
          <w:p w14:paraId="6BDD0209"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Regression</w:t>
            </w:r>
          </w:p>
        </w:tc>
        <w:tc>
          <w:tcPr>
            <w:tcW w:w="1476" w:type="dxa"/>
            <w:tcBorders>
              <w:top w:val="single" w:sz="4" w:space="0" w:color="auto"/>
              <w:left w:val="nil"/>
              <w:bottom w:val="nil"/>
              <w:right w:val="nil"/>
            </w:tcBorders>
            <w:hideMark/>
          </w:tcPr>
          <w:p w14:paraId="18A3FC19"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,274</w:t>
            </w:r>
          </w:p>
        </w:tc>
        <w:tc>
          <w:tcPr>
            <w:tcW w:w="1030" w:type="dxa"/>
            <w:tcBorders>
              <w:top w:val="single" w:sz="4" w:space="0" w:color="auto"/>
              <w:left w:val="nil"/>
              <w:bottom w:val="nil"/>
              <w:right w:val="nil"/>
            </w:tcBorders>
            <w:hideMark/>
          </w:tcPr>
          <w:p w14:paraId="660B030D"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5</w:t>
            </w:r>
          </w:p>
        </w:tc>
        <w:tc>
          <w:tcPr>
            <w:tcW w:w="1415" w:type="dxa"/>
            <w:tcBorders>
              <w:top w:val="single" w:sz="4" w:space="0" w:color="auto"/>
              <w:left w:val="nil"/>
              <w:bottom w:val="nil"/>
              <w:right w:val="nil"/>
            </w:tcBorders>
            <w:hideMark/>
          </w:tcPr>
          <w:p w14:paraId="4F80FDDC"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,055</w:t>
            </w:r>
          </w:p>
        </w:tc>
        <w:tc>
          <w:tcPr>
            <w:tcW w:w="1030" w:type="dxa"/>
            <w:tcBorders>
              <w:top w:val="single" w:sz="4" w:space="0" w:color="auto"/>
              <w:left w:val="nil"/>
              <w:bottom w:val="nil"/>
              <w:right w:val="nil"/>
            </w:tcBorders>
            <w:hideMark/>
          </w:tcPr>
          <w:p w14:paraId="2297CF98"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28,055</w:t>
            </w:r>
          </w:p>
        </w:tc>
        <w:tc>
          <w:tcPr>
            <w:tcW w:w="1233" w:type="dxa"/>
            <w:tcBorders>
              <w:top w:val="single" w:sz="4" w:space="0" w:color="auto"/>
              <w:left w:val="nil"/>
              <w:bottom w:val="nil"/>
              <w:right w:val="nil"/>
            </w:tcBorders>
            <w:hideMark/>
          </w:tcPr>
          <w:p w14:paraId="3503B88F"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,000</w:t>
            </w:r>
            <w:r w:rsidRPr="008C6427">
              <w:rPr>
                <w:rFonts w:ascii="Cambria" w:hAnsi="Cambria"/>
                <w:color w:val="000000" w:themeColor="text1"/>
                <w:sz w:val="18"/>
                <w:szCs w:val="18"/>
                <w:vertAlign w:val="superscript"/>
              </w:rPr>
              <w:t>b</w:t>
            </w:r>
          </w:p>
        </w:tc>
      </w:tr>
      <w:tr w:rsidR="008C6427" w:rsidRPr="008C6427" w14:paraId="6DB0A586" w14:textId="77777777" w:rsidTr="009E5333">
        <w:trPr>
          <w:cantSplit/>
          <w:jc w:val="center"/>
        </w:trPr>
        <w:tc>
          <w:tcPr>
            <w:tcW w:w="7998" w:type="dxa"/>
            <w:vMerge/>
            <w:tcBorders>
              <w:top w:val="single" w:sz="4" w:space="0" w:color="auto"/>
              <w:left w:val="nil"/>
              <w:bottom w:val="single" w:sz="4" w:space="0" w:color="auto"/>
              <w:right w:val="nil"/>
            </w:tcBorders>
            <w:vAlign w:val="center"/>
            <w:hideMark/>
          </w:tcPr>
          <w:p w14:paraId="34A451C7"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292" w:type="dxa"/>
            <w:tcBorders>
              <w:top w:val="nil"/>
              <w:left w:val="nil"/>
              <w:bottom w:val="nil"/>
              <w:right w:val="nil"/>
            </w:tcBorders>
            <w:hideMark/>
          </w:tcPr>
          <w:p w14:paraId="1EE21D7B"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Residual</w:t>
            </w:r>
          </w:p>
        </w:tc>
        <w:tc>
          <w:tcPr>
            <w:tcW w:w="1476" w:type="dxa"/>
            <w:tcBorders>
              <w:top w:val="nil"/>
              <w:left w:val="nil"/>
              <w:bottom w:val="nil"/>
              <w:right w:val="nil"/>
            </w:tcBorders>
            <w:hideMark/>
          </w:tcPr>
          <w:p w14:paraId="6391B785"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,016</w:t>
            </w:r>
          </w:p>
        </w:tc>
        <w:tc>
          <w:tcPr>
            <w:tcW w:w="1030" w:type="dxa"/>
            <w:tcBorders>
              <w:top w:val="nil"/>
              <w:left w:val="nil"/>
              <w:bottom w:val="nil"/>
              <w:right w:val="nil"/>
            </w:tcBorders>
            <w:hideMark/>
          </w:tcPr>
          <w:p w14:paraId="683A603A"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8</w:t>
            </w:r>
          </w:p>
        </w:tc>
        <w:tc>
          <w:tcPr>
            <w:tcW w:w="1415" w:type="dxa"/>
            <w:tcBorders>
              <w:top w:val="nil"/>
              <w:left w:val="nil"/>
              <w:bottom w:val="nil"/>
              <w:right w:val="nil"/>
            </w:tcBorders>
            <w:hideMark/>
          </w:tcPr>
          <w:p w14:paraId="228A7507"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,002</w:t>
            </w:r>
          </w:p>
        </w:tc>
        <w:tc>
          <w:tcPr>
            <w:tcW w:w="1030" w:type="dxa"/>
            <w:tcBorders>
              <w:top w:val="nil"/>
              <w:left w:val="nil"/>
              <w:bottom w:val="nil"/>
              <w:right w:val="nil"/>
            </w:tcBorders>
            <w:vAlign w:val="center"/>
          </w:tcPr>
          <w:p w14:paraId="34B84CDC"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c>
          <w:tcPr>
            <w:tcW w:w="1233" w:type="dxa"/>
            <w:tcBorders>
              <w:top w:val="nil"/>
              <w:left w:val="nil"/>
              <w:bottom w:val="nil"/>
              <w:right w:val="nil"/>
            </w:tcBorders>
            <w:vAlign w:val="center"/>
          </w:tcPr>
          <w:p w14:paraId="1D695A0F"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r>
      <w:tr w:rsidR="008C6427" w:rsidRPr="008C6427" w14:paraId="4196A3DC" w14:textId="77777777" w:rsidTr="009E5333">
        <w:trPr>
          <w:cantSplit/>
          <w:jc w:val="center"/>
        </w:trPr>
        <w:tc>
          <w:tcPr>
            <w:tcW w:w="7998" w:type="dxa"/>
            <w:vMerge/>
            <w:tcBorders>
              <w:top w:val="single" w:sz="4" w:space="0" w:color="auto"/>
              <w:left w:val="nil"/>
              <w:bottom w:val="single" w:sz="4" w:space="0" w:color="auto"/>
              <w:right w:val="nil"/>
            </w:tcBorders>
            <w:vAlign w:val="center"/>
            <w:hideMark/>
          </w:tcPr>
          <w:p w14:paraId="2CCAE8BD" w14:textId="77777777" w:rsidR="008C6427" w:rsidRPr="008C6427" w:rsidRDefault="008C6427" w:rsidP="009E5333">
            <w:pPr>
              <w:spacing w:after="0" w:line="240" w:lineRule="auto"/>
              <w:rPr>
                <w:rFonts w:ascii="Cambria" w:hAnsi="Cambria"/>
                <w:color w:val="000000" w:themeColor="text1"/>
                <w:sz w:val="18"/>
                <w:szCs w:val="18"/>
                <w:lang w:eastAsia="en-ID"/>
              </w:rPr>
            </w:pPr>
          </w:p>
        </w:tc>
        <w:tc>
          <w:tcPr>
            <w:tcW w:w="1292" w:type="dxa"/>
            <w:tcBorders>
              <w:top w:val="nil"/>
              <w:left w:val="nil"/>
              <w:bottom w:val="single" w:sz="4" w:space="0" w:color="auto"/>
              <w:right w:val="nil"/>
            </w:tcBorders>
            <w:hideMark/>
          </w:tcPr>
          <w:p w14:paraId="7F4F5314" w14:textId="77777777" w:rsidR="008C6427" w:rsidRPr="008C6427" w:rsidRDefault="008C6427" w:rsidP="009E5333">
            <w:pPr>
              <w:autoSpaceDE w:val="0"/>
              <w:autoSpaceDN w:val="0"/>
              <w:adjustRightInd w:val="0"/>
              <w:spacing w:after="0"/>
              <w:ind w:left="60" w:right="60"/>
              <w:rPr>
                <w:rFonts w:ascii="Cambria" w:hAnsi="Cambria"/>
                <w:color w:val="000000" w:themeColor="text1"/>
                <w:sz w:val="18"/>
                <w:szCs w:val="18"/>
                <w:lang w:eastAsia="en-ID"/>
              </w:rPr>
            </w:pPr>
            <w:r w:rsidRPr="008C6427">
              <w:rPr>
                <w:rFonts w:ascii="Cambria" w:hAnsi="Cambria"/>
                <w:color w:val="000000" w:themeColor="text1"/>
                <w:sz w:val="18"/>
                <w:szCs w:val="18"/>
              </w:rPr>
              <w:t>Total</w:t>
            </w:r>
          </w:p>
        </w:tc>
        <w:tc>
          <w:tcPr>
            <w:tcW w:w="1476" w:type="dxa"/>
            <w:tcBorders>
              <w:top w:val="nil"/>
              <w:left w:val="nil"/>
              <w:bottom w:val="single" w:sz="4" w:space="0" w:color="auto"/>
              <w:right w:val="nil"/>
            </w:tcBorders>
            <w:hideMark/>
          </w:tcPr>
          <w:p w14:paraId="21331DDA"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,289</w:t>
            </w:r>
          </w:p>
        </w:tc>
        <w:tc>
          <w:tcPr>
            <w:tcW w:w="1030" w:type="dxa"/>
            <w:tcBorders>
              <w:top w:val="nil"/>
              <w:left w:val="nil"/>
              <w:bottom w:val="single" w:sz="4" w:space="0" w:color="auto"/>
              <w:right w:val="nil"/>
            </w:tcBorders>
            <w:hideMark/>
          </w:tcPr>
          <w:p w14:paraId="410D0A23"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18"/>
                <w:szCs w:val="18"/>
                <w:lang w:eastAsia="en-ID"/>
              </w:rPr>
            </w:pPr>
            <w:r w:rsidRPr="008C6427">
              <w:rPr>
                <w:rFonts w:ascii="Cambria" w:hAnsi="Cambria"/>
                <w:color w:val="000000" w:themeColor="text1"/>
                <w:sz w:val="18"/>
                <w:szCs w:val="18"/>
              </w:rPr>
              <w:t>13</w:t>
            </w:r>
          </w:p>
        </w:tc>
        <w:tc>
          <w:tcPr>
            <w:tcW w:w="1415" w:type="dxa"/>
            <w:tcBorders>
              <w:top w:val="nil"/>
              <w:left w:val="nil"/>
              <w:bottom w:val="single" w:sz="4" w:space="0" w:color="auto"/>
              <w:right w:val="nil"/>
            </w:tcBorders>
            <w:vAlign w:val="center"/>
          </w:tcPr>
          <w:p w14:paraId="2C4AC7AB"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c>
          <w:tcPr>
            <w:tcW w:w="1030" w:type="dxa"/>
            <w:tcBorders>
              <w:top w:val="nil"/>
              <w:left w:val="nil"/>
              <w:bottom w:val="single" w:sz="4" w:space="0" w:color="auto"/>
              <w:right w:val="nil"/>
            </w:tcBorders>
            <w:vAlign w:val="center"/>
          </w:tcPr>
          <w:p w14:paraId="4BDAB4A0"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c>
          <w:tcPr>
            <w:tcW w:w="1233" w:type="dxa"/>
            <w:tcBorders>
              <w:top w:val="nil"/>
              <w:left w:val="nil"/>
              <w:bottom w:val="single" w:sz="4" w:space="0" w:color="auto"/>
              <w:right w:val="nil"/>
            </w:tcBorders>
            <w:vAlign w:val="center"/>
          </w:tcPr>
          <w:p w14:paraId="20503F3C" w14:textId="77777777" w:rsidR="008C6427" w:rsidRPr="008C6427" w:rsidRDefault="008C6427" w:rsidP="009E5333">
            <w:pPr>
              <w:autoSpaceDE w:val="0"/>
              <w:autoSpaceDN w:val="0"/>
              <w:adjustRightInd w:val="0"/>
              <w:spacing w:after="0"/>
              <w:rPr>
                <w:rFonts w:ascii="Cambria" w:hAnsi="Cambria"/>
                <w:color w:val="000000" w:themeColor="text1"/>
                <w:sz w:val="18"/>
                <w:szCs w:val="18"/>
                <w:lang w:eastAsia="en-ID"/>
              </w:rPr>
            </w:pPr>
          </w:p>
        </w:tc>
      </w:tr>
      <w:tr w:rsidR="008C6427" w:rsidRPr="008C6427" w14:paraId="17F6AF18" w14:textId="77777777" w:rsidTr="009E5333">
        <w:trPr>
          <w:cantSplit/>
          <w:jc w:val="center"/>
        </w:trPr>
        <w:tc>
          <w:tcPr>
            <w:tcW w:w="7998" w:type="dxa"/>
            <w:gridSpan w:val="7"/>
            <w:tcBorders>
              <w:top w:val="single" w:sz="4" w:space="0" w:color="auto"/>
              <w:left w:val="nil"/>
              <w:bottom w:val="single" w:sz="4" w:space="0" w:color="auto"/>
              <w:right w:val="nil"/>
            </w:tcBorders>
            <w:shd w:val="clear" w:color="auto" w:fill="FFFFFF"/>
            <w:hideMark/>
          </w:tcPr>
          <w:p w14:paraId="4B18F834" w14:textId="77777777" w:rsidR="008C6427" w:rsidRPr="008C6427" w:rsidRDefault="008C6427" w:rsidP="009E5333">
            <w:pPr>
              <w:autoSpaceDE w:val="0"/>
              <w:autoSpaceDN w:val="0"/>
              <w:adjustRightInd w:val="0"/>
              <w:spacing w:after="0"/>
              <w:ind w:left="60" w:right="60"/>
              <w:rPr>
                <w:rFonts w:ascii="Cambria" w:hAnsi="Cambria"/>
                <w:color w:val="010205"/>
                <w:sz w:val="18"/>
                <w:szCs w:val="18"/>
                <w:lang w:eastAsia="en-ID"/>
              </w:rPr>
            </w:pPr>
            <w:r w:rsidRPr="008C6427">
              <w:rPr>
                <w:rFonts w:ascii="Cambria" w:hAnsi="Cambria"/>
                <w:color w:val="010205"/>
                <w:sz w:val="18"/>
                <w:szCs w:val="18"/>
              </w:rPr>
              <w:t>a. Dependent Variable: PFY</w:t>
            </w:r>
          </w:p>
        </w:tc>
      </w:tr>
      <w:tr w:rsidR="008C6427" w:rsidRPr="008C6427" w14:paraId="605A8299" w14:textId="77777777" w:rsidTr="009E5333">
        <w:trPr>
          <w:cantSplit/>
          <w:jc w:val="center"/>
        </w:trPr>
        <w:tc>
          <w:tcPr>
            <w:tcW w:w="7998" w:type="dxa"/>
            <w:gridSpan w:val="7"/>
            <w:tcBorders>
              <w:top w:val="single" w:sz="4" w:space="0" w:color="auto"/>
              <w:left w:val="nil"/>
              <w:bottom w:val="single" w:sz="4" w:space="0" w:color="auto"/>
              <w:right w:val="nil"/>
            </w:tcBorders>
            <w:shd w:val="clear" w:color="auto" w:fill="FFFFFF"/>
            <w:hideMark/>
          </w:tcPr>
          <w:p w14:paraId="6DA7FB24" w14:textId="77777777" w:rsidR="008C6427" w:rsidRPr="008C6427" w:rsidRDefault="008C6427" w:rsidP="009E5333">
            <w:pPr>
              <w:autoSpaceDE w:val="0"/>
              <w:autoSpaceDN w:val="0"/>
              <w:adjustRightInd w:val="0"/>
              <w:spacing w:after="0"/>
              <w:ind w:left="60" w:right="60"/>
              <w:rPr>
                <w:rFonts w:ascii="Cambria" w:hAnsi="Cambria"/>
                <w:color w:val="010205"/>
                <w:sz w:val="18"/>
                <w:szCs w:val="18"/>
                <w:lang w:eastAsia="en-ID"/>
              </w:rPr>
            </w:pPr>
            <w:r w:rsidRPr="008C6427">
              <w:rPr>
                <w:rFonts w:ascii="Cambria" w:hAnsi="Cambria"/>
                <w:color w:val="010205"/>
                <w:sz w:val="18"/>
                <w:szCs w:val="18"/>
              </w:rPr>
              <w:t>b. Predictors: (Constant), KOX5, LINGX3, PIX4, KPX1, SDPX2</w:t>
            </w:r>
          </w:p>
        </w:tc>
      </w:tr>
    </w:tbl>
    <w:p w14:paraId="0B50FE6D" w14:textId="77777777" w:rsidR="008C6427" w:rsidRPr="008C6427" w:rsidRDefault="008C6427" w:rsidP="008C6427">
      <w:pPr>
        <w:pStyle w:val="JurnalASSETSIsibagian"/>
        <w:rPr>
          <w:rFonts w:ascii="Cambria" w:hAnsi="Cambria"/>
          <w:sz w:val="21"/>
          <w:szCs w:val="21"/>
          <w:lang w:val="en-US"/>
        </w:rPr>
      </w:pPr>
    </w:p>
    <w:p w14:paraId="3D3D6314" w14:textId="77777777" w:rsidR="008C6427" w:rsidRPr="008C6427" w:rsidRDefault="008C6427" w:rsidP="008C6427">
      <w:pPr>
        <w:ind w:firstLine="567"/>
        <w:jc w:val="both"/>
        <w:rPr>
          <w:rFonts w:ascii="Cambria" w:hAnsi="Cambria"/>
          <w:sz w:val="21"/>
          <w:szCs w:val="21"/>
          <w:lang w:eastAsia="ja-JP"/>
        </w:rPr>
      </w:pPr>
      <w:r w:rsidRPr="008C6427">
        <w:rPr>
          <w:rFonts w:ascii="Cambria" w:hAnsi="Cambria"/>
          <w:sz w:val="21"/>
          <w:szCs w:val="21"/>
        </w:rPr>
        <w:t>The results of the F test in Table 3 show that the calculated F value is 28.055 with a significance value of 0.000, while the F table at the 95% confidence level (0.05) is 4.02. This means that F count &gt; F table (28.055 &gt; 4.02). The calculation shows that simultaneously there is a significant effect between the quality of the team, systems and procedures, environment, internal control, and organizational commitment to the prevention of fraud in the procurement of goods.</w:t>
      </w:r>
    </w:p>
    <w:p w14:paraId="68B0BCCE" w14:textId="77777777" w:rsidR="00FF45B1" w:rsidRDefault="00FF45B1" w:rsidP="008C6427">
      <w:pPr>
        <w:autoSpaceDE w:val="0"/>
        <w:autoSpaceDN w:val="0"/>
        <w:adjustRightInd w:val="0"/>
        <w:spacing w:after="0"/>
        <w:jc w:val="center"/>
        <w:rPr>
          <w:rFonts w:ascii="Cambria" w:hAnsi="Cambria"/>
          <w:b/>
          <w:sz w:val="21"/>
          <w:szCs w:val="21"/>
        </w:rPr>
      </w:pPr>
    </w:p>
    <w:p w14:paraId="5F4826C4" w14:textId="77777777" w:rsidR="00FF45B1" w:rsidRDefault="00FF45B1" w:rsidP="008C6427">
      <w:pPr>
        <w:autoSpaceDE w:val="0"/>
        <w:autoSpaceDN w:val="0"/>
        <w:adjustRightInd w:val="0"/>
        <w:spacing w:after="0"/>
        <w:jc w:val="center"/>
        <w:rPr>
          <w:rFonts w:ascii="Cambria" w:hAnsi="Cambria"/>
          <w:b/>
          <w:sz w:val="21"/>
          <w:szCs w:val="21"/>
        </w:rPr>
      </w:pPr>
    </w:p>
    <w:p w14:paraId="770EDB0B" w14:textId="77777777" w:rsidR="008C6427" w:rsidRPr="00FF45B1" w:rsidRDefault="008C6427" w:rsidP="008C6427">
      <w:pPr>
        <w:autoSpaceDE w:val="0"/>
        <w:autoSpaceDN w:val="0"/>
        <w:adjustRightInd w:val="0"/>
        <w:spacing w:after="0"/>
        <w:jc w:val="center"/>
        <w:rPr>
          <w:rFonts w:ascii="Cambria" w:hAnsi="Cambria"/>
          <w:b/>
          <w:sz w:val="21"/>
          <w:szCs w:val="21"/>
        </w:rPr>
      </w:pPr>
      <w:proofErr w:type="gramStart"/>
      <w:r w:rsidRPr="00FF45B1">
        <w:rPr>
          <w:rFonts w:ascii="Cambria" w:hAnsi="Cambria"/>
          <w:b/>
          <w:sz w:val="21"/>
          <w:szCs w:val="21"/>
        </w:rPr>
        <w:lastRenderedPageBreak/>
        <w:t>Table 4.</w:t>
      </w:r>
      <w:proofErr w:type="gramEnd"/>
      <w:r w:rsidRPr="00FF45B1">
        <w:rPr>
          <w:rFonts w:ascii="Cambria" w:hAnsi="Cambria"/>
          <w:b/>
          <w:sz w:val="21"/>
          <w:szCs w:val="21"/>
        </w:rPr>
        <w:t xml:space="preserve"> Coefficient of Determination Test Results (R</w:t>
      </w:r>
      <w:r w:rsidRPr="00FF45B1">
        <w:rPr>
          <w:rFonts w:ascii="Cambria" w:hAnsi="Cambria"/>
          <w:b/>
          <w:sz w:val="21"/>
          <w:szCs w:val="21"/>
          <w:vertAlign w:val="superscript"/>
        </w:rPr>
        <w:t>2</w:t>
      </w:r>
      <w:r w:rsidRPr="00FF45B1">
        <w:rPr>
          <w:rFonts w:ascii="Cambria" w:hAnsi="Cambria"/>
          <w:b/>
          <w:sz w:val="21"/>
          <w:szCs w:val="21"/>
        </w:rPr>
        <w:t>)</w:t>
      </w:r>
    </w:p>
    <w:tbl>
      <w:tblPr>
        <w:tblW w:w="8190"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834"/>
        <w:gridCol w:w="1349"/>
        <w:gridCol w:w="2112"/>
        <w:gridCol w:w="2635"/>
      </w:tblGrid>
      <w:tr w:rsidR="008C6427" w:rsidRPr="008C6427" w14:paraId="6F67451B" w14:textId="77777777" w:rsidTr="009E5333">
        <w:trPr>
          <w:cantSplit/>
          <w:trHeight w:val="174"/>
          <w:jc w:val="center"/>
        </w:trPr>
        <w:tc>
          <w:tcPr>
            <w:tcW w:w="8195" w:type="dxa"/>
            <w:gridSpan w:val="5"/>
            <w:tcBorders>
              <w:top w:val="single" w:sz="4" w:space="0" w:color="auto"/>
              <w:left w:val="nil"/>
              <w:bottom w:val="single" w:sz="4" w:space="0" w:color="auto"/>
              <w:right w:val="nil"/>
            </w:tcBorders>
            <w:vAlign w:val="center"/>
            <w:hideMark/>
          </w:tcPr>
          <w:p w14:paraId="0FF61A9A" w14:textId="77777777" w:rsidR="008C6427" w:rsidRPr="008C6427" w:rsidRDefault="008C6427" w:rsidP="009E5333">
            <w:pPr>
              <w:autoSpaceDE w:val="0"/>
              <w:autoSpaceDN w:val="0"/>
              <w:adjustRightInd w:val="0"/>
              <w:spacing w:after="0"/>
              <w:ind w:right="60"/>
              <w:jc w:val="center"/>
              <w:rPr>
                <w:rFonts w:ascii="Cambria" w:hAnsi="Cambria"/>
                <w:color w:val="000000" w:themeColor="text1"/>
                <w:sz w:val="21"/>
                <w:szCs w:val="21"/>
                <w:lang w:eastAsia="en-ID"/>
              </w:rPr>
            </w:pPr>
            <w:r w:rsidRPr="008C6427">
              <w:rPr>
                <w:rFonts w:ascii="Cambria" w:hAnsi="Cambria"/>
                <w:bCs/>
                <w:color w:val="000000" w:themeColor="text1"/>
                <w:sz w:val="21"/>
                <w:szCs w:val="21"/>
              </w:rPr>
              <w:t xml:space="preserve">Model </w:t>
            </w:r>
            <w:proofErr w:type="spellStart"/>
            <w:r w:rsidRPr="008C6427">
              <w:rPr>
                <w:rFonts w:ascii="Cambria" w:hAnsi="Cambria"/>
                <w:bCs/>
                <w:color w:val="000000" w:themeColor="text1"/>
                <w:sz w:val="21"/>
                <w:szCs w:val="21"/>
              </w:rPr>
              <w:t>Summary</w:t>
            </w:r>
            <w:r w:rsidRPr="008C6427">
              <w:rPr>
                <w:rFonts w:ascii="Cambria" w:hAnsi="Cambria"/>
                <w:bCs/>
                <w:color w:val="000000" w:themeColor="text1"/>
                <w:sz w:val="21"/>
                <w:szCs w:val="21"/>
                <w:vertAlign w:val="superscript"/>
              </w:rPr>
              <w:t>b</w:t>
            </w:r>
            <w:proofErr w:type="spellEnd"/>
          </w:p>
        </w:tc>
      </w:tr>
      <w:tr w:rsidR="008C6427" w:rsidRPr="008C6427" w14:paraId="51507BE3" w14:textId="77777777" w:rsidTr="009E5333">
        <w:trPr>
          <w:cantSplit/>
          <w:trHeight w:val="210"/>
          <w:jc w:val="center"/>
        </w:trPr>
        <w:tc>
          <w:tcPr>
            <w:tcW w:w="1261" w:type="dxa"/>
            <w:tcBorders>
              <w:top w:val="single" w:sz="4" w:space="0" w:color="auto"/>
              <w:left w:val="nil"/>
              <w:bottom w:val="single" w:sz="4" w:space="0" w:color="auto"/>
              <w:right w:val="single" w:sz="4" w:space="0" w:color="auto"/>
            </w:tcBorders>
            <w:vAlign w:val="center"/>
            <w:hideMark/>
          </w:tcPr>
          <w:p w14:paraId="67D321BB" w14:textId="77777777" w:rsidR="008C6427" w:rsidRPr="008C6427" w:rsidRDefault="008C6427" w:rsidP="009E5333">
            <w:pPr>
              <w:autoSpaceDE w:val="0"/>
              <w:autoSpaceDN w:val="0"/>
              <w:adjustRightInd w:val="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Model</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C1E59E" w14:textId="77777777" w:rsidR="008C6427" w:rsidRPr="008C6427" w:rsidRDefault="008C6427" w:rsidP="009E5333">
            <w:pPr>
              <w:autoSpaceDE w:val="0"/>
              <w:autoSpaceDN w:val="0"/>
              <w:adjustRightInd w:val="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929A58" w14:textId="77777777" w:rsidR="008C6427" w:rsidRPr="008C6427" w:rsidRDefault="008C6427" w:rsidP="009E5333">
            <w:pPr>
              <w:autoSpaceDE w:val="0"/>
              <w:autoSpaceDN w:val="0"/>
              <w:adjustRightInd w:val="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R Square</w:t>
            </w:r>
          </w:p>
        </w:tc>
        <w:tc>
          <w:tcPr>
            <w:tcW w:w="2113" w:type="dxa"/>
            <w:tcBorders>
              <w:top w:val="single" w:sz="4" w:space="0" w:color="auto"/>
              <w:left w:val="single" w:sz="4" w:space="0" w:color="auto"/>
              <w:bottom w:val="single" w:sz="4" w:space="0" w:color="auto"/>
              <w:right w:val="single" w:sz="4" w:space="0" w:color="auto"/>
            </w:tcBorders>
            <w:vAlign w:val="center"/>
            <w:hideMark/>
          </w:tcPr>
          <w:p w14:paraId="2937E16F"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Adjusted R Square</w:t>
            </w:r>
          </w:p>
        </w:tc>
        <w:tc>
          <w:tcPr>
            <w:tcW w:w="2637" w:type="dxa"/>
            <w:tcBorders>
              <w:top w:val="single" w:sz="4" w:space="0" w:color="auto"/>
              <w:left w:val="single" w:sz="4" w:space="0" w:color="auto"/>
              <w:bottom w:val="single" w:sz="4" w:space="0" w:color="auto"/>
              <w:right w:val="nil"/>
            </w:tcBorders>
            <w:vAlign w:val="center"/>
            <w:hideMark/>
          </w:tcPr>
          <w:p w14:paraId="5FD03364" w14:textId="77777777" w:rsidR="008C6427" w:rsidRPr="008C6427" w:rsidRDefault="008C6427" w:rsidP="009E5333">
            <w:pPr>
              <w:autoSpaceDE w:val="0"/>
              <w:autoSpaceDN w:val="0"/>
              <w:adjustRightInd w:val="0"/>
              <w:spacing w:after="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Std. Error of the Estimate</w:t>
            </w:r>
          </w:p>
        </w:tc>
      </w:tr>
      <w:tr w:rsidR="008C6427" w:rsidRPr="008C6427" w14:paraId="32F1D0C6" w14:textId="77777777" w:rsidTr="009E5333">
        <w:trPr>
          <w:cantSplit/>
          <w:trHeight w:val="147"/>
          <w:jc w:val="center"/>
        </w:trPr>
        <w:tc>
          <w:tcPr>
            <w:tcW w:w="1261" w:type="dxa"/>
            <w:tcBorders>
              <w:top w:val="single" w:sz="4" w:space="0" w:color="auto"/>
              <w:left w:val="nil"/>
              <w:bottom w:val="single" w:sz="4" w:space="0" w:color="auto"/>
              <w:right w:val="single" w:sz="4" w:space="0" w:color="auto"/>
            </w:tcBorders>
            <w:hideMark/>
          </w:tcPr>
          <w:p w14:paraId="17AD9746" w14:textId="77777777" w:rsidR="008C6427" w:rsidRPr="008C6427" w:rsidRDefault="008C6427" w:rsidP="009E5333">
            <w:pPr>
              <w:autoSpaceDE w:val="0"/>
              <w:autoSpaceDN w:val="0"/>
              <w:adjustRightInd w:val="0"/>
              <w:ind w:left="60" w:right="60"/>
              <w:jc w:val="center"/>
              <w:rPr>
                <w:rFonts w:ascii="Cambria" w:hAnsi="Cambria"/>
                <w:color w:val="000000" w:themeColor="text1"/>
                <w:sz w:val="21"/>
                <w:szCs w:val="21"/>
                <w:lang w:eastAsia="en-ID"/>
              </w:rPr>
            </w:pPr>
            <w:r w:rsidRPr="008C6427">
              <w:rPr>
                <w:rFonts w:ascii="Cambria" w:hAnsi="Cambria"/>
                <w:color w:val="000000" w:themeColor="text1"/>
                <w:sz w:val="21"/>
                <w:szCs w:val="21"/>
              </w:rPr>
              <w:t>1</w:t>
            </w:r>
          </w:p>
        </w:tc>
        <w:tc>
          <w:tcPr>
            <w:tcW w:w="834" w:type="dxa"/>
            <w:tcBorders>
              <w:top w:val="single" w:sz="4" w:space="0" w:color="auto"/>
              <w:left w:val="single" w:sz="4" w:space="0" w:color="auto"/>
              <w:bottom w:val="single" w:sz="4" w:space="0" w:color="auto"/>
              <w:right w:val="single" w:sz="4" w:space="0" w:color="auto"/>
            </w:tcBorders>
            <w:hideMark/>
          </w:tcPr>
          <w:p w14:paraId="799109CE" w14:textId="77777777" w:rsidR="008C6427" w:rsidRPr="008C6427" w:rsidRDefault="008C6427" w:rsidP="009E5333">
            <w:pPr>
              <w:autoSpaceDE w:val="0"/>
              <w:autoSpaceDN w:val="0"/>
              <w:adjustRightInd w:val="0"/>
              <w:ind w:left="60" w:right="60"/>
              <w:jc w:val="right"/>
              <w:rPr>
                <w:rFonts w:ascii="Cambria" w:hAnsi="Cambria"/>
                <w:color w:val="000000" w:themeColor="text1"/>
                <w:sz w:val="21"/>
                <w:szCs w:val="21"/>
                <w:lang w:eastAsia="en-ID"/>
              </w:rPr>
            </w:pPr>
            <w:r w:rsidRPr="008C6427">
              <w:rPr>
                <w:rFonts w:ascii="Cambria" w:hAnsi="Cambria"/>
                <w:color w:val="000000" w:themeColor="text1"/>
                <w:sz w:val="21"/>
                <w:szCs w:val="21"/>
              </w:rPr>
              <w:t>,973</w:t>
            </w:r>
            <w:r w:rsidRPr="008C6427">
              <w:rPr>
                <w:rFonts w:ascii="Cambria" w:hAnsi="Cambria"/>
                <w:color w:val="000000" w:themeColor="text1"/>
                <w:sz w:val="21"/>
                <w:szCs w:val="21"/>
                <w:vertAlign w:val="superscript"/>
              </w:rPr>
              <w:t>a</w:t>
            </w:r>
          </w:p>
        </w:tc>
        <w:tc>
          <w:tcPr>
            <w:tcW w:w="1350" w:type="dxa"/>
            <w:tcBorders>
              <w:top w:val="single" w:sz="4" w:space="0" w:color="auto"/>
              <w:left w:val="single" w:sz="4" w:space="0" w:color="auto"/>
              <w:bottom w:val="single" w:sz="4" w:space="0" w:color="auto"/>
              <w:right w:val="single" w:sz="4" w:space="0" w:color="auto"/>
            </w:tcBorders>
            <w:hideMark/>
          </w:tcPr>
          <w:p w14:paraId="4C321893" w14:textId="77777777" w:rsidR="008C6427" w:rsidRPr="008C6427" w:rsidRDefault="008C6427" w:rsidP="009E5333">
            <w:pPr>
              <w:autoSpaceDE w:val="0"/>
              <w:autoSpaceDN w:val="0"/>
              <w:adjustRightInd w:val="0"/>
              <w:ind w:left="60" w:right="60"/>
              <w:jc w:val="right"/>
              <w:rPr>
                <w:rFonts w:ascii="Cambria" w:hAnsi="Cambria"/>
                <w:color w:val="000000" w:themeColor="text1"/>
                <w:sz w:val="21"/>
                <w:szCs w:val="21"/>
                <w:lang w:eastAsia="en-ID"/>
              </w:rPr>
            </w:pPr>
            <w:r w:rsidRPr="008C6427">
              <w:rPr>
                <w:rFonts w:ascii="Cambria" w:hAnsi="Cambria"/>
                <w:color w:val="000000" w:themeColor="text1"/>
                <w:sz w:val="21"/>
                <w:szCs w:val="21"/>
              </w:rPr>
              <w:t>,946</w:t>
            </w:r>
          </w:p>
        </w:tc>
        <w:tc>
          <w:tcPr>
            <w:tcW w:w="2113" w:type="dxa"/>
            <w:tcBorders>
              <w:top w:val="single" w:sz="4" w:space="0" w:color="auto"/>
              <w:left w:val="single" w:sz="4" w:space="0" w:color="auto"/>
              <w:bottom w:val="single" w:sz="4" w:space="0" w:color="auto"/>
              <w:right w:val="single" w:sz="4" w:space="0" w:color="auto"/>
            </w:tcBorders>
            <w:hideMark/>
          </w:tcPr>
          <w:p w14:paraId="38E59918"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21"/>
                <w:szCs w:val="21"/>
                <w:lang w:eastAsia="en-ID"/>
              </w:rPr>
            </w:pPr>
            <w:r w:rsidRPr="008C6427">
              <w:rPr>
                <w:rFonts w:ascii="Cambria" w:hAnsi="Cambria"/>
                <w:color w:val="000000" w:themeColor="text1"/>
                <w:sz w:val="21"/>
                <w:szCs w:val="21"/>
              </w:rPr>
              <w:t>,912</w:t>
            </w:r>
          </w:p>
        </w:tc>
        <w:tc>
          <w:tcPr>
            <w:tcW w:w="2637" w:type="dxa"/>
            <w:tcBorders>
              <w:top w:val="single" w:sz="4" w:space="0" w:color="auto"/>
              <w:left w:val="single" w:sz="4" w:space="0" w:color="auto"/>
              <w:bottom w:val="single" w:sz="4" w:space="0" w:color="auto"/>
              <w:right w:val="nil"/>
            </w:tcBorders>
            <w:hideMark/>
          </w:tcPr>
          <w:p w14:paraId="5B2EF174" w14:textId="77777777" w:rsidR="008C6427" w:rsidRPr="008C6427" w:rsidRDefault="008C6427" w:rsidP="009E5333">
            <w:pPr>
              <w:autoSpaceDE w:val="0"/>
              <w:autoSpaceDN w:val="0"/>
              <w:adjustRightInd w:val="0"/>
              <w:spacing w:after="0"/>
              <w:ind w:left="60" w:right="60"/>
              <w:jc w:val="right"/>
              <w:rPr>
                <w:rFonts w:ascii="Cambria" w:hAnsi="Cambria"/>
                <w:color w:val="000000" w:themeColor="text1"/>
                <w:sz w:val="21"/>
                <w:szCs w:val="21"/>
                <w:lang w:eastAsia="en-ID"/>
              </w:rPr>
            </w:pPr>
            <w:r w:rsidRPr="008C6427">
              <w:rPr>
                <w:rFonts w:ascii="Cambria" w:hAnsi="Cambria"/>
                <w:color w:val="000000" w:themeColor="text1"/>
                <w:sz w:val="21"/>
                <w:szCs w:val="21"/>
              </w:rPr>
              <w:t>,04416</w:t>
            </w:r>
          </w:p>
        </w:tc>
      </w:tr>
      <w:tr w:rsidR="008C6427" w:rsidRPr="008C6427" w14:paraId="7DECAD93" w14:textId="77777777" w:rsidTr="009E5333">
        <w:trPr>
          <w:cantSplit/>
          <w:trHeight w:val="156"/>
          <w:jc w:val="center"/>
        </w:trPr>
        <w:tc>
          <w:tcPr>
            <w:tcW w:w="8195" w:type="dxa"/>
            <w:gridSpan w:val="5"/>
            <w:tcBorders>
              <w:top w:val="single" w:sz="4" w:space="0" w:color="auto"/>
              <w:left w:val="nil"/>
              <w:bottom w:val="single" w:sz="4" w:space="0" w:color="auto"/>
              <w:right w:val="nil"/>
            </w:tcBorders>
            <w:hideMark/>
          </w:tcPr>
          <w:p w14:paraId="01E30969" w14:textId="77777777" w:rsidR="008C6427" w:rsidRPr="008C6427" w:rsidRDefault="008C6427" w:rsidP="009E5333">
            <w:pPr>
              <w:autoSpaceDE w:val="0"/>
              <w:autoSpaceDN w:val="0"/>
              <w:adjustRightInd w:val="0"/>
              <w:spacing w:after="0"/>
              <w:ind w:left="60" w:right="60"/>
              <w:rPr>
                <w:rFonts w:ascii="Cambria" w:hAnsi="Cambria"/>
                <w:color w:val="000000" w:themeColor="text1"/>
                <w:sz w:val="21"/>
                <w:szCs w:val="21"/>
                <w:lang w:eastAsia="en-ID"/>
              </w:rPr>
            </w:pPr>
            <w:r w:rsidRPr="008C6427">
              <w:rPr>
                <w:rFonts w:ascii="Cambria" w:hAnsi="Cambria"/>
                <w:color w:val="000000" w:themeColor="text1"/>
                <w:sz w:val="21"/>
                <w:szCs w:val="21"/>
              </w:rPr>
              <w:t>a. Predictors: (Constant), KOX5, LINGX3, PIX4, KPX1, SDPX2</w:t>
            </w:r>
          </w:p>
        </w:tc>
      </w:tr>
      <w:tr w:rsidR="008C6427" w:rsidRPr="008C6427" w14:paraId="55CDF5EB" w14:textId="77777777" w:rsidTr="009E5333">
        <w:trPr>
          <w:cantSplit/>
          <w:trHeight w:val="165"/>
          <w:jc w:val="center"/>
        </w:trPr>
        <w:tc>
          <w:tcPr>
            <w:tcW w:w="8195" w:type="dxa"/>
            <w:gridSpan w:val="5"/>
            <w:tcBorders>
              <w:top w:val="single" w:sz="4" w:space="0" w:color="auto"/>
              <w:left w:val="nil"/>
              <w:bottom w:val="single" w:sz="4" w:space="0" w:color="auto"/>
              <w:right w:val="nil"/>
            </w:tcBorders>
            <w:hideMark/>
          </w:tcPr>
          <w:p w14:paraId="7BCBD597" w14:textId="77777777" w:rsidR="008C6427" w:rsidRPr="008C6427" w:rsidRDefault="008C6427" w:rsidP="009E5333">
            <w:pPr>
              <w:autoSpaceDE w:val="0"/>
              <w:autoSpaceDN w:val="0"/>
              <w:adjustRightInd w:val="0"/>
              <w:spacing w:after="0"/>
              <w:ind w:left="60" w:right="60"/>
              <w:rPr>
                <w:rFonts w:ascii="Cambria" w:hAnsi="Cambria"/>
                <w:color w:val="000000" w:themeColor="text1"/>
                <w:sz w:val="21"/>
                <w:szCs w:val="21"/>
                <w:lang w:eastAsia="en-ID"/>
              </w:rPr>
            </w:pPr>
            <w:r w:rsidRPr="008C6427">
              <w:rPr>
                <w:rFonts w:ascii="Cambria" w:hAnsi="Cambria"/>
                <w:color w:val="000000" w:themeColor="text1"/>
                <w:sz w:val="21"/>
                <w:szCs w:val="21"/>
              </w:rPr>
              <w:t>b. Dependent Variable: PFY</w:t>
            </w:r>
          </w:p>
        </w:tc>
      </w:tr>
    </w:tbl>
    <w:p w14:paraId="59602025" w14:textId="77777777" w:rsidR="008C6427" w:rsidRPr="008C6427" w:rsidRDefault="008C6427" w:rsidP="008C6427">
      <w:pPr>
        <w:spacing w:after="0" w:line="240" w:lineRule="auto"/>
        <w:jc w:val="both"/>
        <w:rPr>
          <w:rFonts w:ascii="Cambria" w:eastAsia="Times New Roman" w:hAnsi="Cambria"/>
          <w:sz w:val="21"/>
          <w:szCs w:val="21"/>
        </w:rPr>
      </w:pPr>
    </w:p>
    <w:p w14:paraId="096A936C" w14:textId="77777777" w:rsidR="00FF45B1" w:rsidRDefault="008C6427" w:rsidP="00FF45B1">
      <w:pPr>
        <w:spacing w:after="0" w:line="240" w:lineRule="auto"/>
        <w:ind w:firstLine="567"/>
        <w:jc w:val="both"/>
        <w:rPr>
          <w:rFonts w:ascii="Cambria" w:hAnsi="Cambria"/>
          <w:sz w:val="21"/>
          <w:szCs w:val="21"/>
        </w:rPr>
      </w:pPr>
      <w:r w:rsidRPr="008C6427">
        <w:rPr>
          <w:rFonts w:ascii="Cambria" w:hAnsi="Cambria"/>
          <w:sz w:val="21"/>
          <w:szCs w:val="21"/>
        </w:rPr>
        <w:t>The R</w:t>
      </w:r>
      <w:r w:rsidRPr="008C6427">
        <w:rPr>
          <w:rFonts w:ascii="Cambria" w:hAnsi="Cambria"/>
          <w:sz w:val="21"/>
          <w:szCs w:val="21"/>
          <w:vertAlign w:val="superscript"/>
        </w:rPr>
        <w:t>2</w:t>
      </w:r>
      <w:r w:rsidRPr="008C6427">
        <w:rPr>
          <w:rFonts w:ascii="Cambria" w:hAnsi="Cambria"/>
          <w:sz w:val="21"/>
          <w:szCs w:val="21"/>
        </w:rPr>
        <w:t xml:space="preserve"> test obtained the adjusted R</w:t>
      </w:r>
      <w:r w:rsidRPr="008C6427">
        <w:rPr>
          <w:rFonts w:ascii="Cambria" w:hAnsi="Cambria"/>
          <w:sz w:val="21"/>
          <w:szCs w:val="21"/>
          <w:vertAlign w:val="superscript"/>
        </w:rPr>
        <w:t>2</w:t>
      </w:r>
      <w:r w:rsidRPr="008C6427">
        <w:rPr>
          <w:rFonts w:ascii="Cambria" w:hAnsi="Cambria"/>
          <w:sz w:val="21"/>
          <w:szCs w:val="21"/>
        </w:rPr>
        <w:t xml:space="preserve"> value of 0.946 or 94.6%. It shows that the prevention of procurement fraud can be explained by 94.6% by the independent variables, namely the quality of the team, systems and procedures, environment, internal control, and organizational commitment, while 5.4% of the variation in the prevention of procurement fraud is explained by variables outside independent variables of this study</w:t>
      </w:r>
      <w:r w:rsidR="00FF45B1">
        <w:rPr>
          <w:rFonts w:ascii="Cambria" w:hAnsi="Cambria"/>
          <w:sz w:val="21"/>
          <w:szCs w:val="21"/>
        </w:rPr>
        <w:t>.</w:t>
      </w:r>
    </w:p>
    <w:p w14:paraId="01B3616C" w14:textId="58A64A9C" w:rsidR="008C6427" w:rsidRPr="00FF45B1" w:rsidRDefault="008C6427" w:rsidP="00FF45B1">
      <w:pPr>
        <w:spacing w:after="0" w:line="240" w:lineRule="auto"/>
        <w:ind w:firstLine="567"/>
        <w:jc w:val="both"/>
        <w:rPr>
          <w:rFonts w:ascii="Cambria" w:hAnsi="Cambria"/>
          <w:sz w:val="21"/>
          <w:szCs w:val="21"/>
        </w:rPr>
      </w:pPr>
      <w:r w:rsidRPr="008C6427">
        <w:rPr>
          <w:rFonts w:ascii="Cambria" w:hAnsi="Cambria"/>
          <w:sz w:val="21"/>
          <w:szCs w:val="21"/>
        </w:rPr>
        <w:t xml:space="preserve">The results of the internal control hypothesis test have a negative effect on the prevention of procurement fraud. The hypothesis testing results are equal to -0.038 because the column value Sig. is smaller than α (0.05). It shows that the quality of the team at the hospital has carried out its activities such as integrity, competence and objectivity, and independence well. However, this condition explains that it results in a decrease in fraud prevention because the quality of the committee does not guarantee that it will increase the prevention of fraud in the procurement of goods/services. </w:t>
      </w:r>
    </w:p>
    <w:p w14:paraId="6CE6C175" w14:textId="77777777" w:rsidR="00FF45B1" w:rsidRDefault="008C6427" w:rsidP="00FF45B1">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 xml:space="preserve">The results of this study follow the research conducted by Sari &amp; </w:t>
      </w:r>
      <w:proofErr w:type="spellStart"/>
      <w:r w:rsidRPr="008C6427">
        <w:rPr>
          <w:rFonts w:ascii="Cambria" w:hAnsi="Cambria"/>
          <w:sz w:val="21"/>
          <w:szCs w:val="21"/>
        </w:rPr>
        <w:t>Suwarsana</w:t>
      </w:r>
      <w:proofErr w:type="spellEnd"/>
      <w:r w:rsidRPr="008C6427">
        <w:rPr>
          <w:rFonts w:ascii="Cambria" w:hAnsi="Cambria"/>
          <w:sz w:val="21"/>
          <w:szCs w:val="21"/>
        </w:rPr>
        <w:t xml:space="preserve"> (2020), researching the analysis of the factors that affect fraud in the procurement of goods/services in village government agencies in the </w:t>
      </w:r>
      <w:proofErr w:type="spellStart"/>
      <w:r w:rsidRPr="008C6427">
        <w:rPr>
          <w:rFonts w:ascii="Cambria" w:hAnsi="Cambria"/>
          <w:sz w:val="21"/>
          <w:szCs w:val="21"/>
        </w:rPr>
        <w:t>Badung</w:t>
      </w:r>
      <w:proofErr w:type="spellEnd"/>
      <w:r w:rsidRPr="008C6427">
        <w:rPr>
          <w:rFonts w:ascii="Cambria" w:hAnsi="Cambria"/>
          <w:sz w:val="21"/>
          <w:szCs w:val="21"/>
        </w:rPr>
        <w:t xml:space="preserve"> district. The results of this study indicate that the quality of the procurement committee, procurement ethics, procurement systems, and procedures have a negative effect. However, compensation for the procurement committee and the procurement environment does not affect the village government's fraudulent procurement of goods and services. It is also in line with </w:t>
      </w:r>
      <w:proofErr w:type="spellStart"/>
      <w:r w:rsidRPr="008C6427">
        <w:rPr>
          <w:rFonts w:ascii="Cambria" w:hAnsi="Cambria"/>
          <w:sz w:val="21"/>
          <w:szCs w:val="21"/>
        </w:rPr>
        <w:t>Nurharjanti's</w:t>
      </w:r>
      <w:proofErr w:type="spellEnd"/>
      <w:r w:rsidRPr="008C6427">
        <w:rPr>
          <w:rFonts w:ascii="Cambria" w:hAnsi="Cambria"/>
          <w:sz w:val="21"/>
          <w:szCs w:val="21"/>
        </w:rPr>
        <w:t xml:space="preserve"> research (2017) which finds that the quality of the procurement committee affects fraud in the procurement of goods/services in the scope of state universities. In the context of preventing fraud, government agencies must form a procurement committee team that has integrity, competence and is objective and independent. </w:t>
      </w:r>
    </w:p>
    <w:p w14:paraId="488B3714" w14:textId="6B989EA9" w:rsidR="008C6427" w:rsidRPr="008C6427" w:rsidRDefault="008C6427" w:rsidP="00FF45B1">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The hypothesis test of organizational commitment has a positive influence on the prevention of procurement fraud. The results of hypothesis testing are equal to 0.002 because the column value Sig. is smaller than α (0.05). It shows that the system and procedures in the hospital have carried out their activities such as transparency, economy, efficiency, and punctuality, as well as fairness and equity so that they can reduce and prevent fraud in the procurement of goods. With better systems and procedures, it will increase the prevention of fraud in the procurement of goods/services</w:t>
      </w:r>
      <w:r w:rsidRPr="008C6427">
        <w:rPr>
          <w:rFonts w:ascii="Cambria" w:hAnsi="Cambria"/>
          <w:b/>
          <w:bCs/>
          <w:sz w:val="21"/>
          <w:szCs w:val="21"/>
        </w:rPr>
        <w:t>.</w:t>
      </w:r>
    </w:p>
    <w:p w14:paraId="1FCCD5E8" w14:textId="590BAEA8" w:rsidR="008C6427" w:rsidRPr="008C6427" w:rsidRDefault="008C6427" w:rsidP="008C6427">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The results of this study are the following research conducted by (</w:t>
      </w:r>
      <w:proofErr w:type="spellStart"/>
      <w:r w:rsidRPr="008C6427">
        <w:rPr>
          <w:rFonts w:ascii="Cambria" w:hAnsi="Cambria"/>
          <w:sz w:val="21"/>
          <w:szCs w:val="21"/>
        </w:rPr>
        <w:t>Nurharjanti</w:t>
      </w:r>
      <w:proofErr w:type="spellEnd"/>
      <w:r w:rsidRPr="008C6427">
        <w:rPr>
          <w:rFonts w:ascii="Cambria" w:hAnsi="Cambria"/>
          <w:sz w:val="21"/>
          <w:szCs w:val="21"/>
        </w:rPr>
        <w:t xml:space="preserve"> &amp; Tengah, 2017), researching the analysis of factors that affect fraud in the procurement of goods/services in the environment in public institutions. The study results explain that the quality of the procurement committee, quality of suppliers, procurement systems and procedures, and risk assessment have a negative effect on fraud in the procurement of goods/services. Meanwhile, ethics and the procurement framework have no effect on fraud in the procurement of goods/services. To support these results, research by </w:t>
      </w:r>
      <w:proofErr w:type="spellStart"/>
      <w:r w:rsidRPr="008C6427">
        <w:rPr>
          <w:rFonts w:ascii="Cambria" w:hAnsi="Cambria"/>
          <w:sz w:val="21"/>
          <w:szCs w:val="21"/>
        </w:rPr>
        <w:t>Rian</w:t>
      </w:r>
      <w:proofErr w:type="spellEnd"/>
      <w:r w:rsidRPr="008C6427">
        <w:rPr>
          <w:rFonts w:ascii="Cambria" w:hAnsi="Cambria"/>
          <w:sz w:val="21"/>
          <w:szCs w:val="21"/>
        </w:rPr>
        <w:t xml:space="preserve"> et al. (2020) suggests that systems and procedures affect fraud prevention in </w:t>
      </w:r>
      <w:proofErr w:type="spellStart"/>
      <w:r w:rsidRPr="008C6427">
        <w:rPr>
          <w:rFonts w:ascii="Cambria" w:hAnsi="Cambria"/>
          <w:sz w:val="21"/>
          <w:szCs w:val="21"/>
        </w:rPr>
        <w:t>Beleleng</w:t>
      </w:r>
      <w:proofErr w:type="spellEnd"/>
      <w:r w:rsidRPr="008C6427">
        <w:rPr>
          <w:rFonts w:ascii="Cambria" w:hAnsi="Cambria"/>
          <w:sz w:val="21"/>
          <w:szCs w:val="21"/>
        </w:rPr>
        <w:t xml:space="preserve"> Regency. In the context of preventing fraud, government agencies must design systems and procedures for procurement of goods that are transparent, economical, efficient, and timely, with fairness and equity</w:t>
      </w:r>
      <w:r w:rsidR="00FF45B1">
        <w:rPr>
          <w:rFonts w:ascii="Cambria" w:hAnsi="Cambria"/>
          <w:sz w:val="21"/>
          <w:szCs w:val="21"/>
        </w:rPr>
        <w:t>.</w:t>
      </w:r>
    </w:p>
    <w:p w14:paraId="1036DE61" w14:textId="77777777" w:rsidR="008C6427" w:rsidRPr="008C6427" w:rsidRDefault="008C6427" w:rsidP="008C6427">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w:t>
      </w:r>
    </w:p>
    <w:p w14:paraId="604AFCFE" w14:textId="77777777" w:rsidR="008C6427" w:rsidRPr="008C6427" w:rsidRDefault="008C6427" w:rsidP="008C6427">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lastRenderedPageBreak/>
        <w:t>Based on the hypothesis test results, the procurement environment has a positive influence on the prevention of procurement fraud. The results of hypothesis testing are equal to 0.033 because the column value Sig. is smaller than (0.05). It shows that the procurement environment in the hospital has carried out its activities, such as the internal and external environment, properly so that it can reduce and prevent fraud in the procurement of goods. The better the procurement environment will increase the prevention of fraud in the procurement of goods/services.</w:t>
      </w:r>
    </w:p>
    <w:p w14:paraId="7A10B6D5" w14:textId="77777777" w:rsidR="00FF45B1" w:rsidRDefault="008C6427" w:rsidP="00FF45B1">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 xml:space="preserve">The results of this study follow </w:t>
      </w:r>
      <w:proofErr w:type="spellStart"/>
      <w:r w:rsidRPr="008C6427">
        <w:rPr>
          <w:rFonts w:ascii="Cambria" w:hAnsi="Cambria"/>
          <w:sz w:val="21"/>
          <w:szCs w:val="21"/>
        </w:rPr>
        <w:t>Nurharjanti's</w:t>
      </w:r>
      <w:proofErr w:type="spellEnd"/>
      <w:r w:rsidRPr="008C6427">
        <w:rPr>
          <w:rFonts w:ascii="Cambria" w:hAnsi="Cambria"/>
          <w:sz w:val="21"/>
          <w:szCs w:val="21"/>
        </w:rPr>
        <w:t xml:space="preserve"> research (2017) which finds that the procurement environment affects fraud in the procurement of goods/services in the scope of state universities. This study explains that the system and procedures for the procurement of goods/services affect fraud. To support these results, </w:t>
      </w:r>
      <w:proofErr w:type="spellStart"/>
      <w:r w:rsidRPr="008C6427">
        <w:rPr>
          <w:rFonts w:ascii="Cambria" w:hAnsi="Cambria"/>
          <w:sz w:val="21"/>
          <w:szCs w:val="21"/>
        </w:rPr>
        <w:t>Budiarti</w:t>
      </w:r>
      <w:proofErr w:type="spellEnd"/>
      <w:r w:rsidRPr="008C6427">
        <w:rPr>
          <w:rFonts w:ascii="Cambria" w:hAnsi="Cambria"/>
          <w:sz w:val="21"/>
          <w:szCs w:val="21"/>
        </w:rPr>
        <w:t xml:space="preserve"> &amp; </w:t>
      </w:r>
      <w:proofErr w:type="spellStart"/>
      <w:r w:rsidRPr="008C6427">
        <w:rPr>
          <w:rFonts w:ascii="Cambria" w:hAnsi="Cambria"/>
          <w:sz w:val="21"/>
          <w:szCs w:val="21"/>
        </w:rPr>
        <w:t>Rahayu</w:t>
      </w:r>
      <w:proofErr w:type="spellEnd"/>
      <w:r w:rsidRPr="008C6427">
        <w:rPr>
          <w:rFonts w:ascii="Cambria" w:hAnsi="Cambria"/>
          <w:sz w:val="21"/>
          <w:szCs w:val="21"/>
        </w:rPr>
        <w:t xml:space="preserve"> (2019) research stated that the procurement environment affects fraud prevention in DKI Jakarta Province in the Procurement Service Unit, Procurement Officer, and Commitment Making Officer. In the context of preventing fraud, government agencies must create an excellent internal and external environment.</w:t>
      </w:r>
    </w:p>
    <w:p w14:paraId="24D2B2A0" w14:textId="77777777" w:rsidR="00FF45B1" w:rsidRDefault="008C6427" w:rsidP="00FF45B1">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 xml:space="preserve">Based on the results of hypothesis testing, internal control has a positive influence on the prevention of procurement fraud. The results of hypothesis testing are equal to 0.012 because the column value Sig. is smaller than (0.05). It shows that the internal control in the hospital has carried out its activities such as control environment, risk assessment, communication and accounting information systems, control activities, and monitoring properly to reduce and prevent procurement fraud. Better internal control will increase the prevention of fraud in the procurement of goods/services. The results of this study follow research conducted by </w:t>
      </w:r>
      <w:proofErr w:type="spellStart"/>
      <w:r w:rsidRPr="008C6427">
        <w:rPr>
          <w:rFonts w:ascii="Cambria" w:hAnsi="Cambria"/>
          <w:sz w:val="21"/>
          <w:szCs w:val="21"/>
        </w:rPr>
        <w:t>Ismuadi</w:t>
      </w:r>
      <w:proofErr w:type="spellEnd"/>
      <w:r w:rsidRPr="008C6427">
        <w:rPr>
          <w:rFonts w:ascii="Cambria" w:hAnsi="Cambria"/>
          <w:sz w:val="21"/>
          <w:szCs w:val="21"/>
        </w:rPr>
        <w:t xml:space="preserve"> &amp; </w:t>
      </w:r>
      <w:proofErr w:type="spellStart"/>
      <w:r w:rsidRPr="008C6427">
        <w:rPr>
          <w:rFonts w:ascii="Cambria" w:hAnsi="Cambria"/>
          <w:sz w:val="21"/>
          <w:szCs w:val="21"/>
        </w:rPr>
        <w:t>Saputra</w:t>
      </w:r>
      <w:proofErr w:type="spellEnd"/>
      <w:r w:rsidRPr="008C6427">
        <w:rPr>
          <w:rFonts w:ascii="Cambria" w:hAnsi="Cambria"/>
          <w:sz w:val="21"/>
          <w:szCs w:val="21"/>
        </w:rPr>
        <w:t xml:space="preserve"> (2016), proving that internal control affects fraud in the National Program for Rural Community Empowerment (PNPM </w:t>
      </w:r>
      <w:proofErr w:type="spellStart"/>
      <w:r w:rsidRPr="008C6427">
        <w:rPr>
          <w:rFonts w:ascii="Cambria" w:hAnsi="Cambria"/>
          <w:sz w:val="21"/>
          <w:szCs w:val="21"/>
        </w:rPr>
        <w:t>MPd</w:t>
      </w:r>
      <w:proofErr w:type="spellEnd"/>
      <w:r w:rsidRPr="008C6427">
        <w:rPr>
          <w:rFonts w:ascii="Cambria" w:hAnsi="Cambria"/>
          <w:sz w:val="21"/>
          <w:szCs w:val="21"/>
        </w:rPr>
        <w:t xml:space="preserve">) in Aceh Province. In line with this research, </w:t>
      </w:r>
      <w:proofErr w:type="spellStart"/>
      <w:r w:rsidRPr="008C6427">
        <w:rPr>
          <w:rFonts w:ascii="Cambria" w:hAnsi="Cambria"/>
          <w:sz w:val="21"/>
          <w:szCs w:val="21"/>
        </w:rPr>
        <w:t>Kurrohman</w:t>
      </w:r>
      <w:proofErr w:type="spellEnd"/>
      <w:r w:rsidRPr="008C6427">
        <w:rPr>
          <w:rFonts w:ascii="Cambria" w:hAnsi="Cambria"/>
          <w:sz w:val="21"/>
          <w:szCs w:val="21"/>
        </w:rPr>
        <w:t xml:space="preserve"> &amp; </w:t>
      </w:r>
      <w:proofErr w:type="spellStart"/>
      <w:r w:rsidRPr="008C6427">
        <w:rPr>
          <w:rFonts w:ascii="Cambria" w:hAnsi="Cambria"/>
          <w:sz w:val="21"/>
          <w:szCs w:val="21"/>
        </w:rPr>
        <w:t>Widyayanti</w:t>
      </w:r>
      <w:proofErr w:type="spellEnd"/>
      <w:r w:rsidRPr="008C6427">
        <w:rPr>
          <w:rFonts w:ascii="Cambria" w:hAnsi="Cambria"/>
          <w:sz w:val="21"/>
          <w:szCs w:val="21"/>
        </w:rPr>
        <w:t xml:space="preserve"> (2018) found that internal control has a negative effect on the tendency of fraud in financial employees at PTKIN (state Islamic religious college). Thus, it is necessary to pay attention to internal control to reduce and prevent fraud in the procurement of goods</w:t>
      </w:r>
      <w:r w:rsidRPr="008C6427">
        <w:rPr>
          <w:rFonts w:ascii="Cambria" w:hAnsi="Cambria"/>
          <w:iCs/>
          <w:sz w:val="21"/>
          <w:szCs w:val="21"/>
        </w:rPr>
        <w:t>.</w:t>
      </w:r>
    </w:p>
    <w:p w14:paraId="3ED4430F" w14:textId="421B6E4E" w:rsidR="008C6427" w:rsidRPr="008C6427" w:rsidRDefault="008C6427" w:rsidP="00FF45B1">
      <w:pPr>
        <w:autoSpaceDE w:val="0"/>
        <w:autoSpaceDN w:val="0"/>
        <w:adjustRightInd w:val="0"/>
        <w:spacing w:after="0" w:line="240" w:lineRule="auto"/>
        <w:ind w:firstLine="450"/>
        <w:jc w:val="both"/>
        <w:rPr>
          <w:rFonts w:ascii="Cambria" w:hAnsi="Cambria"/>
          <w:sz w:val="21"/>
          <w:szCs w:val="21"/>
        </w:rPr>
      </w:pPr>
      <w:r w:rsidRPr="008C6427">
        <w:rPr>
          <w:rFonts w:ascii="Cambria" w:hAnsi="Cambria"/>
          <w:sz w:val="21"/>
          <w:szCs w:val="21"/>
        </w:rPr>
        <w:t>Based on the results of hypothesis testing, internal control has a positive influence on the prevention of procurement fraud. The results of hypothesis testing are equal to 0.119 because the column value Sig. is smaller than (0.05). This shows that the organizational commitment in the hospital has carried out its activities such as affective commitment, ongoing commitment, and normative commitment so that it can reduce and prevent fraud in the procurement of goods. The better the commitment will increase the prevention of fraud in the procurement of goods/services.</w:t>
      </w:r>
    </w:p>
    <w:p w14:paraId="701D6BDD" w14:textId="77777777" w:rsidR="008C6427" w:rsidRPr="008C6427" w:rsidRDefault="008C6427" w:rsidP="008C6427">
      <w:pPr>
        <w:autoSpaceDE w:val="0"/>
        <w:autoSpaceDN w:val="0"/>
        <w:adjustRightInd w:val="0"/>
        <w:spacing w:after="0" w:line="240" w:lineRule="auto"/>
        <w:ind w:firstLine="450"/>
        <w:jc w:val="both"/>
        <w:rPr>
          <w:rFonts w:ascii="Cambria" w:hAnsi="Cambria"/>
          <w:b/>
          <w:sz w:val="21"/>
          <w:szCs w:val="21"/>
        </w:rPr>
      </w:pPr>
      <w:r w:rsidRPr="008C6427">
        <w:rPr>
          <w:rFonts w:ascii="Cambria" w:hAnsi="Cambria"/>
          <w:sz w:val="21"/>
          <w:szCs w:val="21"/>
        </w:rPr>
        <w:t xml:space="preserve">The results of this study are the following research conducted by </w:t>
      </w:r>
      <w:proofErr w:type="spellStart"/>
      <w:r w:rsidRPr="008C6427">
        <w:rPr>
          <w:rFonts w:ascii="Cambria" w:hAnsi="Cambria"/>
          <w:sz w:val="21"/>
          <w:szCs w:val="21"/>
        </w:rPr>
        <w:t>Ismuadi</w:t>
      </w:r>
      <w:proofErr w:type="spellEnd"/>
      <w:r w:rsidRPr="008C6427">
        <w:rPr>
          <w:rFonts w:ascii="Cambria" w:hAnsi="Cambria"/>
          <w:sz w:val="21"/>
          <w:szCs w:val="21"/>
        </w:rPr>
        <w:t xml:space="preserve"> &amp; </w:t>
      </w:r>
      <w:proofErr w:type="spellStart"/>
      <w:r w:rsidRPr="008C6427">
        <w:rPr>
          <w:rFonts w:ascii="Cambria" w:hAnsi="Cambria"/>
          <w:sz w:val="21"/>
          <w:szCs w:val="21"/>
        </w:rPr>
        <w:t>Saputra</w:t>
      </w:r>
      <w:proofErr w:type="spellEnd"/>
      <w:r w:rsidRPr="008C6427">
        <w:rPr>
          <w:rFonts w:ascii="Cambria" w:hAnsi="Cambria"/>
          <w:sz w:val="21"/>
          <w:szCs w:val="21"/>
        </w:rPr>
        <w:t xml:space="preserve"> (2016), proving that organizational commitment affects fraud in the National Program for Rural Community Empowerment (PNPM </w:t>
      </w:r>
      <w:proofErr w:type="spellStart"/>
      <w:r w:rsidRPr="008C6427">
        <w:rPr>
          <w:rFonts w:ascii="Cambria" w:hAnsi="Cambria"/>
          <w:sz w:val="21"/>
          <w:szCs w:val="21"/>
        </w:rPr>
        <w:t>MPd</w:t>
      </w:r>
      <w:proofErr w:type="spellEnd"/>
      <w:r w:rsidRPr="008C6427">
        <w:rPr>
          <w:rFonts w:ascii="Cambria" w:hAnsi="Cambria"/>
          <w:sz w:val="21"/>
          <w:szCs w:val="21"/>
        </w:rPr>
        <w:t xml:space="preserve">) in Aceh Province. In line with this research, Natalia &amp; </w:t>
      </w:r>
      <w:proofErr w:type="spellStart"/>
      <w:r w:rsidRPr="008C6427">
        <w:rPr>
          <w:rFonts w:ascii="Cambria" w:hAnsi="Cambria"/>
          <w:sz w:val="21"/>
          <w:szCs w:val="21"/>
        </w:rPr>
        <w:t>Coryanata</w:t>
      </w:r>
      <w:proofErr w:type="spellEnd"/>
      <w:r w:rsidRPr="008C6427">
        <w:rPr>
          <w:rFonts w:ascii="Cambria" w:hAnsi="Cambria"/>
          <w:sz w:val="21"/>
          <w:szCs w:val="21"/>
        </w:rPr>
        <w:t xml:space="preserve"> (2019) also revealed that organizational commitment has a negative effect on the tendency of fraud in finance companies in the city of Bengkulu. Thus, government agencies must build commitments that are effective, sustainable, and normative so that they can reduce and prevent fraud in the procurement of goods.</w:t>
      </w:r>
    </w:p>
    <w:p w14:paraId="20FE3CA9" w14:textId="62AED2A5" w:rsidR="00D97972" w:rsidRDefault="00D97972" w:rsidP="00D97972">
      <w:pPr>
        <w:pStyle w:val="07HEADA"/>
        <w:rPr>
          <w:rFonts w:eastAsia="Cambria"/>
        </w:rPr>
      </w:pPr>
      <w:r>
        <w:rPr>
          <w:rFonts w:eastAsia="Cambria"/>
        </w:rPr>
        <w:t>CONCLUSION</w:t>
      </w:r>
    </w:p>
    <w:p w14:paraId="17CB66CD" w14:textId="77777777" w:rsidR="008C6427" w:rsidRDefault="008C6427" w:rsidP="008C6427">
      <w:pPr>
        <w:spacing w:after="0" w:line="240" w:lineRule="auto"/>
        <w:ind w:firstLine="720"/>
        <w:jc w:val="both"/>
        <w:rPr>
          <w:rFonts w:ascii="Cambria" w:hAnsi="Cambria"/>
          <w:iCs/>
          <w:sz w:val="21"/>
          <w:szCs w:val="21"/>
        </w:rPr>
      </w:pPr>
      <w:r w:rsidRPr="008C6427">
        <w:rPr>
          <w:rFonts w:ascii="Cambria" w:hAnsi="Cambria"/>
          <w:iCs/>
          <w:sz w:val="21"/>
          <w:szCs w:val="21"/>
        </w:rPr>
        <w:t xml:space="preserve">Based on the results of this study, it can be concluded that the quality of the committee, systems and procedures, environment, internal control, and organizational commitment affect the prevention of fraud in the procurement of goods in hospitals in Maluku province. The quality of the committee team that carries out integrity, competence, objectivity, and independence in the procurement process will prevent fraud. Systems and procedures must be implemented in a transparent, economical, efficient, and timely manner, with fairness and equity to prevent fraud. </w:t>
      </w:r>
      <w:r w:rsidRPr="008C6427">
        <w:rPr>
          <w:rFonts w:ascii="Cambria" w:hAnsi="Cambria"/>
          <w:iCs/>
          <w:sz w:val="21"/>
          <w:szCs w:val="21"/>
        </w:rPr>
        <w:lastRenderedPageBreak/>
        <w:t xml:space="preserve">The procurement environment must pay attention to internal and external factors which will influence fraud prevention. </w:t>
      </w:r>
    </w:p>
    <w:p w14:paraId="4866DA29" w14:textId="77777777" w:rsidR="008C6427" w:rsidRDefault="008C6427" w:rsidP="008C6427">
      <w:pPr>
        <w:spacing w:after="0" w:line="240" w:lineRule="auto"/>
        <w:ind w:firstLine="720"/>
        <w:jc w:val="both"/>
        <w:rPr>
          <w:rFonts w:ascii="Cambria" w:hAnsi="Cambria"/>
          <w:iCs/>
          <w:sz w:val="21"/>
          <w:szCs w:val="21"/>
        </w:rPr>
      </w:pPr>
      <w:r w:rsidRPr="008C6427">
        <w:rPr>
          <w:rFonts w:ascii="Cambria" w:hAnsi="Cambria"/>
          <w:iCs/>
          <w:sz w:val="21"/>
          <w:szCs w:val="21"/>
        </w:rPr>
        <w:t xml:space="preserve">Internal control must be carried out properly by taking into account the problems of the control environment, risk assessment, communication and accounting information systems, control activities, and monitoring correctly to reduce and prevent procurement fraud. Lastly, an organizational commitment must be practical, sustainable, and normative to prevent procurement fraud. </w:t>
      </w:r>
    </w:p>
    <w:p w14:paraId="4A467F60" w14:textId="77777777" w:rsidR="008C6427" w:rsidRDefault="008C6427" w:rsidP="008C6427">
      <w:pPr>
        <w:spacing w:after="0" w:line="240" w:lineRule="auto"/>
        <w:ind w:firstLine="720"/>
        <w:jc w:val="both"/>
        <w:rPr>
          <w:rFonts w:ascii="Cambria" w:hAnsi="Cambria"/>
          <w:iCs/>
          <w:sz w:val="21"/>
          <w:szCs w:val="21"/>
        </w:rPr>
      </w:pPr>
      <w:r w:rsidRPr="008C6427">
        <w:rPr>
          <w:rFonts w:ascii="Cambria" w:hAnsi="Cambria"/>
          <w:iCs/>
          <w:sz w:val="21"/>
          <w:szCs w:val="21"/>
        </w:rPr>
        <w:t>The limitations of this research are, 1) The sample of this study was only conducted at government public hospitals so it could not show the overall picture of hospitals in Maluku province, 2) This study emphasized testing of research variables during the Covid-19 period (extraordinary conditions), 3) The Covid-19 pandemic condition makes the process of collecting data from respondents experiencing difficulties.</w:t>
      </w:r>
    </w:p>
    <w:p w14:paraId="5613F1AB" w14:textId="0D916C75" w:rsidR="008C6427" w:rsidRPr="008C6427" w:rsidRDefault="008C6427" w:rsidP="008C6427">
      <w:pPr>
        <w:spacing w:after="0" w:line="240" w:lineRule="auto"/>
        <w:ind w:firstLine="720"/>
        <w:jc w:val="both"/>
        <w:rPr>
          <w:rFonts w:ascii="Cambria" w:eastAsia="Cambria" w:hAnsi="Cambria" w:cs="Cambria"/>
          <w:color w:val="000000"/>
          <w:sz w:val="21"/>
          <w:szCs w:val="21"/>
        </w:rPr>
      </w:pPr>
      <w:r w:rsidRPr="008C6427">
        <w:rPr>
          <w:rFonts w:ascii="Cambria" w:hAnsi="Cambria"/>
          <w:iCs/>
          <w:sz w:val="21"/>
          <w:szCs w:val="21"/>
        </w:rPr>
        <w:t>There are some suggestions for government public hospitals in Maluku province. In preventing fraud in the procurement of goods during the Covid-19 period or in extraordinary situations, it is necessary to form a competent procurement committee, design transparent systems, and procedures, create healthy environmental conditions, carry out overall control, build clear and sustainable organizational commitments. It may be possible to research with the same variables in other government agencies during extraordinary conditions for further research</w:t>
      </w:r>
      <w:r w:rsidRPr="008C6427">
        <w:rPr>
          <w:rFonts w:ascii="Cambria" w:hAnsi="Cambria"/>
          <w:sz w:val="21"/>
          <w:szCs w:val="21"/>
        </w:rPr>
        <w:t>.</w:t>
      </w:r>
    </w:p>
    <w:p w14:paraId="7BAEB377" w14:textId="1F094ECE" w:rsidR="00D97972" w:rsidRDefault="00D97972" w:rsidP="00D97972">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p>
    <w:p w14:paraId="32022A0E"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Bauder, R., Khoshgoftaar, T. M., &amp; Seliya, N. (2017). A survey on the state of healthcare upcoding fraud analysis and detection. </w:t>
      </w:r>
      <w:r w:rsidRPr="008C6427">
        <w:rPr>
          <w:rFonts w:ascii="Cambria" w:hAnsi="Cambria"/>
          <w:i/>
          <w:iCs/>
          <w:noProof/>
          <w:sz w:val="21"/>
          <w:szCs w:val="21"/>
        </w:rPr>
        <w:t>Health Services and Outcomes Research Methodology</w:t>
      </w:r>
      <w:r w:rsidRPr="008C6427">
        <w:rPr>
          <w:rFonts w:ascii="Cambria" w:hAnsi="Cambria"/>
          <w:noProof/>
          <w:sz w:val="21"/>
          <w:szCs w:val="21"/>
        </w:rPr>
        <w:t xml:space="preserve">, </w:t>
      </w:r>
      <w:r w:rsidRPr="008C6427">
        <w:rPr>
          <w:rFonts w:ascii="Cambria" w:hAnsi="Cambria"/>
          <w:i/>
          <w:iCs/>
          <w:noProof/>
          <w:sz w:val="21"/>
          <w:szCs w:val="21"/>
        </w:rPr>
        <w:t>17</w:t>
      </w:r>
      <w:r w:rsidRPr="008C6427">
        <w:rPr>
          <w:rFonts w:ascii="Cambria" w:hAnsi="Cambria"/>
          <w:noProof/>
          <w:sz w:val="21"/>
          <w:szCs w:val="21"/>
        </w:rPr>
        <w:t>(1), 31–55. https://doi.org/10.1007/s10742-016-0154-8</w:t>
      </w:r>
    </w:p>
    <w:p w14:paraId="181419CE"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Brooks, G., Button, M., &amp; Gee, J. (2012). The scale of health-care fraud: A global evaluation. </w:t>
      </w:r>
      <w:r w:rsidRPr="008C6427">
        <w:rPr>
          <w:rFonts w:ascii="Cambria" w:hAnsi="Cambria"/>
          <w:i/>
          <w:iCs/>
          <w:noProof/>
          <w:sz w:val="21"/>
          <w:szCs w:val="21"/>
        </w:rPr>
        <w:t>Security Journal</w:t>
      </w:r>
      <w:r w:rsidRPr="008C6427">
        <w:rPr>
          <w:rFonts w:ascii="Cambria" w:hAnsi="Cambria"/>
          <w:noProof/>
          <w:sz w:val="21"/>
          <w:szCs w:val="21"/>
        </w:rPr>
        <w:t xml:space="preserve">, </w:t>
      </w:r>
      <w:r w:rsidRPr="008C6427">
        <w:rPr>
          <w:rFonts w:ascii="Cambria" w:hAnsi="Cambria"/>
          <w:i/>
          <w:iCs/>
          <w:noProof/>
          <w:sz w:val="21"/>
          <w:szCs w:val="21"/>
        </w:rPr>
        <w:t>25</w:t>
      </w:r>
      <w:r w:rsidRPr="008C6427">
        <w:rPr>
          <w:rFonts w:ascii="Cambria" w:hAnsi="Cambria"/>
          <w:noProof/>
          <w:sz w:val="21"/>
          <w:szCs w:val="21"/>
        </w:rPr>
        <w:t>(1), 76–87. https://doi.org/10.1057/sj.2011.7</w:t>
      </w:r>
    </w:p>
    <w:p w14:paraId="562EA896"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Budiarti, L., &amp; Rahayu, A. P. (2019). </w:t>
      </w:r>
      <w:r w:rsidRPr="008C6427">
        <w:rPr>
          <w:rFonts w:ascii="Cambria" w:hAnsi="Cambria"/>
          <w:iCs/>
          <w:noProof/>
          <w:sz w:val="21"/>
          <w:szCs w:val="21"/>
        </w:rPr>
        <w:t>Asimetri informasi, faktor individual dan fraud pengadaan barang / jasa [Information asymmetry, individual factors and fraud in the procurement of goods/services]</w:t>
      </w:r>
      <w:r w:rsidRPr="008C6427">
        <w:rPr>
          <w:rFonts w:ascii="Cambria" w:hAnsi="Cambria"/>
          <w:noProof/>
          <w:sz w:val="21"/>
          <w:szCs w:val="21"/>
        </w:rPr>
        <w:t xml:space="preserve">. </w:t>
      </w:r>
      <w:r w:rsidRPr="008C6427">
        <w:rPr>
          <w:rFonts w:ascii="Cambria" w:hAnsi="Cambria"/>
          <w:i/>
          <w:iCs/>
          <w:noProof/>
          <w:sz w:val="21"/>
          <w:szCs w:val="21"/>
        </w:rPr>
        <w:t>Jurnal Akuntansi Trisakti, 6</w:t>
      </w:r>
      <w:r w:rsidRPr="008C6427">
        <w:rPr>
          <w:rFonts w:ascii="Cambria" w:hAnsi="Cambria"/>
          <w:iCs/>
          <w:noProof/>
          <w:sz w:val="21"/>
          <w:szCs w:val="21"/>
        </w:rPr>
        <w:t>(1)</w:t>
      </w:r>
      <w:r w:rsidRPr="008C6427">
        <w:rPr>
          <w:rFonts w:ascii="Cambria" w:hAnsi="Cambria"/>
          <w:noProof/>
          <w:sz w:val="21"/>
          <w:szCs w:val="21"/>
        </w:rPr>
        <w:t>, 1–18.</w:t>
      </w:r>
    </w:p>
    <w:p w14:paraId="57065789"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Cucunawangsih, C., Wijaya, R. S., Lugito, N. P. H., &amp; Suriapranata, I. (2021). Post-vaccination cases of COVID-19 among healthcare workers at Siloam Teaching Hospital, Indonesia. </w:t>
      </w:r>
      <w:r w:rsidRPr="008C6427">
        <w:rPr>
          <w:rFonts w:ascii="Cambria" w:hAnsi="Cambria"/>
          <w:i/>
          <w:iCs/>
          <w:noProof/>
          <w:sz w:val="21"/>
          <w:szCs w:val="21"/>
        </w:rPr>
        <w:t>International Journal of Infectious Diseases</w:t>
      </w:r>
      <w:r w:rsidRPr="008C6427">
        <w:rPr>
          <w:rFonts w:ascii="Cambria" w:hAnsi="Cambria"/>
          <w:noProof/>
          <w:sz w:val="21"/>
          <w:szCs w:val="21"/>
        </w:rPr>
        <w:t xml:space="preserve">, </w:t>
      </w:r>
      <w:r w:rsidRPr="008C6427">
        <w:rPr>
          <w:rFonts w:ascii="Cambria" w:hAnsi="Cambria"/>
          <w:i/>
          <w:iCs/>
          <w:noProof/>
          <w:sz w:val="21"/>
          <w:szCs w:val="21"/>
        </w:rPr>
        <w:t>107</w:t>
      </w:r>
      <w:r w:rsidRPr="008C6427">
        <w:rPr>
          <w:rFonts w:ascii="Cambria" w:hAnsi="Cambria"/>
          <w:noProof/>
          <w:sz w:val="21"/>
          <w:szCs w:val="21"/>
        </w:rPr>
        <w:t>, 268–270. https://doi.org/10.1016/j.ijid.2021.05.020</w:t>
      </w:r>
    </w:p>
    <w:p w14:paraId="295902D4"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Desai, N. (2020). Understanding the Theoretical Underpinnings of Corporate Fraud. </w:t>
      </w:r>
      <w:r w:rsidRPr="008C6427">
        <w:rPr>
          <w:rFonts w:ascii="Cambria" w:hAnsi="Cambria"/>
          <w:i/>
          <w:iCs/>
          <w:noProof/>
          <w:sz w:val="21"/>
          <w:szCs w:val="21"/>
        </w:rPr>
        <w:t>Vikalpa</w:t>
      </w:r>
      <w:r w:rsidRPr="008C6427">
        <w:rPr>
          <w:rFonts w:ascii="Cambria" w:hAnsi="Cambria"/>
          <w:noProof/>
          <w:sz w:val="21"/>
          <w:szCs w:val="21"/>
        </w:rPr>
        <w:t xml:space="preserve">, </w:t>
      </w:r>
      <w:r w:rsidRPr="008C6427">
        <w:rPr>
          <w:rFonts w:ascii="Cambria" w:hAnsi="Cambria"/>
          <w:i/>
          <w:iCs/>
          <w:noProof/>
          <w:sz w:val="21"/>
          <w:szCs w:val="21"/>
        </w:rPr>
        <w:t>45</w:t>
      </w:r>
      <w:r w:rsidRPr="008C6427">
        <w:rPr>
          <w:rFonts w:ascii="Cambria" w:hAnsi="Cambria"/>
          <w:noProof/>
          <w:sz w:val="21"/>
          <w:szCs w:val="21"/>
        </w:rPr>
        <w:t>(1), 25–31. https://doi.org/10.1177/0256090920917789</w:t>
      </w:r>
    </w:p>
    <w:p w14:paraId="56CE539C"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Djalante, R., Lassa, J., Setiamarga, D., Sudjatma, A., Indrawan, M., Haryanto, B., Mahfud, C., Sinapoy, M. S., Djalante, S., Rafliana, I., Gunawan, L. A., Surtiari, G. A. K., &amp; Warsilah, H. (2020). Review and analysis of current responses to COVID-19 in Indonesia: Period of January to March 2020. </w:t>
      </w:r>
      <w:r w:rsidRPr="008C6427">
        <w:rPr>
          <w:rFonts w:ascii="Cambria" w:hAnsi="Cambria"/>
          <w:i/>
          <w:iCs/>
          <w:noProof/>
          <w:sz w:val="21"/>
          <w:szCs w:val="21"/>
        </w:rPr>
        <w:t>Progress in Disaster Science</w:t>
      </w:r>
      <w:r w:rsidRPr="008C6427">
        <w:rPr>
          <w:rFonts w:ascii="Cambria" w:hAnsi="Cambria"/>
          <w:noProof/>
          <w:sz w:val="21"/>
          <w:szCs w:val="21"/>
        </w:rPr>
        <w:t xml:space="preserve">, </w:t>
      </w:r>
      <w:r w:rsidRPr="008C6427">
        <w:rPr>
          <w:rFonts w:ascii="Cambria" w:hAnsi="Cambria"/>
          <w:i/>
          <w:iCs/>
          <w:noProof/>
          <w:sz w:val="21"/>
          <w:szCs w:val="21"/>
        </w:rPr>
        <w:t>6</w:t>
      </w:r>
      <w:r w:rsidRPr="008C6427">
        <w:rPr>
          <w:rFonts w:ascii="Cambria" w:hAnsi="Cambria"/>
          <w:noProof/>
          <w:sz w:val="21"/>
          <w:szCs w:val="21"/>
        </w:rPr>
        <w:t>, 100091. https://doi.org/10.1016/j.pdisas.2020.100091</w:t>
      </w:r>
    </w:p>
    <w:p w14:paraId="446A6449"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Doig, A. (2018). Fraud: from national strategies to practice on the ground—a regional case study. </w:t>
      </w:r>
      <w:r w:rsidRPr="008C6427">
        <w:rPr>
          <w:rFonts w:ascii="Cambria" w:hAnsi="Cambria"/>
          <w:i/>
          <w:iCs/>
          <w:noProof/>
          <w:sz w:val="21"/>
          <w:szCs w:val="21"/>
        </w:rPr>
        <w:t>Public Money and Management</w:t>
      </w:r>
      <w:r w:rsidRPr="008C6427">
        <w:rPr>
          <w:rFonts w:ascii="Cambria" w:hAnsi="Cambria"/>
          <w:noProof/>
          <w:sz w:val="21"/>
          <w:szCs w:val="21"/>
        </w:rPr>
        <w:t xml:space="preserve">, </w:t>
      </w:r>
      <w:r w:rsidRPr="008C6427">
        <w:rPr>
          <w:rFonts w:ascii="Cambria" w:hAnsi="Cambria"/>
          <w:i/>
          <w:iCs/>
          <w:noProof/>
          <w:sz w:val="21"/>
          <w:szCs w:val="21"/>
        </w:rPr>
        <w:t>38</w:t>
      </w:r>
      <w:r w:rsidRPr="008C6427">
        <w:rPr>
          <w:rFonts w:ascii="Cambria" w:hAnsi="Cambria"/>
          <w:noProof/>
          <w:sz w:val="21"/>
          <w:szCs w:val="21"/>
        </w:rPr>
        <w:t>(2), 147–156. https://doi.org/10.1080/09540962.2018.1407164</w:t>
      </w:r>
    </w:p>
    <w:p w14:paraId="40960B7A"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Doig, A., &amp; MacAulay, M. (2008). Decades, directions and the fraud review: Addressing the future of public sector fraud? </w:t>
      </w:r>
      <w:r w:rsidRPr="008C6427">
        <w:rPr>
          <w:rFonts w:ascii="Cambria" w:hAnsi="Cambria"/>
          <w:i/>
          <w:iCs/>
          <w:noProof/>
          <w:sz w:val="21"/>
          <w:szCs w:val="21"/>
        </w:rPr>
        <w:t>Public Money and Management</w:t>
      </w:r>
      <w:r w:rsidRPr="008C6427">
        <w:rPr>
          <w:rFonts w:ascii="Cambria" w:hAnsi="Cambria"/>
          <w:noProof/>
          <w:sz w:val="21"/>
          <w:szCs w:val="21"/>
        </w:rPr>
        <w:t xml:space="preserve">, </w:t>
      </w:r>
      <w:r w:rsidRPr="008C6427">
        <w:rPr>
          <w:rFonts w:ascii="Cambria" w:hAnsi="Cambria"/>
          <w:i/>
          <w:iCs/>
          <w:noProof/>
          <w:sz w:val="21"/>
          <w:szCs w:val="21"/>
        </w:rPr>
        <w:t>28</w:t>
      </w:r>
      <w:r w:rsidRPr="008C6427">
        <w:rPr>
          <w:rFonts w:ascii="Cambria" w:hAnsi="Cambria"/>
          <w:noProof/>
          <w:sz w:val="21"/>
          <w:szCs w:val="21"/>
        </w:rPr>
        <w:t>(3), 185–192. https://doi.org/10.1111/j.1467-9302.2008.00642.x</w:t>
      </w:r>
    </w:p>
    <w:p w14:paraId="574321AF"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Dong, E., Du, H., &amp; Gardner, L. (2020). An interactive web-based dashboard to track COVID-19 in real time. </w:t>
      </w:r>
      <w:r w:rsidRPr="008C6427">
        <w:rPr>
          <w:rFonts w:ascii="Cambria" w:hAnsi="Cambria"/>
          <w:i/>
          <w:iCs/>
          <w:noProof/>
          <w:sz w:val="21"/>
          <w:szCs w:val="21"/>
        </w:rPr>
        <w:t>The Lancet Infectious Diseases</w:t>
      </w:r>
      <w:r w:rsidRPr="008C6427">
        <w:rPr>
          <w:rFonts w:ascii="Cambria" w:hAnsi="Cambria"/>
          <w:noProof/>
          <w:sz w:val="21"/>
          <w:szCs w:val="21"/>
        </w:rPr>
        <w:t xml:space="preserve">, </w:t>
      </w:r>
      <w:r w:rsidRPr="008C6427">
        <w:rPr>
          <w:rFonts w:ascii="Cambria" w:hAnsi="Cambria"/>
          <w:i/>
          <w:iCs/>
          <w:noProof/>
          <w:sz w:val="21"/>
          <w:szCs w:val="21"/>
        </w:rPr>
        <w:t>20</w:t>
      </w:r>
      <w:r w:rsidRPr="008C6427">
        <w:rPr>
          <w:rFonts w:ascii="Cambria" w:hAnsi="Cambria"/>
          <w:noProof/>
          <w:sz w:val="21"/>
          <w:szCs w:val="21"/>
        </w:rPr>
        <w:t>(5), 533–534. https://doi.org/10.1016/S1473-3099(20)30120-1</w:t>
      </w:r>
    </w:p>
    <w:p w14:paraId="457012A9"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Farbmacher, H., Löw, L., &amp; Spindler, M. (2020). An explainable attention network for fraud detection in claims management. </w:t>
      </w:r>
      <w:r w:rsidRPr="008C6427">
        <w:rPr>
          <w:rFonts w:ascii="Cambria" w:hAnsi="Cambria"/>
          <w:i/>
          <w:iCs/>
          <w:noProof/>
          <w:sz w:val="21"/>
          <w:szCs w:val="21"/>
        </w:rPr>
        <w:t>Journal of Econometrics</w:t>
      </w:r>
      <w:r w:rsidRPr="008C6427">
        <w:rPr>
          <w:rFonts w:ascii="Cambria" w:hAnsi="Cambria"/>
          <w:noProof/>
          <w:sz w:val="21"/>
          <w:szCs w:val="21"/>
        </w:rPr>
        <w:t xml:space="preserve">, </w:t>
      </w:r>
      <w:r w:rsidRPr="008C6427">
        <w:rPr>
          <w:rFonts w:ascii="Cambria" w:hAnsi="Cambria"/>
          <w:i/>
          <w:iCs/>
          <w:noProof/>
          <w:sz w:val="21"/>
          <w:szCs w:val="21"/>
        </w:rPr>
        <w:t>xxxx</w:t>
      </w:r>
      <w:r w:rsidRPr="008C6427">
        <w:rPr>
          <w:rFonts w:ascii="Cambria" w:hAnsi="Cambria"/>
          <w:noProof/>
          <w:sz w:val="21"/>
          <w:szCs w:val="21"/>
        </w:rPr>
        <w:t>. https://doi.org/10.1016/j.jeconom.2020.05.021</w:t>
      </w:r>
    </w:p>
    <w:p w14:paraId="7788C04C"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lastRenderedPageBreak/>
        <w:t xml:space="preserve">Fitri, F. A., Syukur, M., &amp; Justisa, G. (2019). Do the fraud triangle components motivate fraud in Indonesia? </w:t>
      </w:r>
      <w:r w:rsidRPr="008C6427">
        <w:rPr>
          <w:rFonts w:ascii="Cambria" w:hAnsi="Cambria"/>
          <w:i/>
          <w:iCs/>
          <w:noProof/>
          <w:sz w:val="21"/>
          <w:szCs w:val="21"/>
        </w:rPr>
        <w:t>Australasian Accounting, Business and Finance Journal</w:t>
      </w:r>
      <w:r w:rsidRPr="008C6427">
        <w:rPr>
          <w:rFonts w:ascii="Cambria" w:hAnsi="Cambria"/>
          <w:noProof/>
          <w:sz w:val="21"/>
          <w:szCs w:val="21"/>
        </w:rPr>
        <w:t xml:space="preserve">, </w:t>
      </w:r>
      <w:r w:rsidRPr="008C6427">
        <w:rPr>
          <w:rFonts w:ascii="Cambria" w:hAnsi="Cambria"/>
          <w:i/>
          <w:iCs/>
          <w:noProof/>
          <w:sz w:val="21"/>
          <w:szCs w:val="21"/>
        </w:rPr>
        <w:t>13</w:t>
      </w:r>
      <w:r w:rsidRPr="008C6427">
        <w:rPr>
          <w:rFonts w:ascii="Cambria" w:hAnsi="Cambria"/>
          <w:noProof/>
          <w:sz w:val="21"/>
          <w:szCs w:val="21"/>
        </w:rPr>
        <w:t>(4), 63–72. https://doi.org/10.14453/aabfj.v13i4.5</w:t>
      </w:r>
    </w:p>
    <w:p w14:paraId="54461AD2"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Gunduz, M. (2013). </w:t>
      </w:r>
      <w:r w:rsidRPr="008C6427">
        <w:rPr>
          <w:rFonts w:ascii="Cambria" w:hAnsi="Cambria"/>
          <w:i/>
          <w:iCs/>
          <w:noProof/>
          <w:sz w:val="21"/>
          <w:szCs w:val="21"/>
        </w:rPr>
        <w:t>Corruption and Internal Fraud in the Turkish Construction Industry¨</w:t>
      </w:r>
      <w:r w:rsidRPr="008C6427">
        <w:rPr>
          <w:rFonts w:ascii="Cambria" w:hAnsi="Cambria"/>
          <w:noProof/>
          <w:sz w:val="21"/>
          <w:szCs w:val="21"/>
        </w:rPr>
        <w:t>. 505–528. https://doi.org/10.1007/s11948-012-9356-9</w:t>
      </w:r>
    </w:p>
    <w:p w14:paraId="207FC3D5"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Handayani, P. W., Hidayanto, A. N., Ayuningtyas, D., &amp; Budi, I. (2016). Hospital information system institutionalization processes in indonesian public, government-owned and privately owned hospitals. </w:t>
      </w:r>
      <w:r w:rsidRPr="008C6427">
        <w:rPr>
          <w:rFonts w:ascii="Cambria" w:hAnsi="Cambria"/>
          <w:i/>
          <w:iCs/>
          <w:noProof/>
          <w:sz w:val="21"/>
          <w:szCs w:val="21"/>
        </w:rPr>
        <w:t>International Journal of Medical Informatics</w:t>
      </w:r>
      <w:r w:rsidRPr="008C6427">
        <w:rPr>
          <w:rFonts w:ascii="Cambria" w:hAnsi="Cambria"/>
          <w:noProof/>
          <w:sz w:val="21"/>
          <w:szCs w:val="21"/>
        </w:rPr>
        <w:t xml:space="preserve">, </w:t>
      </w:r>
      <w:r w:rsidRPr="008C6427">
        <w:rPr>
          <w:rFonts w:ascii="Cambria" w:hAnsi="Cambria"/>
          <w:i/>
          <w:iCs/>
          <w:noProof/>
          <w:sz w:val="21"/>
          <w:szCs w:val="21"/>
        </w:rPr>
        <w:t>95</w:t>
      </w:r>
      <w:r w:rsidRPr="008C6427">
        <w:rPr>
          <w:rFonts w:ascii="Cambria" w:hAnsi="Cambria"/>
          <w:noProof/>
          <w:sz w:val="21"/>
          <w:szCs w:val="21"/>
        </w:rPr>
        <w:t>, 17–34. https://doi.org/10.1016/j.ijmedinf.2016.08.005</w:t>
      </w:r>
    </w:p>
    <w:p w14:paraId="6088782D"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Hidayat, A., Ilahi, A., &amp; Widowaty, Y. (2021). </w:t>
      </w:r>
      <w:r w:rsidRPr="008C6427">
        <w:rPr>
          <w:rFonts w:ascii="Cambria" w:hAnsi="Cambria"/>
          <w:iCs/>
          <w:noProof/>
          <w:sz w:val="21"/>
          <w:szCs w:val="21"/>
        </w:rPr>
        <w:t>The Optimization of Corruption Deterrence during the Covid-19 Pandemic</w:t>
      </w:r>
      <w:r w:rsidRPr="008C6427">
        <w:rPr>
          <w:rFonts w:ascii="Cambria" w:hAnsi="Cambria"/>
          <w:noProof/>
          <w:sz w:val="21"/>
          <w:szCs w:val="21"/>
        </w:rPr>
        <w:t xml:space="preserve">. </w:t>
      </w:r>
      <w:r w:rsidRPr="008C6427">
        <w:rPr>
          <w:rFonts w:ascii="Cambria" w:hAnsi="Cambria"/>
          <w:i/>
          <w:noProof/>
          <w:sz w:val="21"/>
          <w:szCs w:val="21"/>
        </w:rPr>
        <w:t>Padjadjaran Jurnal Ilmu Hukum</w:t>
      </w:r>
      <w:r w:rsidRPr="008C6427">
        <w:rPr>
          <w:rFonts w:ascii="Cambria" w:hAnsi="Cambria"/>
          <w:noProof/>
          <w:sz w:val="21"/>
          <w:szCs w:val="21"/>
        </w:rPr>
        <w:t xml:space="preserve">, </w:t>
      </w:r>
      <w:r w:rsidRPr="008C6427">
        <w:rPr>
          <w:rFonts w:ascii="Cambria" w:hAnsi="Cambria"/>
          <w:i/>
          <w:iCs/>
          <w:noProof/>
          <w:sz w:val="21"/>
          <w:szCs w:val="21"/>
        </w:rPr>
        <w:t>8</w:t>
      </w:r>
      <w:r w:rsidRPr="008C6427">
        <w:rPr>
          <w:rFonts w:ascii="Cambria" w:hAnsi="Cambria"/>
          <w:noProof/>
          <w:sz w:val="21"/>
          <w:szCs w:val="21"/>
        </w:rPr>
        <w:t>(1), 71–91.</w:t>
      </w:r>
    </w:p>
    <w:p w14:paraId="6E774038"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Ismuadi, &amp; Saputra, M. (2016). Pengaruh sistem pengendalian intern dan komitmen organisasi terhadap kecurangan (fraud) pada kegiatan pelaksanaan program nasional pemberdayaan masyarakat mandiri perdesaan (PNPM MPd) di Provinsi Aceh. </w:t>
      </w:r>
      <w:r w:rsidRPr="008C6427">
        <w:rPr>
          <w:rFonts w:ascii="Cambria" w:hAnsi="Cambria"/>
          <w:i/>
          <w:iCs/>
          <w:noProof/>
          <w:sz w:val="21"/>
          <w:szCs w:val="21"/>
        </w:rPr>
        <w:t>Jurnal Telaah dan Riset Akuntansi</w:t>
      </w:r>
      <w:r w:rsidRPr="008C6427">
        <w:rPr>
          <w:rFonts w:ascii="Cambria" w:hAnsi="Cambria"/>
          <w:noProof/>
          <w:sz w:val="21"/>
          <w:szCs w:val="21"/>
        </w:rPr>
        <w:t xml:space="preserve">, </w:t>
      </w:r>
      <w:r w:rsidRPr="008C6427">
        <w:rPr>
          <w:rFonts w:ascii="Cambria" w:hAnsi="Cambria"/>
          <w:i/>
          <w:noProof/>
          <w:sz w:val="21"/>
          <w:szCs w:val="21"/>
        </w:rPr>
        <w:t>9</w:t>
      </w:r>
      <w:r w:rsidRPr="008C6427">
        <w:rPr>
          <w:rFonts w:ascii="Cambria" w:hAnsi="Cambria"/>
          <w:noProof/>
          <w:sz w:val="21"/>
          <w:szCs w:val="21"/>
        </w:rPr>
        <w:t>(2), 75-82.</w:t>
      </w:r>
    </w:p>
    <w:p w14:paraId="6FE7976E"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Jesilow, P. (2005). The effects of fraud on the evaluation of health care. </w:t>
      </w:r>
      <w:r w:rsidRPr="008C6427">
        <w:rPr>
          <w:rFonts w:ascii="Cambria" w:hAnsi="Cambria"/>
          <w:i/>
          <w:iCs/>
          <w:noProof/>
          <w:sz w:val="21"/>
          <w:szCs w:val="21"/>
        </w:rPr>
        <w:t>Health Care Analysis</w:t>
      </w:r>
      <w:r w:rsidRPr="008C6427">
        <w:rPr>
          <w:rFonts w:ascii="Cambria" w:hAnsi="Cambria"/>
          <w:noProof/>
          <w:sz w:val="21"/>
          <w:szCs w:val="21"/>
        </w:rPr>
        <w:t xml:space="preserve">, </w:t>
      </w:r>
      <w:r w:rsidRPr="008C6427">
        <w:rPr>
          <w:rFonts w:ascii="Cambria" w:hAnsi="Cambria"/>
          <w:i/>
          <w:iCs/>
          <w:noProof/>
          <w:sz w:val="21"/>
          <w:szCs w:val="21"/>
        </w:rPr>
        <w:t>13</w:t>
      </w:r>
      <w:r w:rsidRPr="008C6427">
        <w:rPr>
          <w:rFonts w:ascii="Cambria" w:hAnsi="Cambria"/>
          <w:noProof/>
          <w:sz w:val="21"/>
          <w:szCs w:val="21"/>
        </w:rPr>
        <w:t>(3), 239–245. https://doi.org/10.1007/s10728-005-6452-x</w:t>
      </w:r>
    </w:p>
    <w:p w14:paraId="22A9572A"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Kaur, K. (2021). The early impact of Covid-19 on textile industry: an empirical analysis. </w:t>
      </w:r>
      <w:r w:rsidRPr="008C6427">
        <w:rPr>
          <w:rFonts w:ascii="Cambria" w:hAnsi="Cambria"/>
          <w:i/>
          <w:iCs/>
          <w:noProof/>
          <w:sz w:val="21"/>
          <w:szCs w:val="21"/>
        </w:rPr>
        <w:t>Management and Labour Studies</w:t>
      </w:r>
      <w:r w:rsidRPr="008C6427">
        <w:rPr>
          <w:rFonts w:ascii="Cambria" w:hAnsi="Cambria"/>
          <w:noProof/>
          <w:sz w:val="21"/>
          <w:szCs w:val="21"/>
        </w:rPr>
        <w:t xml:space="preserve">, </w:t>
      </w:r>
      <w:r w:rsidRPr="008C6427">
        <w:rPr>
          <w:rFonts w:ascii="Cambria" w:hAnsi="Cambria"/>
          <w:i/>
          <w:iCs/>
          <w:noProof/>
          <w:sz w:val="21"/>
          <w:szCs w:val="21"/>
        </w:rPr>
        <w:t>46</w:t>
      </w:r>
      <w:r w:rsidRPr="008C6427">
        <w:rPr>
          <w:rFonts w:ascii="Cambria" w:hAnsi="Cambria"/>
          <w:noProof/>
          <w:sz w:val="21"/>
          <w:szCs w:val="21"/>
        </w:rPr>
        <w:t>(3), 235–247. https://doi.org/10.1177/0258042X21991018</w:t>
      </w:r>
    </w:p>
    <w:p w14:paraId="5581B801"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Klaus, L. C. O. (2016). Accreditation fraud in brazilian military hospitals: why “tone at the top” matters. </w:t>
      </w:r>
      <w:r w:rsidRPr="008C6427">
        <w:rPr>
          <w:rFonts w:ascii="Cambria" w:hAnsi="Cambria"/>
          <w:i/>
          <w:iCs/>
          <w:noProof/>
          <w:sz w:val="21"/>
          <w:szCs w:val="21"/>
        </w:rPr>
        <w:t>Journal of Military Ethics</w:t>
      </w:r>
      <w:r w:rsidRPr="008C6427">
        <w:rPr>
          <w:rFonts w:ascii="Cambria" w:hAnsi="Cambria"/>
          <w:noProof/>
          <w:sz w:val="21"/>
          <w:szCs w:val="21"/>
        </w:rPr>
        <w:t xml:space="preserve">, </w:t>
      </w:r>
      <w:r w:rsidRPr="008C6427">
        <w:rPr>
          <w:rFonts w:ascii="Cambria" w:hAnsi="Cambria"/>
          <w:i/>
          <w:iCs/>
          <w:noProof/>
          <w:sz w:val="21"/>
          <w:szCs w:val="21"/>
        </w:rPr>
        <w:t>15</w:t>
      </w:r>
      <w:r w:rsidRPr="008C6427">
        <w:rPr>
          <w:rFonts w:ascii="Cambria" w:hAnsi="Cambria"/>
          <w:noProof/>
          <w:sz w:val="21"/>
          <w:szCs w:val="21"/>
        </w:rPr>
        <w:t>(4), 275–287. https://doi.org/10.1080/15027570.2017.1288879</w:t>
      </w:r>
    </w:p>
    <w:p w14:paraId="0D792951" w14:textId="78780812"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Kurrohman, T., &amp; Widyayanti, P. (2018). Analisis faktor-faktor yang mempengaruhi kecenderungan kecurangan (fraud) di perguruan tinggi keagamaan islam negeri [Analysis of the factors that influence the tendency of fraud in state Islamic religious universities]. </w:t>
      </w:r>
      <w:r w:rsidRPr="008C6427">
        <w:rPr>
          <w:rFonts w:ascii="Cambria" w:hAnsi="Cambria"/>
          <w:i/>
          <w:iCs/>
          <w:noProof/>
          <w:sz w:val="21"/>
          <w:szCs w:val="21"/>
        </w:rPr>
        <w:t>Journal of Applied Managerial Accounting</w:t>
      </w:r>
      <w:r w:rsidRPr="008C6427">
        <w:rPr>
          <w:rFonts w:ascii="Cambria" w:hAnsi="Cambria"/>
          <w:noProof/>
          <w:sz w:val="21"/>
          <w:szCs w:val="21"/>
        </w:rPr>
        <w:t>, 2(2), 245-254. https://doi.org/10.30871/jama.v2i2.945</w:t>
      </w:r>
    </w:p>
    <w:p w14:paraId="7C32AE43"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Levi, M. (2011). Social reactions to white-collar crimes and their relationship to economic crises. </w:t>
      </w:r>
      <w:r w:rsidRPr="008C6427">
        <w:rPr>
          <w:rFonts w:ascii="Cambria" w:hAnsi="Cambria"/>
          <w:i/>
          <w:iCs/>
          <w:noProof/>
          <w:sz w:val="21"/>
          <w:szCs w:val="21"/>
        </w:rPr>
        <w:t>Sociology of Crime Law and Deviance</w:t>
      </w:r>
      <w:r w:rsidRPr="008C6427">
        <w:rPr>
          <w:rFonts w:ascii="Cambria" w:hAnsi="Cambria"/>
          <w:noProof/>
          <w:sz w:val="21"/>
          <w:szCs w:val="21"/>
        </w:rPr>
        <w:t xml:space="preserve">, </w:t>
      </w:r>
      <w:r w:rsidRPr="008C6427">
        <w:rPr>
          <w:rFonts w:ascii="Cambria" w:hAnsi="Cambria"/>
          <w:i/>
          <w:iCs/>
          <w:noProof/>
          <w:sz w:val="21"/>
          <w:szCs w:val="21"/>
        </w:rPr>
        <w:t>16</w:t>
      </w:r>
      <w:r w:rsidRPr="008C6427">
        <w:rPr>
          <w:rFonts w:ascii="Cambria" w:hAnsi="Cambria"/>
          <w:noProof/>
          <w:sz w:val="21"/>
          <w:szCs w:val="21"/>
        </w:rPr>
        <w:t>, 87–105. https://doi.org/10.1108/S1521-6136(2011)0000016008</w:t>
      </w:r>
    </w:p>
    <w:p w14:paraId="3F543621"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Liou, F. M., Tang, Y. C., &amp; Chen, J. Y. (2008). Detecting hospital fraud and claim abuse through diabetic outpatient services. </w:t>
      </w:r>
      <w:r w:rsidRPr="008C6427">
        <w:rPr>
          <w:rFonts w:ascii="Cambria" w:hAnsi="Cambria"/>
          <w:i/>
          <w:iCs/>
          <w:noProof/>
          <w:sz w:val="21"/>
          <w:szCs w:val="21"/>
        </w:rPr>
        <w:t>Health Care Management Science</w:t>
      </w:r>
      <w:r w:rsidRPr="008C6427">
        <w:rPr>
          <w:rFonts w:ascii="Cambria" w:hAnsi="Cambria"/>
          <w:noProof/>
          <w:sz w:val="21"/>
          <w:szCs w:val="21"/>
        </w:rPr>
        <w:t xml:space="preserve">, </w:t>
      </w:r>
      <w:r w:rsidRPr="008C6427">
        <w:rPr>
          <w:rFonts w:ascii="Cambria" w:hAnsi="Cambria"/>
          <w:i/>
          <w:iCs/>
          <w:noProof/>
          <w:sz w:val="21"/>
          <w:szCs w:val="21"/>
        </w:rPr>
        <w:t>11</w:t>
      </w:r>
      <w:r w:rsidRPr="008C6427">
        <w:rPr>
          <w:rFonts w:ascii="Cambria" w:hAnsi="Cambria"/>
          <w:noProof/>
          <w:sz w:val="21"/>
          <w:szCs w:val="21"/>
        </w:rPr>
        <w:t>(4), 353–358. https://doi.org/10.1007/s10729-008-9054-y</w:t>
      </w:r>
    </w:p>
    <w:p w14:paraId="1CAD5826"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Massi, M. C., Ieva, F., &amp; Lettieri, E. (2020). Data mining application to healthcare fraud detection: A two-step unsupervised clustering method for outlier detection with administrative databases. </w:t>
      </w:r>
      <w:r w:rsidRPr="008C6427">
        <w:rPr>
          <w:rFonts w:ascii="Cambria" w:hAnsi="Cambria"/>
          <w:i/>
          <w:iCs/>
          <w:noProof/>
          <w:sz w:val="21"/>
          <w:szCs w:val="21"/>
        </w:rPr>
        <w:t>BMC Medical Informatics and Decision Making</w:t>
      </w:r>
      <w:r w:rsidRPr="008C6427">
        <w:rPr>
          <w:rFonts w:ascii="Cambria" w:hAnsi="Cambria"/>
          <w:noProof/>
          <w:sz w:val="21"/>
          <w:szCs w:val="21"/>
        </w:rPr>
        <w:t xml:space="preserve">, </w:t>
      </w:r>
      <w:r w:rsidRPr="008C6427">
        <w:rPr>
          <w:rFonts w:ascii="Cambria" w:hAnsi="Cambria"/>
          <w:i/>
          <w:iCs/>
          <w:noProof/>
          <w:sz w:val="21"/>
          <w:szCs w:val="21"/>
        </w:rPr>
        <w:t>20</w:t>
      </w:r>
      <w:r w:rsidRPr="008C6427">
        <w:rPr>
          <w:rFonts w:ascii="Cambria" w:hAnsi="Cambria"/>
          <w:noProof/>
          <w:sz w:val="21"/>
          <w:szCs w:val="21"/>
        </w:rPr>
        <w:t>(1), 1–11. https://doi.org/10.1186/s12911-020-01143-9</w:t>
      </w:r>
    </w:p>
    <w:p w14:paraId="411B5A35"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Mat, T. Z. T., Ismawi, D. S. T., &amp; Ghani, E. K. (2019). Do perceived pressure and perceived opportunity influence employees’ intention to commit fraud?. </w:t>
      </w:r>
      <w:r w:rsidRPr="008C6427">
        <w:rPr>
          <w:rFonts w:ascii="Cambria" w:hAnsi="Cambria"/>
          <w:i/>
          <w:iCs/>
          <w:noProof/>
          <w:sz w:val="21"/>
          <w:szCs w:val="21"/>
        </w:rPr>
        <w:t>International Journal of Financial Research</w:t>
      </w:r>
      <w:r w:rsidRPr="008C6427">
        <w:rPr>
          <w:rFonts w:ascii="Cambria" w:hAnsi="Cambria"/>
          <w:noProof/>
          <w:sz w:val="21"/>
          <w:szCs w:val="21"/>
        </w:rPr>
        <w:t xml:space="preserve">, </w:t>
      </w:r>
      <w:r w:rsidRPr="008C6427">
        <w:rPr>
          <w:rFonts w:ascii="Cambria" w:hAnsi="Cambria"/>
          <w:i/>
          <w:iCs/>
          <w:noProof/>
          <w:sz w:val="21"/>
          <w:szCs w:val="21"/>
        </w:rPr>
        <w:t>10</w:t>
      </w:r>
      <w:r w:rsidRPr="008C6427">
        <w:rPr>
          <w:rFonts w:ascii="Cambria" w:hAnsi="Cambria"/>
          <w:noProof/>
          <w:sz w:val="21"/>
          <w:szCs w:val="21"/>
        </w:rPr>
        <w:t>(3), 132–143. https://doi.org/10.5430/ijfr.v10n3p132</w:t>
      </w:r>
    </w:p>
    <w:p w14:paraId="51608A21"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Mietzner, M. (2015). Dysfunction by design: political finance and corruption in Indonesia. </w:t>
      </w:r>
      <w:r w:rsidRPr="008C6427">
        <w:rPr>
          <w:rFonts w:ascii="Cambria" w:hAnsi="Cambria"/>
          <w:i/>
          <w:iCs/>
          <w:noProof/>
          <w:sz w:val="21"/>
          <w:szCs w:val="21"/>
        </w:rPr>
        <w:t>Critical Asian Studies</w:t>
      </w:r>
      <w:r w:rsidRPr="008C6427">
        <w:rPr>
          <w:rFonts w:ascii="Cambria" w:hAnsi="Cambria"/>
          <w:noProof/>
          <w:sz w:val="21"/>
          <w:szCs w:val="21"/>
        </w:rPr>
        <w:t xml:space="preserve">, </w:t>
      </w:r>
      <w:r w:rsidRPr="008C6427">
        <w:rPr>
          <w:rFonts w:ascii="Cambria" w:hAnsi="Cambria"/>
          <w:i/>
          <w:iCs/>
          <w:noProof/>
          <w:sz w:val="21"/>
          <w:szCs w:val="21"/>
        </w:rPr>
        <w:t>47</w:t>
      </w:r>
      <w:r w:rsidRPr="008C6427">
        <w:rPr>
          <w:rFonts w:ascii="Cambria" w:hAnsi="Cambria"/>
          <w:noProof/>
          <w:sz w:val="21"/>
          <w:szCs w:val="21"/>
        </w:rPr>
        <w:t>(4), 587–610. https://doi.org/10.1080/14672715.2015.1079991</w:t>
      </w:r>
    </w:p>
    <w:p w14:paraId="7F9FFCE2"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Mietzner, M. (2020). Populist anti-scientism, religious polarisation, and institutionalised corruption: how indonesia’s democratic decline shaped its COVID-19 response. </w:t>
      </w:r>
      <w:r w:rsidRPr="008C6427">
        <w:rPr>
          <w:rFonts w:ascii="Cambria" w:hAnsi="Cambria"/>
          <w:i/>
          <w:iCs/>
          <w:noProof/>
          <w:sz w:val="21"/>
          <w:szCs w:val="21"/>
        </w:rPr>
        <w:t>Journal of Current Southeast Asian Affairs</w:t>
      </w:r>
      <w:r w:rsidRPr="008C6427">
        <w:rPr>
          <w:rFonts w:ascii="Cambria" w:hAnsi="Cambria"/>
          <w:noProof/>
          <w:sz w:val="21"/>
          <w:szCs w:val="21"/>
        </w:rPr>
        <w:t xml:space="preserve">, </w:t>
      </w:r>
      <w:r w:rsidRPr="008C6427">
        <w:rPr>
          <w:rFonts w:ascii="Cambria" w:hAnsi="Cambria"/>
          <w:i/>
          <w:iCs/>
          <w:noProof/>
          <w:sz w:val="21"/>
          <w:szCs w:val="21"/>
        </w:rPr>
        <w:t>39</w:t>
      </w:r>
      <w:r w:rsidRPr="008C6427">
        <w:rPr>
          <w:rFonts w:ascii="Cambria" w:hAnsi="Cambria"/>
          <w:noProof/>
          <w:sz w:val="21"/>
          <w:szCs w:val="21"/>
        </w:rPr>
        <w:t>(2), 227–249. https://doi.org/10.1177/1868103420935561</w:t>
      </w:r>
    </w:p>
    <w:p w14:paraId="37B575B2"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Murphy, P. R., &amp; Dacin, M. T. (2011). Psychological pathways to fraud: understanding and preventing fraud in organizations. </w:t>
      </w:r>
      <w:r w:rsidRPr="008C6427">
        <w:rPr>
          <w:rFonts w:ascii="Cambria" w:hAnsi="Cambria"/>
          <w:i/>
          <w:iCs/>
          <w:noProof/>
          <w:sz w:val="21"/>
          <w:szCs w:val="21"/>
        </w:rPr>
        <w:t>Journal of Business Ethics</w:t>
      </w:r>
      <w:r w:rsidRPr="008C6427">
        <w:rPr>
          <w:rFonts w:ascii="Cambria" w:hAnsi="Cambria"/>
          <w:noProof/>
          <w:sz w:val="21"/>
          <w:szCs w:val="21"/>
        </w:rPr>
        <w:t xml:space="preserve">, </w:t>
      </w:r>
      <w:r w:rsidRPr="008C6427">
        <w:rPr>
          <w:rFonts w:ascii="Cambria" w:hAnsi="Cambria"/>
          <w:i/>
          <w:iCs/>
          <w:noProof/>
          <w:sz w:val="21"/>
          <w:szCs w:val="21"/>
        </w:rPr>
        <w:t>101</w:t>
      </w:r>
      <w:r w:rsidRPr="008C6427">
        <w:rPr>
          <w:rFonts w:ascii="Cambria" w:hAnsi="Cambria"/>
          <w:noProof/>
          <w:sz w:val="21"/>
          <w:szCs w:val="21"/>
        </w:rPr>
        <w:t>(4), 601–618. https://doi.org/10.1007/s10551-011-0741-0</w:t>
      </w:r>
    </w:p>
    <w:p w14:paraId="4770F06D"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Murthy, D. N. P., &amp; Jack, N. (2017). Game theoretic modelling of service agent warranty fraud. </w:t>
      </w:r>
      <w:r w:rsidRPr="008C6427">
        <w:rPr>
          <w:rFonts w:ascii="Cambria" w:hAnsi="Cambria"/>
          <w:i/>
          <w:iCs/>
          <w:noProof/>
          <w:sz w:val="21"/>
          <w:szCs w:val="21"/>
        </w:rPr>
        <w:lastRenderedPageBreak/>
        <w:t>Journal of the Operational Research Society</w:t>
      </w:r>
      <w:r w:rsidRPr="008C6427">
        <w:rPr>
          <w:rFonts w:ascii="Cambria" w:hAnsi="Cambria"/>
          <w:noProof/>
          <w:sz w:val="21"/>
          <w:szCs w:val="21"/>
        </w:rPr>
        <w:t xml:space="preserve">, </w:t>
      </w:r>
      <w:r w:rsidRPr="008C6427">
        <w:rPr>
          <w:rFonts w:ascii="Cambria" w:hAnsi="Cambria"/>
          <w:i/>
          <w:iCs/>
          <w:noProof/>
          <w:sz w:val="21"/>
          <w:szCs w:val="21"/>
        </w:rPr>
        <w:t>68</w:t>
      </w:r>
      <w:r w:rsidRPr="008C6427">
        <w:rPr>
          <w:rFonts w:ascii="Cambria" w:hAnsi="Cambria"/>
          <w:noProof/>
          <w:sz w:val="21"/>
          <w:szCs w:val="21"/>
        </w:rPr>
        <w:t>(11), 1399–1408. https://doi.org/10.1057/s41274-016-0125-z</w:t>
      </w:r>
    </w:p>
    <w:p w14:paraId="52C4595E"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Natalia, L., &amp; Coryanata, I. (2019). Pengaruh penerapan pengendalian internal, komitmen organisasi dan budaya organisasi terhadap kecenderungan kecurangan (fraud) pada perusahaan pembiayaan Kota Bengkulu [The effect of the implementation of internal control, organizational commitment and organizational culture on the tendency of fraud in the Bengkulu City financing company]. </w:t>
      </w:r>
      <w:r w:rsidRPr="008C6427">
        <w:rPr>
          <w:rFonts w:ascii="Cambria" w:hAnsi="Cambria"/>
          <w:i/>
          <w:iCs/>
          <w:noProof/>
          <w:sz w:val="21"/>
          <w:szCs w:val="21"/>
        </w:rPr>
        <w:t>Jurnal Akuntansi</w:t>
      </w:r>
      <w:r w:rsidRPr="008C6427">
        <w:rPr>
          <w:rFonts w:ascii="Cambria" w:hAnsi="Cambria"/>
          <w:noProof/>
          <w:sz w:val="21"/>
          <w:szCs w:val="21"/>
        </w:rPr>
        <w:t xml:space="preserve">, </w:t>
      </w:r>
      <w:r w:rsidRPr="008C6427">
        <w:rPr>
          <w:rFonts w:ascii="Cambria" w:hAnsi="Cambria"/>
          <w:i/>
          <w:iCs/>
          <w:noProof/>
          <w:sz w:val="21"/>
          <w:szCs w:val="21"/>
        </w:rPr>
        <w:t>8</w:t>
      </w:r>
      <w:r w:rsidRPr="008C6427">
        <w:rPr>
          <w:rFonts w:ascii="Cambria" w:hAnsi="Cambria"/>
          <w:noProof/>
          <w:sz w:val="21"/>
          <w:szCs w:val="21"/>
        </w:rPr>
        <w:t>(3), 135–144. https://doi.org/10.33369/j.akuntansi.8.3.135-144</w:t>
      </w:r>
    </w:p>
    <w:p w14:paraId="51A547D5"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Nisa Nurharjanti, N. (2017). Faktor-Faktor yang berhubungan dengan fraud pengadaan barang/jasa di lembaga publik [Factors related to fraud in the procurement of goods/services in public institutions]. </w:t>
      </w:r>
      <w:r w:rsidRPr="008C6427">
        <w:rPr>
          <w:rFonts w:ascii="Cambria" w:hAnsi="Cambria"/>
          <w:i/>
          <w:iCs/>
          <w:noProof/>
          <w:sz w:val="21"/>
          <w:szCs w:val="21"/>
        </w:rPr>
        <w:t>Jurnal Akuntansi dan Investasi</w:t>
      </w:r>
      <w:r w:rsidRPr="008C6427">
        <w:rPr>
          <w:rFonts w:ascii="Cambria" w:hAnsi="Cambria"/>
          <w:noProof/>
          <w:sz w:val="21"/>
          <w:szCs w:val="21"/>
        </w:rPr>
        <w:t>. https://doi.org/10.18196/jai.180284</w:t>
      </w:r>
    </w:p>
    <w:p w14:paraId="4CC1AAAB"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Nurharjanti, N. N. (2017). </w:t>
      </w:r>
      <w:r w:rsidRPr="008C6427">
        <w:rPr>
          <w:rFonts w:ascii="Cambria" w:hAnsi="Cambria"/>
          <w:iCs/>
          <w:noProof/>
          <w:sz w:val="21"/>
          <w:szCs w:val="21"/>
        </w:rPr>
        <w:t>Faktor-Faktor yang berhubungan dengan fraud pengadaan barang / jasa di lembaga publik</w:t>
      </w:r>
      <w:r w:rsidRPr="008C6427">
        <w:rPr>
          <w:rFonts w:ascii="Cambria" w:hAnsi="Cambria"/>
          <w:noProof/>
          <w:sz w:val="21"/>
          <w:szCs w:val="21"/>
        </w:rPr>
        <w:t xml:space="preserve">. </w:t>
      </w:r>
      <w:r w:rsidRPr="008C6427">
        <w:rPr>
          <w:rFonts w:ascii="Cambria" w:hAnsi="Cambria"/>
          <w:i/>
          <w:noProof/>
          <w:sz w:val="21"/>
          <w:szCs w:val="21"/>
        </w:rPr>
        <w:t>Jurnal Accounting and Investment</w:t>
      </w:r>
      <w:r w:rsidRPr="008C6427">
        <w:rPr>
          <w:rFonts w:ascii="Cambria" w:hAnsi="Cambria"/>
          <w:noProof/>
          <w:sz w:val="21"/>
          <w:szCs w:val="21"/>
        </w:rPr>
        <w:t xml:space="preserve">, </w:t>
      </w:r>
      <w:r w:rsidRPr="008C6427">
        <w:rPr>
          <w:rFonts w:ascii="Cambria" w:hAnsi="Cambria"/>
          <w:i/>
          <w:iCs/>
          <w:noProof/>
          <w:sz w:val="21"/>
          <w:szCs w:val="21"/>
        </w:rPr>
        <w:t>18</w:t>
      </w:r>
      <w:r w:rsidRPr="008C6427">
        <w:rPr>
          <w:rFonts w:ascii="Cambria" w:hAnsi="Cambria"/>
          <w:noProof/>
          <w:sz w:val="21"/>
          <w:szCs w:val="21"/>
        </w:rPr>
        <w:t>(2), 209–221. https://doi.org/10.18196/jai.180284</w:t>
      </w:r>
    </w:p>
    <w:p w14:paraId="3CBD385D"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color w:val="000000" w:themeColor="text1"/>
          <w:sz w:val="21"/>
          <w:szCs w:val="21"/>
        </w:rPr>
      </w:pPr>
      <w:r w:rsidRPr="008C6427">
        <w:rPr>
          <w:rFonts w:ascii="Cambria" w:hAnsi="Cambria"/>
          <w:noProof/>
          <w:color w:val="000000" w:themeColor="text1"/>
          <w:sz w:val="21"/>
          <w:szCs w:val="21"/>
        </w:rPr>
        <w:t xml:space="preserve">Nurani, J., &amp; Kiswara, E. (2018). Analisis faktor-faktor yang mempengaruhi fraud pengadaan barang/jasa pada lingkungan instansi pemerintah di wilayah Semarang [environment of government agencies in the Semarang area]. </w:t>
      </w:r>
      <w:r w:rsidRPr="008C6427">
        <w:rPr>
          <w:rFonts w:ascii="Cambria" w:hAnsi="Cambria"/>
          <w:i/>
          <w:iCs/>
          <w:noProof/>
          <w:color w:val="000000" w:themeColor="text1"/>
          <w:sz w:val="21"/>
          <w:szCs w:val="21"/>
        </w:rPr>
        <w:t>Jurnal Muara Ilmu Ekonomi Dan Bisnis</w:t>
      </w:r>
      <w:r w:rsidRPr="008C6427">
        <w:rPr>
          <w:rFonts w:ascii="Cambria" w:hAnsi="Cambria"/>
          <w:noProof/>
          <w:color w:val="000000" w:themeColor="text1"/>
          <w:sz w:val="21"/>
          <w:szCs w:val="21"/>
        </w:rPr>
        <w:t xml:space="preserve">, </w:t>
      </w:r>
      <w:r w:rsidRPr="008C6427">
        <w:rPr>
          <w:rFonts w:ascii="Cambria" w:hAnsi="Cambria"/>
          <w:i/>
          <w:iCs/>
          <w:noProof/>
          <w:color w:val="000000" w:themeColor="text1"/>
          <w:sz w:val="21"/>
          <w:szCs w:val="21"/>
        </w:rPr>
        <w:t>2</w:t>
      </w:r>
      <w:r w:rsidRPr="008C6427">
        <w:rPr>
          <w:rFonts w:ascii="Cambria" w:hAnsi="Cambria"/>
          <w:noProof/>
          <w:color w:val="000000" w:themeColor="text1"/>
          <w:sz w:val="21"/>
          <w:szCs w:val="21"/>
        </w:rPr>
        <w:t xml:space="preserve">(1), 72–80. </w:t>
      </w:r>
      <w:hyperlink r:id="rId9" w:history="1">
        <w:r w:rsidRPr="008C6427">
          <w:rPr>
            <w:rStyle w:val="Hyperlink"/>
            <w:rFonts w:ascii="Cambria" w:hAnsi="Cambria"/>
            <w:noProof/>
            <w:color w:val="000000" w:themeColor="text1"/>
            <w:sz w:val="21"/>
            <w:szCs w:val="21"/>
          </w:rPr>
          <w:t>https://journal.untar.ac.id/index.php/jmieb/article/view/1662</w:t>
        </w:r>
      </w:hyperlink>
    </w:p>
    <w:p w14:paraId="4228243F"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Olivier, S., Burls, T., Fenge, L. A., &amp; Brown, K. (2016). Safeguarding adults and mass marketing fraud – Perspectives from the police, trading standards and the voluntary sector. </w:t>
      </w:r>
      <w:r w:rsidRPr="008C6427">
        <w:rPr>
          <w:rFonts w:ascii="Cambria" w:hAnsi="Cambria"/>
          <w:i/>
          <w:iCs/>
          <w:noProof/>
          <w:sz w:val="21"/>
          <w:szCs w:val="21"/>
        </w:rPr>
        <w:t>Journal of Social Welfare and Family Law</w:t>
      </w:r>
      <w:r w:rsidRPr="008C6427">
        <w:rPr>
          <w:rFonts w:ascii="Cambria" w:hAnsi="Cambria"/>
          <w:noProof/>
          <w:sz w:val="21"/>
          <w:szCs w:val="21"/>
        </w:rPr>
        <w:t xml:space="preserve">, </w:t>
      </w:r>
      <w:r w:rsidRPr="008C6427">
        <w:rPr>
          <w:rFonts w:ascii="Cambria" w:hAnsi="Cambria"/>
          <w:i/>
          <w:iCs/>
          <w:noProof/>
          <w:sz w:val="21"/>
          <w:szCs w:val="21"/>
        </w:rPr>
        <w:t>38</w:t>
      </w:r>
      <w:r w:rsidRPr="008C6427">
        <w:rPr>
          <w:rFonts w:ascii="Cambria" w:hAnsi="Cambria"/>
          <w:noProof/>
          <w:sz w:val="21"/>
          <w:szCs w:val="21"/>
        </w:rPr>
        <w:t>(2), 140–151. https://doi.org/10.1080/09649069.2016.1161872</w:t>
      </w:r>
    </w:p>
    <w:p w14:paraId="19036446"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Omar, M., Nawawi, A., &amp; Puteh Salin, A. S. A. (2016). The causes, impact and prevention of employee fraud. </w:t>
      </w:r>
      <w:r w:rsidRPr="008C6427">
        <w:rPr>
          <w:rFonts w:ascii="Cambria" w:hAnsi="Cambria"/>
          <w:i/>
          <w:iCs/>
          <w:noProof/>
          <w:sz w:val="21"/>
          <w:szCs w:val="21"/>
        </w:rPr>
        <w:t>Journal of Financial Crime</w:t>
      </w:r>
      <w:r w:rsidRPr="008C6427">
        <w:rPr>
          <w:rFonts w:ascii="Cambria" w:hAnsi="Cambria"/>
          <w:noProof/>
          <w:sz w:val="21"/>
          <w:szCs w:val="21"/>
        </w:rPr>
        <w:t xml:space="preserve">, </w:t>
      </w:r>
      <w:r w:rsidRPr="008C6427">
        <w:rPr>
          <w:rFonts w:ascii="Cambria" w:hAnsi="Cambria"/>
          <w:i/>
          <w:iCs/>
          <w:noProof/>
          <w:sz w:val="21"/>
          <w:szCs w:val="21"/>
        </w:rPr>
        <w:t>23</w:t>
      </w:r>
      <w:r w:rsidRPr="008C6427">
        <w:rPr>
          <w:rFonts w:ascii="Cambria" w:hAnsi="Cambria"/>
          <w:noProof/>
          <w:sz w:val="21"/>
          <w:szCs w:val="21"/>
        </w:rPr>
        <w:t>(4), 1012–1027. https://doi.org/10.1108/jfc-04-2015-0020</w:t>
      </w:r>
    </w:p>
    <w:p w14:paraId="322A8DAC"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Rian, K., Setiawan, B., Sujana, E., &amp; Wahyuni, M. A. (2020). </w:t>
      </w:r>
      <w:r w:rsidRPr="008C6427">
        <w:rPr>
          <w:rFonts w:ascii="Cambria" w:hAnsi="Cambria"/>
          <w:iCs/>
          <w:noProof/>
          <w:sz w:val="21"/>
          <w:szCs w:val="21"/>
        </w:rPr>
        <w:t>Faktor – faktor yang mempengaruhi procurement fraud di instansi pemerintahan ( studi kasus pada dinas-dinas di Kabupaten Buleleng) [Factors that influence procurement fraud in government agencies (case studies in offices in Buleleng Regency)]</w:t>
      </w:r>
      <w:r w:rsidRPr="008C6427">
        <w:rPr>
          <w:rFonts w:ascii="Cambria" w:hAnsi="Cambria"/>
          <w:noProof/>
          <w:sz w:val="21"/>
          <w:szCs w:val="21"/>
        </w:rPr>
        <w:t xml:space="preserve">. </w:t>
      </w:r>
      <w:r w:rsidRPr="008C6427">
        <w:rPr>
          <w:rFonts w:ascii="Cambria" w:hAnsi="Cambria"/>
          <w:i/>
          <w:noProof/>
          <w:sz w:val="21"/>
          <w:szCs w:val="21"/>
        </w:rPr>
        <w:t>Vokasi: Jurnal Riset Akuntansi</w:t>
      </w:r>
      <w:r w:rsidRPr="008C6427">
        <w:rPr>
          <w:rFonts w:ascii="Cambria" w:hAnsi="Cambria"/>
          <w:noProof/>
          <w:sz w:val="21"/>
          <w:szCs w:val="21"/>
        </w:rPr>
        <w:t xml:space="preserve">, </w:t>
      </w:r>
      <w:r w:rsidRPr="008C6427">
        <w:rPr>
          <w:rFonts w:ascii="Cambria" w:hAnsi="Cambria"/>
          <w:i/>
          <w:iCs/>
          <w:noProof/>
          <w:sz w:val="21"/>
          <w:szCs w:val="21"/>
        </w:rPr>
        <w:t>9</w:t>
      </w:r>
      <w:r w:rsidRPr="008C6427">
        <w:rPr>
          <w:rFonts w:ascii="Cambria" w:hAnsi="Cambria"/>
          <w:noProof/>
          <w:sz w:val="21"/>
          <w:szCs w:val="21"/>
        </w:rPr>
        <w:t>(1), 1–10.</w:t>
      </w:r>
    </w:p>
    <w:p w14:paraId="2589DAD3"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Sabatian, Z., &amp; Hutabarat, F. M. (2020). the Effect of fraud triangle in detecting financial statement fraud. </w:t>
      </w:r>
      <w:r w:rsidRPr="008C6427">
        <w:rPr>
          <w:rFonts w:ascii="Cambria" w:hAnsi="Cambria"/>
          <w:i/>
          <w:iCs/>
          <w:noProof/>
          <w:sz w:val="21"/>
          <w:szCs w:val="21"/>
        </w:rPr>
        <w:t>Jurnal Akuntansi</w:t>
      </w:r>
      <w:r w:rsidRPr="008C6427">
        <w:rPr>
          <w:rFonts w:ascii="Cambria" w:hAnsi="Cambria"/>
          <w:noProof/>
          <w:sz w:val="21"/>
          <w:szCs w:val="21"/>
        </w:rPr>
        <w:t xml:space="preserve">, </w:t>
      </w:r>
      <w:r w:rsidRPr="008C6427">
        <w:rPr>
          <w:rFonts w:ascii="Cambria" w:hAnsi="Cambria"/>
          <w:i/>
          <w:iCs/>
          <w:noProof/>
          <w:sz w:val="21"/>
          <w:szCs w:val="21"/>
        </w:rPr>
        <w:t>10</w:t>
      </w:r>
      <w:r w:rsidRPr="008C6427">
        <w:rPr>
          <w:rFonts w:ascii="Cambria" w:hAnsi="Cambria"/>
          <w:noProof/>
          <w:sz w:val="21"/>
          <w:szCs w:val="21"/>
        </w:rPr>
        <w:t>(3), 231–244. https://doi.org/10.33369/j.akuntansi.10.3.231-244</w:t>
      </w:r>
    </w:p>
    <w:p w14:paraId="349C943D"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Sahdan, M. H., Cowton, C. J., &amp; Drake, J. E. (2020). Forensic accounting services in English local government and the counter-fraud agenda [Factors related to fraud in the procurement of goods / services in public institutions. Journal of Accounting and Investment, 18(2), 209–221. https://doi.org/10.18196/jai.180284</w:t>
      </w:r>
    </w:p>
    <w:p w14:paraId="75EFBBDA"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Conscience, J., &amp; Kiswara, E. (2018). Analysis of the factors that influence fraud in the procurement of goods/services in the environment of government agencies in the Semarang area [environment of government agencies in the Semarang area]. Muara Journal of Economics and Business, 2(1), 72–80. https://journal.untar.ac.id/index.php/jmieb/article/view/1662</w:t>
      </w:r>
    </w:p>
    <w:p w14:paraId="09069648"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Olivier, S., Burls, T., Fenge, L. A., &amp; Brown, K. (2016). Safeguarding adults and mass marketing fraud – Perspectives from the police, trading standards and the voluntary sector. Journal of Social Welfare and Family Law, 38(2), 140–151. https://doi.org/10.1080/09649069.2016.1161872</w:t>
      </w:r>
    </w:p>
    <w:p w14:paraId="5CBFF3D7"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Omar, M., Nawawi, A., &amp; Puteh Salin, A. S. A. (2016). The causes, impact and prevention of employee fraud. Journal of Financial Crime, 23(4), 1012–1027. https://doi.org/10.1108/jfc-04-2015-0020</w:t>
      </w:r>
    </w:p>
    <w:p w14:paraId="4AFA54F9"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Rian, K., Setiawan, B., Sujana, E., &amp; Wahyuni, M. A. (2020). Factors that influence procurement fraud in government agencies (case studies in offices in Buleleng Regency) [Factors that influence procurement fraud in government agencies (case studies in offices in Buleleng </w:t>
      </w:r>
      <w:r w:rsidRPr="008C6427">
        <w:rPr>
          <w:rFonts w:ascii="Cambria" w:hAnsi="Cambria"/>
          <w:noProof/>
          <w:sz w:val="21"/>
          <w:szCs w:val="21"/>
        </w:rPr>
        <w:lastRenderedPageBreak/>
        <w:t>Regency)]. Vocational: Journal of Accounting Research, 9(1), 1–10.</w:t>
      </w:r>
    </w:p>
    <w:p w14:paraId="009AB472"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Sabatian, Z., &amp; Hutabarat, F. M. (2020). the Effect of fraud triangle in detecting financial statement fraud. Journal of Accounting, 10(3), 231–244. https://doi.org/10.33369/j.akuntansi.10.3.231-244</w:t>
      </w:r>
    </w:p>
    <w:p w14:paraId="4A0920AD"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Sahdan, M. H., Cowton, C. J., &amp; Drake, J. E. (2020). Forensic accounting services in English local government and the counter-fraud agenda. </w:t>
      </w:r>
      <w:r w:rsidRPr="008C6427">
        <w:rPr>
          <w:rFonts w:ascii="Cambria" w:hAnsi="Cambria"/>
          <w:i/>
          <w:iCs/>
          <w:noProof/>
          <w:sz w:val="21"/>
          <w:szCs w:val="21"/>
        </w:rPr>
        <w:t>Public Money and Management</w:t>
      </w:r>
      <w:r w:rsidRPr="008C6427">
        <w:rPr>
          <w:rFonts w:ascii="Cambria" w:hAnsi="Cambria"/>
          <w:noProof/>
          <w:sz w:val="21"/>
          <w:szCs w:val="21"/>
        </w:rPr>
        <w:t xml:space="preserve">, </w:t>
      </w:r>
      <w:r w:rsidRPr="008C6427">
        <w:rPr>
          <w:rFonts w:ascii="Cambria" w:hAnsi="Cambria"/>
          <w:i/>
          <w:iCs/>
          <w:noProof/>
          <w:sz w:val="21"/>
          <w:szCs w:val="21"/>
        </w:rPr>
        <w:t>40</w:t>
      </w:r>
      <w:r w:rsidRPr="008C6427">
        <w:rPr>
          <w:rFonts w:ascii="Cambria" w:hAnsi="Cambria"/>
          <w:noProof/>
          <w:sz w:val="21"/>
          <w:szCs w:val="21"/>
        </w:rPr>
        <w:t>(5), 380–389. https://doi.org/10.1080/09540962.2020.1714208</w:t>
      </w:r>
    </w:p>
    <w:p w14:paraId="5B376D94"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Said, J., Alam, M. M., Ramli, M., &amp; Rafidi, M. (2017). Integrating ethical values into fraud triangle theory in assessing employee fraud: Evidence from the Malaysian banking industry. </w:t>
      </w:r>
      <w:r w:rsidRPr="008C6427">
        <w:rPr>
          <w:rFonts w:ascii="Cambria" w:hAnsi="Cambria"/>
          <w:i/>
          <w:iCs/>
          <w:noProof/>
          <w:sz w:val="21"/>
          <w:szCs w:val="21"/>
        </w:rPr>
        <w:t>Journal of International Studies</w:t>
      </w:r>
      <w:r w:rsidRPr="008C6427">
        <w:rPr>
          <w:rFonts w:ascii="Cambria" w:hAnsi="Cambria"/>
          <w:noProof/>
          <w:sz w:val="21"/>
          <w:szCs w:val="21"/>
        </w:rPr>
        <w:t xml:space="preserve">, </w:t>
      </w:r>
      <w:r w:rsidRPr="008C6427">
        <w:rPr>
          <w:rFonts w:ascii="Cambria" w:hAnsi="Cambria"/>
          <w:i/>
          <w:iCs/>
          <w:noProof/>
          <w:sz w:val="21"/>
          <w:szCs w:val="21"/>
        </w:rPr>
        <w:t>10</w:t>
      </w:r>
      <w:r w:rsidRPr="008C6427">
        <w:rPr>
          <w:rFonts w:ascii="Cambria" w:hAnsi="Cambria"/>
          <w:noProof/>
          <w:sz w:val="21"/>
          <w:szCs w:val="21"/>
        </w:rPr>
        <w:t>(2), 170–184. https://doi.org/10.14254/2071-8330.2017/10-2/13</w:t>
      </w:r>
    </w:p>
    <w:p w14:paraId="7873BF2C"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proofErr w:type="gramStart"/>
      <w:r w:rsidRPr="008C6427">
        <w:rPr>
          <w:rFonts w:ascii="Cambria" w:hAnsi="Cambria"/>
          <w:sz w:val="21"/>
          <w:szCs w:val="21"/>
        </w:rPr>
        <w:t xml:space="preserve">Sari, N. K. I. P., &amp; </w:t>
      </w:r>
      <w:proofErr w:type="spellStart"/>
      <w:r w:rsidRPr="008C6427">
        <w:rPr>
          <w:rFonts w:ascii="Cambria" w:hAnsi="Cambria"/>
          <w:sz w:val="21"/>
          <w:szCs w:val="21"/>
        </w:rPr>
        <w:t>Suartana</w:t>
      </w:r>
      <w:proofErr w:type="spellEnd"/>
      <w:r w:rsidRPr="008C6427">
        <w:rPr>
          <w:rFonts w:ascii="Cambria" w:hAnsi="Cambria"/>
          <w:sz w:val="21"/>
          <w:szCs w:val="21"/>
        </w:rPr>
        <w:t>, I. W. (2020).</w:t>
      </w:r>
      <w:proofErr w:type="gramEnd"/>
      <w:r w:rsidRPr="008C6427">
        <w:rPr>
          <w:rFonts w:ascii="Cambria" w:hAnsi="Cambria"/>
          <w:sz w:val="21"/>
          <w:szCs w:val="21"/>
        </w:rPr>
        <w:t xml:space="preserve"> </w:t>
      </w:r>
      <w:proofErr w:type="spellStart"/>
      <w:proofErr w:type="gramStart"/>
      <w:r w:rsidRPr="008C6427">
        <w:rPr>
          <w:rFonts w:ascii="Cambria" w:hAnsi="Cambria"/>
          <w:sz w:val="21"/>
          <w:szCs w:val="21"/>
        </w:rPr>
        <w:t>Analisis</w:t>
      </w:r>
      <w:proofErr w:type="spellEnd"/>
      <w:r w:rsidRPr="008C6427">
        <w:rPr>
          <w:rFonts w:ascii="Cambria" w:hAnsi="Cambria"/>
          <w:sz w:val="21"/>
          <w:szCs w:val="21"/>
        </w:rPr>
        <w:t xml:space="preserve"> </w:t>
      </w:r>
      <w:proofErr w:type="spellStart"/>
      <w:r w:rsidRPr="008C6427">
        <w:rPr>
          <w:rFonts w:ascii="Cambria" w:hAnsi="Cambria"/>
          <w:sz w:val="21"/>
          <w:szCs w:val="21"/>
        </w:rPr>
        <w:t>faktor-faktor</w:t>
      </w:r>
      <w:proofErr w:type="spellEnd"/>
      <w:r w:rsidRPr="008C6427">
        <w:rPr>
          <w:rFonts w:ascii="Cambria" w:hAnsi="Cambria"/>
          <w:sz w:val="21"/>
          <w:szCs w:val="21"/>
        </w:rPr>
        <w:t xml:space="preserve"> yang </w:t>
      </w:r>
      <w:proofErr w:type="spellStart"/>
      <w:r w:rsidRPr="008C6427">
        <w:rPr>
          <w:rFonts w:ascii="Cambria" w:hAnsi="Cambria"/>
          <w:sz w:val="21"/>
          <w:szCs w:val="21"/>
        </w:rPr>
        <w:t>mempengaruhi</w:t>
      </w:r>
      <w:proofErr w:type="spellEnd"/>
      <w:r w:rsidRPr="008C6427">
        <w:rPr>
          <w:rFonts w:ascii="Cambria" w:hAnsi="Cambria"/>
          <w:sz w:val="21"/>
          <w:szCs w:val="21"/>
        </w:rPr>
        <w:t xml:space="preserve"> fraud </w:t>
      </w:r>
      <w:proofErr w:type="spellStart"/>
      <w:r w:rsidRPr="008C6427">
        <w:rPr>
          <w:rFonts w:ascii="Cambria" w:hAnsi="Cambria"/>
          <w:sz w:val="21"/>
          <w:szCs w:val="21"/>
        </w:rPr>
        <w:t>pengadaan</w:t>
      </w:r>
      <w:proofErr w:type="spellEnd"/>
      <w:r w:rsidRPr="008C6427">
        <w:rPr>
          <w:rFonts w:ascii="Cambria" w:hAnsi="Cambria"/>
          <w:sz w:val="21"/>
          <w:szCs w:val="21"/>
        </w:rPr>
        <w:t xml:space="preserve"> </w:t>
      </w:r>
      <w:proofErr w:type="spellStart"/>
      <w:r w:rsidRPr="008C6427">
        <w:rPr>
          <w:rFonts w:ascii="Cambria" w:hAnsi="Cambria"/>
          <w:sz w:val="21"/>
          <w:szCs w:val="21"/>
        </w:rPr>
        <w:t>barang</w:t>
      </w:r>
      <w:proofErr w:type="spellEnd"/>
      <w:r w:rsidRPr="008C6427">
        <w:rPr>
          <w:rFonts w:ascii="Cambria" w:hAnsi="Cambria"/>
          <w:sz w:val="21"/>
          <w:szCs w:val="21"/>
        </w:rPr>
        <w:t xml:space="preserve"> </w:t>
      </w:r>
      <w:proofErr w:type="spellStart"/>
      <w:r w:rsidRPr="008C6427">
        <w:rPr>
          <w:rFonts w:ascii="Cambria" w:hAnsi="Cambria"/>
          <w:sz w:val="21"/>
          <w:szCs w:val="21"/>
        </w:rPr>
        <w:t>dan</w:t>
      </w:r>
      <w:proofErr w:type="spellEnd"/>
      <w:r w:rsidRPr="008C6427">
        <w:rPr>
          <w:rFonts w:ascii="Cambria" w:hAnsi="Cambria"/>
          <w:sz w:val="21"/>
          <w:szCs w:val="21"/>
        </w:rPr>
        <w:t xml:space="preserve"> </w:t>
      </w:r>
      <w:proofErr w:type="spellStart"/>
      <w:r w:rsidRPr="008C6427">
        <w:rPr>
          <w:rFonts w:ascii="Cambria" w:hAnsi="Cambria"/>
          <w:sz w:val="21"/>
          <w:szCs w:val="21"/>
        </w:rPr>
        <w:t>jasa</w:t>
      </w:r>
      <w:proofErr w:type="spellEnd"/>
      <w:r w:rsidRPr="008C6427">
        <w:rPr>
          <w:rFonts w:ascii="Cambria" w:hAnsi="Cambria"/>
          <w:sz w:val="21"/>
          <w:szCs w:val="21"/>
        </w:rPr>
        <w:t xml:space="preserve"> di </w:t>
      </w:r>
      <w:proofErr w:type="spellStart"/>
      <w:r w:rsidRPr="008C6427">
        <w:rPr>
          <w:rFonts w:ascii="Cambria" w:hAnsi="Cambria"/>
          <w:sz w:val="21"/>
          <w:szCs w:val="21"/>
        </w:rPr>
        <w:t>pemerintahan</w:t>
      </w:r>
      <w:proofErr w:type="spellEnd"/>
      <w:r w:rsidRPr="008C6427">
        <w:rPr>
          <w:rFonts w:ascii="Cambria" w:hAnsi="Cambria"/>
          <w:sz w:val="21"/>
          <w:szCs w:val="21"/>
        </w:rPr>
        <w:t xml:space="preserve"> </w:t>
      </w:r>
      <w:proofErr w:type="spellStart"/>
      <w:r w:rsidRPr="008C6427">
        <w:rPr>
          <w:rFonts w:ascii="Cambria" w:hAnsi="Cambria"/>
          <w:sz w:val="21"/>
          <w:szCs w:val="21"/>
        </w:rPr>
        <w:t>desa</w:t>
      </w:r>
      <w:proofErr w:type="spellEnd"/>
      <w:r w:rsidRPr="008C6427">
        <w:rPr>
          <w:rFonts w:ascii="Cambria" w:hAnsi="Cambria"/>
          <w:sz w:val="21"/>
          <w:szCs w:val="21"/>
        </w:rPr>
        <w:t xml:space="preserve"> [Analysis of the factors that influence the fraud in the procurement of goods and services in the village government].</w:t>
      </w:r>
      <w:proofErr w:type="gramEnd"/>
      <w:r w:rsidRPr="008C6427">
        <w:rPr>
          <w:rFonts w:ascii="Cambria" w:hAnsi="Cambria"/>
          <w:sz w:val="21"/>
          <w:szCs w:val="21"/>
        </w:rPr>
        <w:t xml:space="preserve"> </w:t>
      </w:r>
      <w:r w:rsidRPr="008C6427">
        <w:rPr>
          <w:rFonts w:ascii="Cambria" w:hAnsi="Cambria"/>
          <w:i/>
          <w:sz w:val="21"/>
          <w:szCs w:val="21"/>
        </w:rPr>
        <w:t>E-</w:t>
      </w:r>
      <w:proofErr w:type="spellStart"/>
      <w:r w:rsidRPr="008C6427">
        <w:rPr>
          <w:rFonts w:ascii="Cambria" w:hAnsi="Cambria"/>
          <w:i/>
          <w:sz w:val="21"/>
          <w:szCs w:val="21"/>
        </w:rPr>
        <w:t>Jurnal</w:t>
      </w:r>
      <w:proofErr w:type="spellEnd"/>
      <w:r w:rsidRPr="008C6427">
        <w:rPr>
          <w:rFonts w:ascii="Cambria" w:hAnsi="Cambria"/>
          <w:i/>
          <w:sz w:val="21"/>
          <w:szCs w:val="21"/>
        </w:rPr>
        <w:t xml:space="preserve"> </w:t>
      </w:r>
      <w:proofErr w:type="spellStart"/>
      <w:r w:rsidRPr="008C6427">
        <w:rPr>
          <w:rFonts w:ascii="Cambria" w:hAnsi="Cambria"/>
          <w:i/>
          <w:sz w:val="21"/>
          <w:szCs w:val="21"/>
        </w:rPr>
        <w:t>Akuntasi</w:t>
      </w:r>
      <w:proofErr w:type="spellEnd"/>
      <w:r w:rsidRPr="008C6427">
        <w:rPr>
          <w:rFonts w:ascii="Cambria" w:hAnsi="Cambria"/>
          <w:sz w:val="21"/>
          <w:szCs w:val="21"/>
        </w:rPr>
        <w:t>, 30(3), 571-583</w:t>
      </w:r>
    </w:p>
    <w:p w14:paraId="0B79F738"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Schuchter, A., &amp; Levi, M. (2016). The Fraud Triangle revisited. </w:t>
      </w:r>
      <w:r w:rsidRPr="008C6427">
        <w:rPr>
          <w:rFonts w:ascii="Cambria" w:hAnsi="Cambria"/>
          <w:i/>
          <w:iCs/>
          <w:noProof/>
          <w:sz w:val="21"/>
          <w:szCs w:val="21"/>
        </w:rPr>
        <w:t>Security Journal</w:t>
      </w:r>
      <w:r w:rsidRPr="008C6427">
        <w:rPr>
          <w:rFonts w:ascii="Cambria" w:hAnsi="Cambria"/>
          <w:noProof/>
          <w:sz w:val="21"/>
          <w:szCs w:val="21"/>
        </w:rPr>
        <w:t xml:space="preserve">, </w:t>
      </w:r>
      <w:r w:rsidRPr="008C6427">
        <w:rPr>
          <w:rFonts w:ascii="Cambria" w:hAnsi="Cambria"/>
          <w:i/>
          <w:iCs/>
          <w:noProof/>
          <w:sz w:val="21"/>
          <w:szCs w:val="21"/>
        </w:rPr>
        <w:t>29</w:t>
      </w:r>
      <w:r w:rsidRPr="008C6427">
        <w:rPr>
          <w:rFonts w:ascii="Cambria" w:hAnsi="Cambria"/>
          <w:noProof/>
          <w:sz w:val="21"/>
          <w:szCs w:val="21"/>
        </w:rPr>
        <w:t>(2), 107–121. https://doi.org/10.1057/sj.2013.1</w:t>
      </w:r>
    </w:p>
    <w:p w14:paraId="610DD8F6"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Shepherd, D., &amp; Button, M. (2019). Organizational inhibitions to addressing occupational fraud: a theory of differential rationalization. </w:t>
      </w:r>
      <w:r w:rsidRPr="008C6427">
        <w:rPr>
          <w:rFonts w:ascii="Cambria" w:hAnsi="Cambria"/>
          <w:i/>
          <w:iCs/>
          <w:noProof/>
          <w:sz w:val="21"/>
          <w:szCs w:val="21"/>
        </w:rPr>
        <w:t>Deviant Behavior</w:t>
      </w:r>
      <w:r w:rsidRPr="008C6427">
        <w:rPr>
          <w:rFonts w:ascii="Cambria" w:hAnsi="Cambria"/>
          <w:noProof/>
          <w:sz w:val="21"/>
          <w:szCs w:val="21"/>
        </w:rPr>
        <w:t xml:space="preserve">, </w:t>
      </w:r>
      <w:r w:rsidRPr="008C6427">
        <w:rPr>
          <w:rFonts w:ascii="Cambria" w:hAnsi="Cambria"/>
          <w:i/>
          <w:iCs/>
          <w:noProof/>
          <w:sz w:val="21"/>
          <w:szCs w:val="21"/>
        </w:rPr>
        <w:t>40</w:t>
      </w:r>
      <w:r w:rsidRPr="008C6427">
        <w:rPr>
          <w:rFonts w:ascii="Cambria" w:hAnsi="Cambria"/>
          <w:noProof/>
          <w:sz w:val="21"/>
          <w:szCs w:val="21"/>
        </w:rPr>
        <w:t>(8), 971–991. https://doi.org/10.1080/01639625.2018.1453009</w:t>
      </w:r>
    </w:p>
    <w:p w14:paraId="6B49495B"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Varma, T. N., &amp; Khan, D. A. (2016). Greed an attribute of fraudster. </w:t>
      </w:r>
      <w:r w:rsidRPr="008C6427">
        <w:rPr>
          <w:rFonts w:ascii="Cambria" w:hAnsi="Cambria"/>
          <w:i/>
          <w:iCs/>
          <w:noProof/>
          <w:sz w:val="21"/>
          <w:szCs w:val="21"/>
        </w:rPr>
        <w:t xml:space="preserve">AIMS International Journal of Management    </w:t>
      </w:r>
      <w:r w:rsidRPr="008C6427">
        <w:rPr>
          <w:rFonts w:ascii="Cambria" w:hAnsi="Cambria"/>
          <w:noProof/>
          <w:sz w:val="21"/>
          <w:szCs w:val="21"/>
        </w:rPr>
        <w:t xml:space="preserve">, </w:t>
      </w:r>
      <w:r w:rsidRPr="008C6427">
        <w:rPr>
          <w:rFonts w:ascii="Cambria" w:hAnsi="Cambria"/>
          <w:i/>
          <w:iCs/>
          <w:noProof/>
          <w:sz w:val="21"/>
          <w:szCs w:val="21"/>
        </w:rPr>
        <w:t>10</w:t>
      </w:r>
      <w:r w:rsidRPr="008C6427">
        <w:rPr>
          <w:rFonts w:ascii="Cambria" w:hAnsi="Cambria"/>
          <w:noProof/>
          <w:sz w:val="21"/>
          <w:szCs w:val="21"/>
        </w:rPr>
        <w:t>(2), 83–99.</w:t>
      </w:r>
    </w:p>
    <w:p w14:paraId="759008CA"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Wiedermann, C. J., &amp; Joannidis, M. (2018). The Boldt scandal still in need of action: the example of colloids 10 years after initial suspicion of fraud. </w:t>
      </w:r>
      <w:r w:rsidRPr="008C6427">
        <w:rPr>
          <w:rFonts w:ascii="Cambria" w:hAnsi="Cambria"/>
          <w:i/>
          <w:iCs/>
          <w:noProof/>
          <w:sz w:val="21"/>
          <w:szCs w:val="21"/>
        </w:rPr>
        <w:t>Intensive Care Medicine</w:t>
      </w:r>
      <w:r w:rsidRPr="008C6427">
        <w:rPr>
          <w:rFonts w:ascii="Cambria" w:hAnsi="Cambria"/>
          <w:noProof/>
          <w:sz w:val="21"/>
          <w:szCs w:val="21"/>
        </w:rPr>
        <w:t xml:space="preserve">, </w:t>
      </w:r>
      <w:r w:rsidRPr="008C6427">
        <w:rPr>
          <w:rFonts w:ascii="Cambria" w:hAnsi="Cambria"/>
          <w:i/>
          <w:iCs/>
          <w:noProof/>
          <w:sz w:val="21"/>
          <w:szCs w:val="21"/>
        </w:rPr>
        <w:t>44</w:t>
      </w:r>
      <w:r w:rsidRPr="008C6427">
        <w:rPr>
          <w:rFonts w:ascii="Cambria" w:hAnsi="Cambria"/>
          <w:noProof/>
          <w:sz w:val="21"/>
          <w:szCs w:val="21"/>
        </w:rPr>
        <w:t>(10), 1735–1737. https://doi.org/10.1007/s00134-018-5289-3</w:t>
      </w:r>
    </w:p>
    <w:p w14:paraId="31AE1A68"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Wuerges, A. F. E., &amp; Borba, J. A. (2014). Fraudes contábeis: Uma estimativa da probabilidade de detecção. </w:t>
      </w:r>
      <w:r w:rsidRPr="008C6427">
        <w:rPr>
          <w:rFonts w:ascii="Cambria" w:hAnsi="Cambria"/>
          <w:i/>
          <w:iCs/>
          <w:noProof/>
          <w:sz w:val="21"/>
          <w:szCs w:val="21"/>
        </w:rPr>
        <w:t>Revista Brasileira de Gestao de Negocios</w:t>
      </w:r>
      <w:r w:rsidRPr="008C6427">
        <w:rPr>
          <w:rFonts w:ascii="Cambria" w:hAnsi="Cambria"/>
          <w:noProof/>
          <w:sz w:val="21"/>
          <w:szCs w:val="21"/>
        </w:rPr>
        <w:t xml:space="preserve">, </w:t>
      </w:r>
      <w:r w:rsidRPr="008C6427">
        <w:rPr>
          <w:rFonts w:ascii="Cambria" w:hAnsi="Cambria"/>
          <w:i/>
          <w:iCs/>
          <w:noProof/>
          <w:sz w:val="21"/>
          <w:szCs w:val="21"/>
        </w:rPr>
        <w:t>16</w:t>
      </w:r>
      <w:r w:rsidRPr="008C6427">
        <w:rPr>
          <w:rFonts w:ascii="Cambria" w:hAnsi="Cambria"/>
          <w:noProof/>
          <w:sz w:val="21"/>
          <w:szCs w:val="21"/>
        </w:rPr>
        <w:t>(52), 466–483. https://doi.org/10.7819/rbgn.v16i52.1555</w:t>
      </w:r>
    </w:p>
    <w:p w14:paraId="7F37C658"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Yu, E. W. Y. (2011). Electoral fraud and governance: The 2009 legislative direct election in Macao. </w:t>
      </w:r>
      <w:r w:rsidRPr="008C6427">
        <w:rPr>
          <w:rFonts w:ascii="Cambria" w:hAnsi="Cambria"/>
          <w:i/>
          <w:iCs/>
          <w:noProof/>
          <w:sz w:val="21"/>
          <w:szCs w:val="21"/>
        </w:rPr>
        <w:t>Journal of Comparative Asian Development</w:t>
      </w:r>
      <w:r w:rsidRPr="008C6427">
        <w:rPr>
          <w:rFonts w:ascii="Cambria" w:hAnsi="Cambria"/>
          <w:noProof/>
          <w:sz w:val="21"/>
          <w:szCs w:val="21"/>
        </w:rPr>
        <w:t xml:space="preserve">, </w:t>
      </w:r>
      <w:r w:rsidRPr="008C6427">
        <w:rPr>
          <w:rFonts w:ascii="Cambria" w:hAnsi="Cambria"/>
          <w:i/>
          <w:iCs/>
          <w:noProof/>
          <w:sz w:val="21"/>
          <w:szCs w:val="21"/>
        </w:rPr>
        <w:t>10</w:t>
      </w:r>
      <w:r w:rsidRPr="008C6427">
        <w:rPr>
          <w:rFonts w:ascii="Cambria" w:hAnsi="Cambria"/>
          <w:noProof/>
          <w:sz w:val="21"/>
          <w:szCs w:val="21"/>
        </w:rPr>
        <w:t>(1), 90–128. https://doi.org/10.1080/15339114.2011.578484</w:t>
      </w:r>
    </w:p>
    <w:p w14:paraId="19C11183"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sz w:val="21"/>
          <w:szCs w:val="21"/>
        </w:rPr>
      </w:pPr>
      <w:r w:rsidRPr="008C6427">
        <w:rPr>
          <w:rFonts w:ascii="Cambria" w:hAnsi="Cambria"/>
          <w:noProof/>
          <w:sz w:val="21"/>
          <w:szCs w:val="21"/>
        </w:rPr>
        <w:t xml:space="preserve">Yuniarti, R. D. (2017). </w:t>
      </w:r>
      <w:proofErr w:type="gramStart"/>
      <w:r w:rsidRPr="008C6427">
        <w:rPr>
          <w:rFonts w:ascii="Cambria" w:hAnsi="Cambria"/>
          <w:sz w:val="21"/>
          <w:szCs w:val="21"/>
        </w:rPr>
        <w:t>The effect of internal control and anti-fraud awareness on fraud prevention (A survey on inter-governmental organizations).</w:t>
      </w:r>
      <w:proofErr w:type="gramEnd"/>
      <w:r w:rsidRPr="008C6427">
        <w:rPr>
          <w:rFonts w:ascii="Cambria" w:hAnsi="Cambria"/>
          <w:sz w:val="21"/>
          <w:szCs w:val="21"/>
        </w:rPr>
        <w:t xml:space="preserve"> </w:t>
      </w:r>
      <w:r w:rsidRPr="008C6427">
        <w:rPr>
          <w:rFonts w:ascii="Cambria" w:hAnsi="Cambria"/>
          <w:i/>
          <w:sz w:val="21"/>
          <w:szCs w:val="21"/>
        </w:rPr>
        <w:t>Journal of Economics, Business, and Accountancy Ventura</w:t>
      </w:r>
      <w:r w:rsidRPr="008C6427">
        <w:rPr>
          <w:rFonts w:ascii="Cambria" w:hAnsi="Cambria"/>
          <w:sz w:val="21"/>
          <w:szCs w:val="21"/>
        </w:rPr>
        <w:t>, 20(1), 113-124</w:t>
      </w:r>
    </w:p>
    <w:p w14:paraId="1EC98584"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r w:rsidRPr="008C6427">
        <w:rPr>
          <w:rFonts w:ascii="Cambria" w:hAnsi="Cambria"/>
          <w:noProof/>
          <w:sz w:val="21"/>
          <w:szCs w:val="21"/>
        </w:rPr>
        <w:t xml:space="preserve">Zourrig, H., &amp; Park, J. (2019). The effects of cultural tightness and perceived unfairness on Japanese consumers’ attitude towards insurance fraud: the mediating effect of rationalization. </w:t>
      </w:r>
      <w:r w:rsidRPr="008C6427">
        <w:rPr>
          <w:rFonts w:ascii="Cambria" w:hAnsi="Cambria"/>
          <w:i/>
          <w:iCs/>
          <w:noProof/>
          <w:sz w:val="21"/>
          <w:szCs w:val="21"/>
        </w:rPr>
        <w:t>Journal of Financial Services Marketing</w:t>
      </w:r>
      <w:r w:rsidRPr="008C6427">
        <w:rPr>
          <w:rFonts w:ascii="Cambria" w:hAnsi="Cambria"/>
          <w:noProof/>
          <w:sz w:val="21"/>
          <w:szCs w:val="21"/>
        </w:rPr>
        <w:t xml:space="preserve">, </w:t>
      </w:r>
      <w:r w:rsidRPr="008C6427">
        <w:rPr>
          <w:rFonts w:ascii="Cambria" w:hAnsi="Cambria"/>
          <w:i/>
          <w:iCs/>
          <w:noProof/>
          <w:sz w:val="21"/>
          <w:szCs w:val="21"/>
        </w:rPr>
        <w:t>24</w:t>
      </w:r>
      <w:r w:rsidRPr="008C6427">
        <w:rPr>
          <w:rFonts w:ascii="Cambria" w:hAnsi="Cambria"/>
          <w:noProof/>
          <w:sz w:val="21"/>
          <w:szCs w:val="21"/>
        </w:rPr>
        <w:t>(1–2), 21–30. https://doi.org/10.1057/s41264-019-00061-w</w:t>
      </w:r>
    </w:p>
    <w:p w14:paraId="3413D1E6" w14:textId="77777777" w:rsidR="008C6427" w:rsidRPr="008C6427" w:rsidRDefault="008C6427" w:rsidP="008C6427">
      <w:pPr>
        <w:widowControl w:val="0"/>
        <w:autoSpaceDE w:val="0"/>
        <w:autoSpaceDN w:val="0"/>
        <w:adjustRightInd w:val="0"/>
        <w:spacing w:after="0" w:line="240" w:lineRule="auto"/>
        <w:ind w:left="480" w:hanging="480"/>
        <w:jc w:val="both"/>
        <w:rPr>
          <w:rFonts w:ascii="Cambria" w:hAnsi="Cambria"/>
          <w:noProof/>
          <w:sz w:val="21"/>
          <w:szCs w:val="21"/>
        </w:rPr>
      </w:pPr>
    </w:p>
    <w:p w14:paraId="53E92375" w14:textId="77777777" w:rsidR="008C6427" w:rsidRDefault="008C6427" w:rsidP="008C6427">
      <w:pPr>
        <w:widowControl w:val="0"/>
        <w:autoSpaceDE w:val="0"/>
        <w:autoSpaceDN w:val="0"/>
        <w:adjustRightInd w:val="0"/>
        <w:spacing w:after="0"/>
        <w:ind w:left="480" w:hanging="480"/>
        <w:jc w:val="both"/>
        <w:rPr>
          <w:rFonts w:ascii="Times New Roman" w:hAnsi="Times New Roman"/>
          <w:noProof/>
        </w:rPr>
      </w:pPr>
    </w:p>
    <w:p w14:paraId="340840E4" w14:textId="4D4AFC06" w:rsidR="003903EB" w:rsidRPr="003903EB" w:rsidRDefault="003903EB" w:rsidP="003903EB">
      <w:pPr>
        <w:tabs>
          <w:tab w:val="left" w:pos="5310"/>
        </w:tabs>
      </w:pPr>
    </w:p>
    <w:sectPr w:rsidR="003903EB" w:rsidRPr="003903EB" w:rsidSect="00E8624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6EE35" w14:textId="77777777" w:rsidR="001E4B05" w:rsidRDefault="001E4B05" w:rsidP="004B1FA9">
      <w:pPr>
        <w:spacing w:after="0" w:line="240" w:lineRule="auto"/>
      </w:pPr>
      <w:r>
        <w:separator/>
      </w:r>
    </w:p>
  </w:endnote>
  <w:endnote w:type="continuationSeparator" w:id="0">
    <w:p w14:paraId="549814F4" w14:textId="77777777" w:rsidR="001E4B05" w:rsidRDefault="001E4B05"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BE8F" w14:textId="77777777" w:rsidR="006B21A6" w:rsidRDefault="006B21A6" w:rsidP="00677579">
    <w:pPr>
      <w:pStyle w:val="Footer"/>
      <w:framePr w:wrap="auto" w:vAnchor="text" w:hAnchor="margin" w:xAlign="outside" w:y="1"/>
      <w:spacing w:before="120" w:after="0" w:line="240" w:lineRule="auto"/>
      <w:rPr>
        <w:rStyle w:val="PageNumber"/>
      </w:rPr>
    </w:pPr>
    <w:r>
      <w:rPr>
        <w:rStyle w:val="PageNumber"/>
      </w:rPr>
      <w:fldChar w:fldCharType="begin"/>
    </w:r>
    <w:r w:rsidRPr="00B505D8">
      <w:rPr>
        <w:rStyle w:val="PageNumber"/>
      </w:rPr>
      <w:instrText xml:space="preserve">PAGE  </w:instrText>
    </w:r>
    <w:r>
      <w:rPr>
        <w:rStyle w:val="PageNumber"/>
      </w:rPr>
      <w:fldChar w:fldCharType="separate"/>
    </w:r>
    <w:r w:rsidR="00D60D0A">
      <w:rPr>
        <w:rStyle w:val="PageNumber"/>
        <w:noProof/>
      </w:rPr>
      <w:t>26</w:t>
    </w:r>
    <w:r>
      <w:rPr>
        <w:rStyle w:val="PageNumber"/>
      </w:rPr>
      <w:fldChar w:fldCharType="end"/>
    </w:r>
    <w:r>
      <w:rPr>
        <w:rStyle w:val="PageNumber"/>
      </w:rPr>
      <w:t xml:space="preserve"> │</w:t>
    </w:r>
  </w:p>
  <w:p w14:paraId="22515848" w14:textId="3436C283" w:rsidR="006B21A6" w:rsidRPr="00E8624E" w:rsidRDefault="00525046"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3149F">
      <w:rPr>
        <w:rFonts w:ascii="Cambria" w:hAnsi="Cambria" w:cs="Vani"/>
        <w:spacing w:val="-6"/>
        <w:sz w:val="20"/>
        <w:szCs w:val="20"/>
      </w:rPr>
      <w:t>8071</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6CEE" w14:textId="77777777" w:rsidR="006B21A6" w:rsidRDefault="006B21A6" w:rsidP="00171CFA">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10F36">
      <w:rPr>
        <w:rStyle w:val="PageNumber"/>
        <w:noProof/>
      </w:rPr>
      <w:t>35</w:t>
    </w:r>
    <w:r>
      <w:rPr>
        <w:rStyle w:val="PageNumber"/>
      </w:rPr>
      <w:fldChar w:fldCharType="end"/>
    </w:r>
  </w:p>
  <w:p w14:paraId="0936DE46" w14:textId="6FDDDCA2" w:rsidR="006B21A6" w:rsidRPr="00E8624E" w:rsidRDefault="006B21A6"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3149F">
      <w:rPr>
        <w:rFonts w:ascii="Cambria" w:hAnsi="Cambria"/>
        <w:spacing w:val="-6"/>
        <w:sz w:val="20"/>
        <w:szCs w:val="20"/>
      </w:rPr>
      <w:t xml:space="preserve">8071 </w:t>
    </w:r>
    <w:r w:rsidRPr="00E8624E">
      <w:rPr>
        <w:rFonts w:ascii="Cambria" w:hAnsi="Cambria"/>
        <w:spacing w:val="-6"/>
        <w:sz w:val="20"/>
        <w:szCs w:val="20"/>
      </w:rPr>
      <w:t>(online)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6FA3" w14:textId="2DFADAC7" w:rsidR="00720572" w:rsidRPr="00FD584C" w:rsidRDefault="00720572" w:rsidP="00720572">
    <w:pPr>
      <w:pStyle w:val="BodyText"/>
      <w:spacing w:before="20"/>
      <w:ind w:left="20"/>
      <w:rPr>
        <w:rFonts w:ascii="Cambria" w:hAnsi="Cambria" w:cs="Open Sans"/>
        <w:b/>
        <w:bCs/>
        <w:color w:val="333333"/>
        <w:sz w:val="20"/>
        <w:szCs w:val="20"/>
        <w:shd w:val="clear" w:color="auto" w:fill="FFFFFF"/>
        <w:lang w:val="en-US"/>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w:t>
    </w:r>
    <w:r w:rsidRPr="00D2701C">
      <w:rPr>
        <w:rFonts w:ascii="Cambria" w:hAnsi="Cambria" w:cs="Open Sans"/>
        <w:color w:val="333333"/>
        <w:sz w:val="20"/>
        <w:szCs w:val="20"/>
        <w:shd w:val="clear" w:color="auto" w:fill="FFFFFF"/>
        <w:lang w:val="en-US"/>
      </w:rPr>
      <w:t>20</w:t>
    </w:r>
    <w:r w:rsidR="003903EB">
      <w:rPr>
        <w:rFonts w:ascii="Cambria" w:hAnsi="Cambria" w:cs="Open Sans"/>
        <w:color w:val="333333"/>
        <w:sz w:val="20"/>
        <w:szCs w:val="20"/>
        <w:shd w:val="clear" w:color="auto" w:fill="FFFFFF"/>
        <w:lang w:val="en-US"/>
      </w:rPr>
      <w:t xml:space="preserve"> </w:t>
    </w:r>
    <w:r w:rsidR="00310F36" w:rsidRPr="00310F36">
      <w:rPr>
        <w:rFonts w:ascii="Cambria" w:hAnsi="Cambria"/>
        <w:b/>
        <w:sz w:val="20"/>
        <w:szCs w:val="20"/>
      </w:rPr>
      <w:t>Elna Marsye Pattinaja</w:t>
    </w:r>
    <w:r w:rsidR="00310F36">
      <w:rPr>
        <w:rFonts w:ascii="Cambria" w:hAnsi="Cambria"/>
        <w:b/>
        <w:sz w:val="20"/>
        <w:szCs w:val="20"/>
      </w:rPr>
      <w:t xml:space="preserve"> et.al</w:t>
    </w:r>
  </w:p>
  <w:p w14:paraId="4E657ABC" w14:textId="77777777" w:rsidR="00965301" w:rsidRPr="00D2701C" w:rsidRDefault="00720572"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w:t>
      </w:r>
      <w:proofErr w:type="spellStart"/>
      <w:r w:rsidRPr="00D2701C">
        <w:rPr>
          <w:rStyle w:val="Hyperlink"/>
          <w:rFonts w:ascii="Cambria" w:hAnsi="Cambria" w:cs="Open Sans"/>
          <w:color w:val="0D355E"/>
          <w:shd w:val="clear" w:color="auto" w:fill="FFFFFF"/>
        </w:rPr>
        <w:t>ShareAlike</w:t>
      </w:r>
      <w:proofErr w:type="spellEnd"/>
      <w:r w:rsidRPr="00D2701C">
        <w:rPr>
          <w:rStyle w:val="Hyperlink"/>
          <w:rFonts w:ascii="Cambria" w:hAnsi="Cambria" w:cs="Open Sans"/>
          <w:color w:val="0D355E"/>
          <w:shd w:val="clear" w:color="auto" w:fill="FFFFFF"/>
        </w:rPr>
        <w:t xml:space="preserv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4383FD2E" w:rsidR="006B21A6" w:rsidRPr="009E3BFE" w:rsidRDefault="00307F16" w:rsidP="005B1781">
    <w:pPr>
      <w:pStyle w:val="FootnoteText"/>
    </w:pPr>
    <w:r>
      <w:rPr>
        <w:rFonts w:ascii="Cambria" w:hAnsi="Cambria"/>
      </w:rPr>
      <w:t>Received</w:t>
    </w:r>
    <w:r w:rsidR="00965301" w:rsidRPr="00D2701C">
      <w:rPr>
        <w:rFonts w:ascii="Cambria" w:hAnsi="Cambria"/>
      </w:rPr>
      <w:t xml:space="preserve">: </w:t>
    </w:r>
    <w:r w:rsidR="00E8624E">
      <w:rPr>
        <w:rFonts w:ascii="Cambria" w:hAnsi="Cambria"/>
      </w:rPr>
      <w:t>7 April 2020</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26 April 2020</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E8624E">
      <w:rPr>
        <w:rFonts w:ascii="Cambria" w:hAnsi="Cambria"/>
      </w:rPr>
      <w:t>29 April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E390" w14:textId="77777777" w:rsidR="001E4B05" w:rsidRDefault="001E4B05" w:rsidP="004B1FA9">
      <w:pPr>
        <w:spacing w:after="0" w:line="240" w:lineRule="auto"/>
      </w:pPr>
      <w:r>
        <w:separator/>
      </w:r>
    </w:p>
  </w:footnote>
  <w:footnote w:type="continuationSeparator" w:id="0">
    <w:p w14:paraId="476C85E4" w14:textId="77777777" w:rsidR="001E4B05" w:rsidRDefault="001E4B05" w:rsidP="004B1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BF74" w14:textId="5B45A384" w:rsidR="003B3811" w:rsidRPr="003903EB" w:rsidRDefault="003B3811" w:rsidP="003B3811">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proofErr w:type="spellStart"/>
    <w:r w:rsidR="0033149F">
      <w:rPr>
        <w:rFonts w:ascii="Cambria" w:hAnsi="Cambria"/>
        <w:b/>
        <w:bCs/>
        <w:spacing w:val="-6"/>
        <w:sz w:val="20"/>
        <w:szCs w:val="20"/>
        <w:lang w:val="en-ID"/>
      </w:rPr>
      <w:t>Sosial</w:t>
    </w:r>
    <w:proofErr w:type="spellEnd"/>
    <w:r w:rsidR="005B1781" w:rsidRPr="003903EB">
      <w:rPr>
        <w:rFonts w:ascii="Cambria" w:hAnsi="Cambria"/>
        <w:b/>
        <w:bCs/>
        <w:spacing w:val="-6"/>
        <w:sz w:val="20"/>
        <w:szCs w:val="20"/>
        <w:lang w:val="en-ID"/>
      </w:rPr>
      <w:t>,</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2085A760" w14:textId="77777777" w:rsidR="003B3811" w:rsidRPr="003903EB" w:rsidRDefault="003903EB" w:rsidP="003B3811">
    <w:pPr>
      <w:pStyle w:val="Header"/>
      <w:pBdr>
        <w:bottom w:val="single" w:sz="8" w:space="6" w:color="auto"/>
      </w:pBdr>
      <w:jc w:val="center"/>
      <w:rPr>
        <w:rFonts w:ascii="Cambria" w:hAnsi="Cambria"/>
        <w:noProof/>
        <w:sz w:val="20"/>
        <w:szCs w:val="20"/>
      </w:rPr>
    </w:pPr>
    <w:proofErr w:type="spellStart"/>
    <w:r w:rsidRPr="003903EB">
      <w:rPr>
        <w:rFonts w:ascii="Cambria" w:hAnsi="Cambria"/>
        <w:sz w:val="20"/>
        <w:szCs w:val="20"/>
      </w:rPr>
      <w:t>Kompetensi</w:t>
    </w:r>
    <w:proofErr w:type="spellEnd"/>
    <w:r w:rsidRPr="003903EB">
      <w:rPr>
        <w:rFonts w:ascii="Cambria" w:hAnsi="Cambria"/>
        <w:sz w:val="20"/>
        <w:szCs w:val="20"/>
      </w:rPr>
      <w:t xml:space="preserve"> </w:t>
    </w:r>
    <w:proofErr w:type="spellStart"/>
    <w:r w:rsidRPr="003903EB">
      <w:rPr>
        <w:rFonts w:ascii="Cambria" w:hAnsi="Cambria"/>
        <w:sz w:val="20"/>
        <w:szCs w:val="20"/>
      </w:rPr>
      <w:t>Sumber</w:t>
    </w:r>
    <w:proofErr w:type="spellEnd"/>
    <w:r w:rsidRPr="003903EB">
      <w:rPr>
        <w:rFonts w:ascii="Cambria" w:hAnsi="Cambria"/>
        <w:sz w:val="20"/>
        <w:szCs w:val="20"/>
      </w:rPr>
      <w:t xml:space="preserve"> </w:t>
    </w:r>
    <w:proofErr w:type="spellStart"/>
    <w:r w:rsidRPr="003903EB">
      <w:rPr>
        <w:rFonts w:ascii="Cambria" w:hAnsi="Cambria"/>
        <w:sz w:val="20"/>
        <w:szCs w:val="20"/>
      </w:rPr>
      <w:t>Daya</w:t>
    </w:r>
    <w:proofErr w:type="spellEnd"/>
    <w:r w:rsidRPr="003903EB">
      <w:rPr>
        <w:rFonts w:ascii="Cambria" w:hAnsi="Cambria"/>
        <w:sz w:val="20"/>
        <w:szCs w:val="20"/>
      </w:rPr>
      <w:t xml:space="preserve"> </w:t>
    </w:r>
    <w:proofErr w:type="spellStart"/>
    <w:r w:rsidRPr="003903EB">
      <w:rPr>
        <w:rFonts w:ascii="Cambria" w:hAnsi="Cambria"/>
        <w:sz w:val="20"/>
        <w:szCs w:val="20"/>
      </w:rPr>
      <w:t>Manusia</w:t>
    </w:r>
    <w:proofErr w:type="spellEnd"/>
    <w:r w:rsidRPr="003903EB">
      <w:rPr>
        <w:rFonts w:ascii="Cambria" w:hAnsi="Cambria"/>
        <w:sz w:val="20"/>
        <w:szCs w:val="20"/>
      </w:rPr>
      <w:t xml:space="preserve"> Islam </w:t>
    </w:r>
    <w:r w:rsidR="00E8624E">
      <w:rPr>
        <w:rFonts w:ascii="Cambria" w:hAnsi="Cambria"/>
        <w:sz w:val="20"/>
        <w:szCs w:val="20"/>
      </w:rPr>
      <w:t>p</w:t>
    </w:r>
    <w:r w:rsidRPr="003903EB">
      <w:rPr>
        <w:rFonts w:ascii="Cambria" w:hAnsi="Cambria"/>
        <w:sz w:val="20"/>
        <w:szCs w:val="20"/>
      </w:rPr>
      <w:t>ada Bank Syariah</w:t>
    </w:r>
  </w:p>
  <w:p w14:paraId="4272C672" w14:textId="77777777" w:rsidR="006B21A6" w:rsidRPr="003903EB" w:rsidRDefault="003903EB" w:rsidP="00DD4FC5">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 xml:space="preserve">Lira </w:t>
    </w:r>
    <w:proofErr w:type="spellStart"/>
    <w:r w:rsidRPr="003903EB">
      <w:rPr>
        <w:rFonts w:ascii="Cambria" w:hAnsi="Cambria"/>
        <w:sz w:val="20"/>
        <w:szCs w:val="20"/>
      </w:rPr>
      <w:t>Arlia</w:t>
    </w:r>
    <w:proofErr w:type="spellEnd"/>
    <w:r w:rsidRPr="003903EB">
      <w:rPr>
        <w:rFonts w:ascii="Cambria" w:hAnsi="Cambria"/>
        <w:sz w:val="20"/>
        <w:szCs w:val="20"/>
      </w:rPr>
      <w:t xml:space="preserve"> </w:t>
    </w:r>
    <w:proofErr w:type="spellStart"/>
    <w:r w:rsidRPr="003903EB">
      <w:rPr>
        <w:rFonts w:ascii="Cambria" w:hAnsi="Cambria"/>
        <w:sz w:val="20"/>
        <w:szCs w:val="20"/>
      </w:rPr>
      <w:t>Melani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EF1B" w14:textId="1BA7708A" w:rsidR="003903EB" w:rsidRPr="003903EB" w:rsidRDefault="003903EB" w:rsidP="003903EB">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proofErr w:type="spellStart"/>
    <w:r w:rsidR="0033149F">
      <w:rPr>
        <w:rFonts w:ascii="Cambria" w:hAnsi="Cambria"/>
        <w:b/>
        <w:bCs/>
        <w:spacing w:val="-6"/>
        <w:sz w:val="20"/>
        <w:szCs w:val="20"/>
        <w:lang w:val="en-ID"/>
      </w:rPr>
      <w:t>Sosial</w:t>
    </w:r>
    <w:proofErr w:type="spellEnd"/>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3EECA025" w14:textId="77777777" w:rsidR="003903EB" w:rsidRPr="003903EB" w:rsidRDefault="003903EB" w:rsidP="003903EB">
    <w:pPr>
      <w:pStyle w:val="Header"/>
      <w:pBdr>
        <w:bottom w:val="single" w:sz="8" w:space="6" w:color="auto"/>
      </w:pBdr>
      <w:jc w:val="center"/>
      <w:rPr>
        <w:rFonts w:ascii="Cambria" w:hAnsi="Cambria"/>
        <w:noProof/>
        <w:sz w:val="20"/>
        <w:szCs w:val="20"/>
      </w:rPr>
    </w:pPr>
    <w:proofErr w:type="spellStart"/>
    <w:r w:rsidRPr="003903EB">
      <w:rPr>
        <w:rFonts w:ascii="Cambria" w:hAnsi="Cambria"/>
        <w:sz w:val="20"/>
        <w:szCs w:val="20"/>
      </w:rPr>
      <w:t>Kompetensi</w:t>
    </w:r>
    <w:proofErr w:type="spellEnd"/>
    <w:r w:rsidRPr="003903EB">
      <w:rPr>
        <w:rFonts w:ascii="Cambria" w:hAnsi="Cambria"/>
        <w:sz w:val="20"/>
        <w:szCs w:val="20"/>
      </w:rPr>
      <w:t xml:space="preserve"> </w:t>
    </w:r>
    <w:proofErr w:type="spellStart"/>
    <w:r w:rsidRPr="003903EB">
      <w:rPr>
        <w:rFonts w:ascii="Cambria" w:hAnsi="Cambria"/>
        <w:sz w:val="20"/>
        <w:szCs w:val="20"/>
      </w:rPr>
      <w:t>Sumber</w:t>
    </w:r>
    <w:proofErr w:type="spellEnd"/>
    <w:r w:rsidRPr="003903EB">
      <w:rPr>
        <w:rFonts w:ascii="Cambria" w:hAnsi="Cambria"/>
        <w:sz w:val="20"/>
        <w:szCs w:val="20"/>
      </w:rPr>
      <w:t xml:space="preserve"> </w:t>
    </w:r>
    <w:proofErr w:type="spellStart"/>
    <w:r w:rsidRPr="003903EB">
      <w:rPr>
        <w:rFonts w:ascii="Cambria" w:hAnsi="Cambria"/>
        <w:sz w:val="20"/>
        <w:szCs w:val="20"/>
      </w:rPr>
      <w:t>Daya</w:t>
    </w:r>
    <w:proofErr w:type="spellEnd"/>
    <w:r w:rsidRPr="003903EB">
      <w:rPr>
        <w:rFonts w:ascii="Cambria" w:hAnsi="Cambria"/>
        <w:sz w:val="20"/>
        <w:szCs w:val="20"/>
      </w:rPr>
      <w:t xml:space="preserve"> </w:t>
    </w:r>
    <w:proofErr w:type="spellStart"/>
    <w:r w:rsidRPr="003903EB">
      <w:rPr>
        <w:rFonts w:ascii="Cambria" w:hAnsi="Cambria"/>
        <w:sz w:val="20"/>
        <w:szCs w:val="20"/>
      </w:rPr>
      <w:t>Manusia</w:t>
    </w:r>
    <w:proofErr w:type="spellEnd"/>
    <w:r w:rsidRPr="003903EB">
      <w:rPr>
        <w:rFonts w:ascii="Cambria" w:hAnsi="Cambria"/>
        <w:sz w:val="20"/>
        <w:szCs w:val="20"/>
      </w:rPr>
      <w:t xml:space="preserve"> Islam Pada Bank Syariah</w:t>
    </w:r>
  </w:p>
  <w:p w14:paraId="16C89445" w14:textId="77777777" w:rsidR="003903EB" w:rsidRPr="003903EB" w:rsidRDefault="003903EB" w:rsidP="003903EB">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 xml:space="preserve">Lira </w:t>
    </w:r>
    <w:proofErr w:type="spellStart"/>
    <w:r w:rsidRPr="003903EB">
      <w:rPr>
        <w:rFonts w:ascii="Cambria" w:hAnsi="Cambria"/>
        <w:sz w:val="20"/>
        <w:szCs w:val="20"/>
      </w:rPr>
      <w:t>Arlia</w:t>
    </w:r>
    <w:proofErr w:type="spellEnd"/>
    <w:r w:rsidRPr="003903EB">
      <w:rPr>
        <w:rFonts w:ascii="Cambria" w:hAnsi="Cambria"/>
        <w:sz w:val="20"/>
        <w:szCs w:val="20"/>
      </w:rPr>
      <w:t xml:space="preserve"> </w:t>
    </w:r>
    <w:proofErr w:type="spellStart"/>
    <w:r w:rsidRPr="003903EB">
      <w:rPr>
        <w:rFonts w:ascii="Cambria" w:hAnsi="Cambria"/>
        <w:sz w:val="20"/>
        <w:szCs w:val="20"/>
      </w:rPr>
      <w:t>Melani</w:t>
    </w:r>
    <w:proofErr w:type="spellEnd"/>
  </w:p>
  <w:p w14:paraId="27ECD2F7" w14:textId="77777777" w:rsidR="006B21A6" w:rsidRPr="00FD584C" w:rsidRDefault="006B21A6" w:rsidP="00FD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D699" w14:textId="799140D7"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proofErr w:type="spellStart"/>
    <w:r w:rsidR="00FD584C" w:rsidRPr="00E8624E">
      <w:rPr>
        <w:rFonts w:ascii="Cambria" w:hAnsi="Cambria" w:cs="Vani"/>
        <w:spacing w:val="-6"/>
        <w:sz w:val="20"/>
        <w:szCs w:val="20"/>
      </w:rPr>
      <w:t>k</w:t>
    </w:r>
    <w:r w:rsidR="0033149F">
      <w:rPr>
        <w:rFonts w:ascii="Cambria" w:hAnsi="Cambria" w:cs="Vani"/>
        <w:spacing w:val="-6"/>
        <w:sz w:val="20"/>
        <w:szCs w:val="20"/>
      </w:rPr>
      <w:t>s</w:t>
    </w:r>
    <w:proofErr w:type="spellEnd"/>
  </w:p>
  <w:p w14:paraId="0D2F7637" w14:textId="0E6C82A9" w:rsidR="006B21A6" w:rsidRPr="00E8624E" w:rsidRDefault="00525046" w:rsidP="00030C06">
    <w:pPr>
      <w:pStyle w:val="Header"/>
      <w:tabs>
        <w:tab w:val="clear" w:pos="4680"/>
        <w:tab w:val="clear" w:pos="9360"/>
      </w:tabs>
      <w:rPr>
        <w:rFonts w:ascii="Cambria" w:hAnsi="Cambria"/>
        <w:b/>
        <w:spacing w:val="-6"/>
        <w:sz w:val="20"/>
        <w:szCs w:val="20"/>
        <w:lang w:val="en-ID"/>
      </w:rPr>
    </w:pPr>
    <w:proofErr w:type="spellStart"/>
    <w:r w:rsidRPr="00E8624E">
      <w:rPr>
        <w:rFonts w:ascii="Cambria" w:hAnsi="Cambria"/>
        <w:b/>
        <w:spacing w:val="-6"/>
        <w:sz w:val="20"/>
        <w:szCs w:val="20"/>
        <w:lang w:val="en-ID"/>
      </w:rPr>
      <w:t>Khazanah</w:t>
    </w:r>
    <w:proofErr w:type="spellEnd"/>
    <w:r w:rsidRPr="00E8624E">
      <w:rPr>
        <w:rFonts w:ascii="Cambria" w:hAnsi="Cambria"/>
        <w:b/>
        <w:spacing w:val="-6"/>
        <w:sz w:val="20"/>
        <w:szCs w:val="20"/>
        <w:lang w:val="en-ID"/>
      </w:rPr>
      <w:t xml:space="preserve"> </w:t>
    </w:r>
    <w:proofErr w:type="spellStart"/>
    <w:r w:rsidR="0033149F">
      <w:rPr>
        <w:rFonts w:ascii="Cambria" w:hAnsi="Cambria"/>
        <w:b/>
        <w:spacing w:val="-6"/>
        <w:sz w:val="20"/>
        <w:szCs w:val="20"/>
        <w:lang w:val="en-ID"/>
      </w:rPr>
      <w:t>Sosial</w:t>
    </w:r>
    <w:proofErr w:type="spellEnd"/>
    <w:r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2</w:t>
    </w:r>
    <w:r w:rsidRPr="00E8624E">
      <w:rPr>
        <w:rFonts w:ascii="Cambria" w:hAnsi="Cambria"/>
        <w:b/>
        <w:spacing w:val="-6"/>
        <w:sz w:val="20"/>
        <w:szCs w:val="20"/>
        <w:lang w:val="en-ID"/>
      </w:rPr>
      <w:t xml:space="preserve"> No. 1: </w:t>
    </w:r>
    <w:r w:rsidR="00E8624E" w:rsidRPr="00E8624E">
      <w:rPr>
        <w:rFonts w:ascii="Cambria" w:hAnsi="Cambria"/>
        <w:b/>
        <w:spacing w:val="-6"/>
        <w:sz w:val="20"/>
        <w:szCs w:val="20"/>
        <w:lang w:val="en-ID"/>
      </w:rPr>
      <w:t>25</w:t>
    </w:r>
    <w:r w:rsidRPr="00E8624E">
      <w:rPr>
        <w:rFonts w:ascii="Cambria" w:hAnsi="Cambria"/>
        <w:b/>
        <w:spacing w:val="-6"/>
        <w:sz w:val="20"/>
        <w:szCs w:val="20"/>
        <w:lang w:val="en-ID"/>
      </w:rPr>
      <w:t>-</w:t>
    </w:r>
    <w:r w:rsidR="00E8624E" w:rsidRPr="00E8624E">
      <w:rPr>
        <w:rFonts w:ascii="Cambria" w:hAnsi="Cambria"/>
        <w:b/>
        <w:spacing w:val="-6"/>
        <w:sz w:val="20"/>
        <w:szCs w:val="20"/>
        <w:lang w:val="en-ID"/>
      </w:rPr>
      <w:t>30</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0CD47CBE"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r w:rsidR="00162BD9">
      <w:fldChar w:fldCharType="begin"/>
    </w:r>
    <w:r w:rsidR="00162BD9">
      <w:instrText xml:space="preserve"> HYPERLINK "https://doi.org/10.31098/ijmesh.v2i2.15" </w:instrText>
    </w:r>
    <w:r w:rsidR="00162BD9">
      <w:fldChar w:fldCharType="separate"/>
    </w:r>
    <w:r w:rsidR="00791087" w:rsidRPr="00E8624E">
      <w:rPr>
        <w:rStyle w:val="Hyperlink"/>
        <w:rFonts w:ascii="Cambria" w:hAnsi="Cambria" w:cs="Vani"/>
        <w:color w:val="auto"/>
        <w:spacing w:val="-6"/>
        <w:sz w:val="20"/>
        <w:szCs w:val="20"/>
        <w:u w:val="none"/>
        <w:lang w:val="id-ID"/>
      </w:rPr>
      <w:t>10.</w:t>
    </w:r>
    <w:r w:rsidR="00030C06" w:rsidRPr="00E8624E">
      <w:rPr>
        <w:rStyle w:val="Hyperlink"/>
        <w:rFonts w:ascii="Cambria" w:hAnsi="Cambria" w:cs="Vani"/>
        <w:color w:val="auto"/>
        <w:spacing w:val="-6"/>
        <w:sz w:val="20"/>
        <w:szCs w:val="20"/>
        <w:u w:val="none"/>
      </w:rPr>
      <w:t>15575</w:t>
    </w:r>
    <w:r w:rsidR="00791087" w:rsidRPr="00E8624E">
      <w:rPr>
        <w:rStyle w:val="Hyperlink"/>
        <w:rFonts w:ascii="Cambria" w:hAnsi="Cambria" w:cs="Vani"/>
        <w:color w:val="auto"/>
        <w:spacing w:val="-6"/>
        <w:sz w:val="20"/>
        <w:szCs w:val="20"/>
        <w:u w:val="none"/>
        <w:lang w:val="id-ID"/>
      </w:rPr>
      <w:t>/</w:t>
    </w:r>
    <w:proofErr w:type="spellStart"/>
    <w:r w:rsidR="00030C06" w:rsidRPr="00E8624E">
      <w:rPr>
        <w:rStyle w:val="Hyperlink"/>
        <w:rFonts w:ascii="Cambria" w:hAnsi="Cambria" w:cs="Vani"/>
        <w:color w:val="auto"/>
        <w:spacing w:val="-6"/>
        <w:sz w:val="20"/>
        <w:szCs w:val="20"/>
        <w:u w:val="none"/>
      </w:rPr>
      <w:t>k</w:t>
    </w:r>
    <w:r w:rsidR="0033149F">
      <w:rPr>
        <w:rStyle w:val="Hyperlink"/>
        <w:rFonts w:ascii="Cambria" w:hAnsi="Cambria" w:cs="Vani"/>
        <w:color w:val="auto"/>
        <w:spacing w:val="-6"/>
        <w:sz w:val="20"/>
        <w:szCs w:val="20"/>
        <w:u w:val="none"/>
      </w:rPr>
      <w:t>s</w:t>
    </w:r>
    <w:proofErr w:type="spellEnd"/>
    <w:r w:rsidR="00791087" w:rsidRPr="00E8624E">
      <w:rPr>
        <w:rStyle w:val="Hyperlink"/>
        <w:rFonts w:ascii="Cambria" w:hAnsi="Cambria" w:cs="Vani"/>
        <w:color w:val="auto"/>
        <w:spacing w:val="-6"/>
        <w:sz w:val="20"/>
        <w:szCs w:val="20"/>
        <w:u w:val="none"/>
        <w:lang w:val="id-ID"/>
      </w:rPr>
      <w:t>.v</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i</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w:t>
    </w:r>
    <w:r w:rsidR="00162BD9">
      <w:rPr>
        <w:rStyle w:val="Hyperlink"/>
        <w:rFonts w:ascii="Cambria" w:hAnsi="Cambria" w:cs="Vani"/>
        <w:color w:val="auto"/>
        <w:spacing w:val="-6"/>
        <w:sz w:val="20"/>
        <w:szCs w:val="20"/>
        <w:u w:val="none"/>
        <w:lang w:val="id-ID"/>
      </w:rPr>
      <w:fldChar w:fldCharType="end"/>
    </w:r>
    <w:r w:rsidR="003B3811" w:rsidRPr="00E8624E">
      <w:rPr>
        <w:rStyle w:val="08BodyArticleChar"/>
        <w:rFonts w:eastAsia="Calibri"/>
      </w:rPr>
      <w:t xml:space="preserve"> </w:t>
    </w:r>
    <w:r w:rsidR="00E8624E" w:rsidRPr="00E8624E">
      <w:rPr>
        <w:rStyle w:val="08BodyArticleChar"/>
        <w:rFonts w:eastAsia="Calibri"/>
        <w:lang w:val="en-US"/>
      </w:rPr>
      <w:t>8157</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6">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D03C0"/>
    <w:multiLevelType w:val="hybridMultilevel"/>
    <w:tmpl w:val="1CDA2AF6"/>
    <w:lvl w:ilvl="0" w:tplc="035ADD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2"/>
  </w:num>
  <w:num w:numId="2">
    <w:abstractNumId w:val="20"/>
  </w:num>
  <w:num w:numId="3">
    <w:abstractNumId w:val="18"/>
  </w:num>
  <w:num w:numId="4">
    <w:abstractNumId w:val="8"/>
  </w:num>
  <w:num w:numId="5">
    <w:abstractNumId w:val="12"/>
  </w:num>
  <w:num w:numId="6">
    <w:abstractNumId w:val="11"/>
  </w:num>
  <w:num w:numId="7">
    <w:abstractNumId w:val="15"/>
  </w:num>
  <w:num w:numId="8">
    <w:abstractNumId w:val="21"/>
  </w:num>
  <w:num w:numId="9">
    <w:abstractNumId w:val="5"/>
  </w:num>
  <w:num w:numId="10">
    <w:abstractNumId w:val="0"/>
  </w:num>
  <w:num w:numId="11">
    <w:abstractNumId w:val="1"/>
  </w:num>
  <w:num w:numId="12">
    <w:abstractNumId w:val="2"/>
  </w:num>
  <w:num w:numId="13">
    <w:abstractNumId w:val="3"/>
  </w:num>
  <w:num w:numId="14">
    <w:abstractNumId w:val="19"/>
  </w:num>
  <w:num w:numId="15">
    <w:abstractNumId w:val="14"/>
  </w:num>
  <w:num w:numId="16">
    <w:abstractNumId w:val="6"/>
  </w:num>
  <w:num w:numId="17">
    <w:abstractNumId w:val="16"/>
  </w:num>
  <w:num w:numId="18">
    <w:abstractNumId w:val="17"/>
  </w:num>
  <w:num w:numId="19">
    <w:abstractNumId w:val="13"/>
  </w:num>
  <w:num w:numId="20">
    <w:abstractNumId w:val="4"/>
  </w:num>
  <w:num w:numId="21">
    <w:abstractNumId w:val="10"/>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7C04"/>
    <w:rsid w:val="0001070A"/>
    <w:rsid w:val="000149F0"/>
    <w:rsid w:val="00016A0E"/>
    <w:rsid w:val="00030199"/>
    <w:rsid w:val="00030C06"/>
    <w:rsid w:val="000427A8"/>
    <w:rsid w:val="00045D09"/>
    <w:rsid w:val="000460A9"/>
    <w:rsid w:val="00054E7E"/>
    <w:rsid w:val="000563A5"/>
    <w:rsid w:val="00060524"/>
    <w:rsid w:val="00077ADC"/>
    <w:rsid w:val="000820BE"/>
    <w:rsid w:val="00090916"/>
    <w:rsid w:val="000936B1"/>
    <w:rsid w:val="00096F2F"/>
    <w:rsid w:val="000A2471"/>
    <w:rsid w:val="000B35C9"/>
    <w:rsid w:val="000B6842"/>
    <w:rsid w:val="000C4737"/>
    <w:rsid w:val="000C490E"/>
    <w:rsid w:val="000C7DB2"/>
    <w:rsid w:val="000D0086"/>
    <w:rsid w:val="000D04EE"/>
    <w:rsid w:val="000D09AD"/>
    <w:rsid w:val="000D7AAF"/>
    <w:rsid w:val="000E087E"/>
    <w:rsid w:val="000E0C01"/>
    <w:rsid w:val="000E3439"/>
    <w:rsid w:val="000E705B"/>
    <w:rsid w:val="000F2009"/>
    <w:rsid w:val="000F7119"/>
    <w:rsid w:val="001237B3"/>
    <w:rsid w:val="00124367"/>
    <w:rsid w:val="001266D7"/>
    <w:rsid w:val="00126F30"/>
    <w:rsid w:val="001317C3"/>
    <w:rsid w:val="0013583E"/>
    <w:rsid w:val="00137C81"/>
    <w:rsid w:val="0014314B"/>
    <w:rsid w:val="0015183A"/>
    <w:rsid w:val="001536B4"/>
    <w:rsid w:val="001601C6"/>
    <w:rsid w:val="0016112C"/>
    <w:rsid w:val="00162BD9"/>
    <w:rsid w:val="001663D4"/>
    <w:rsid w:val="00171CFA"/>
    <w:rsid w:val="00173F53"/>
    <w:rsid w:val="001770F2"/>
    <w:rsid w:val="00177544"/>
    <w:rsid w:val="00180A29"/>
    <w:rsid w:val="00183B30"/>
    <w:rsid w:val="00190E1D"/>
    <w:rsid w:val="001948B1"/>
    <w:rsid w:val="00196377"/>
    <w:rsid w:val="001A01B7"/>
    <w:rsid w:val="001A71FC"/>
    <w:rsid w:val="001A79E0"/>
    <w:rsid w:val="001C435A"/>
    <w:rsid w:val="001C4999"/>
    <w:rsid w:val="001D1402"/>
    <w:rsid w:val="001D3B6E"/>
    <w:rsid w:val="001D6A5C"/>
    <w:rsid w:val="001E2F73"/>
    <w:rsid w:val="001E4B05"/>
    <w:rsid w:val="001E594D"/>
    <w:rsid w:val="00203E37"/>
    <w:rsid w:val="002106A1"/>
    <w:rsid w:val="0023204F"/>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F16"/>
    <w:rsid w:val="00310F36"/>
    <w:rsid w:val="00312F7A"/>
    <w:rsid w:val="0031424E"/>
    <w:rsid w:val="0031551C"/>
    <w:rsid w:val="00315F4D"/>
    <w:rsid w:val="003211DA"/>
    <w:rsid w:val="0032490C"/>
    <w:rsid w:val="00325BCD"/>
    <w:rsid w:val="0033149F"/>
    <w:rsid w:val="00333C27"/>
    <w:rsid w:val="0035292F"/>
    <w:rsid w:val="00355364"/>
    <w:rsid w:val="00360AD5"/>
    <w:rsid w:val="0036770C"/>
    <w:rsid w:val="003679F4"/>
    <w:rsid w:val="00371100"/>
    <w:rsid w:val="00373BBA"/>
    <w:rsid w:val="00374FCB"/>
    <w:rsid w:val="0037723B"/>
    <w:rsid w:val="00381449"/>
    <w:rsid w:val="003903EB"/>
    <w:rsid w:val="00395DBA"/>
    <w:rsid w:val="0039745C"/>
    <w:rsid w:val="003A7646"/>
    <w:rsid w:val="003B3811"/>
    <w:rsid w:val="003B6090"/>
    <w:rsid w:val="003C0982"/>
    <w:rsid w:val="003C5510"/>
    <w:rsid w:val="003C7B51"/>
    <w:rsid w:val="003C7F21"/>
    <w:rsid w:val="003D6607"/>
    <w:rsid w:val="003E1EAB"/>
    <w:rsid w:val="003E413F"/>
    <w:rsid w:val="003F130E"/>
    <w:rsid w:val="003F4897"/>
    <w:rsid w:val="004007FB"/>
    <w:rsid w:val="00402ACD"/>
    <w:rsid w:val="004062B8"/>
    <w:rsid w:val="00406EA4"/>
    <w:rsid w:val="00411AAA"/>
    <w:rsid w:val="0041640B"/>
    <w:rsid w:val="00424C00"/>
    <w:rsid w:val="00427904"/>
    <w:rsid w:val="004430D1"/>
    <w:rsid w:val="0045217B"/>
    <w:rsid w:val="00464665"/>
    <w:rsid w:val="004660FC"/>
    <w:rsid w:val="00482CA1"/>
    <w:rsid w:val="00483F95"/>
    <w:rsid w:val="00494F57"/>
    <w:rsid w:val="00496E43"/>
    <w:rsid w:val="004A1E0A"/>
    <w:rsid w:val="004A5212"/>
    <w:rsid w:val="004B1FA9"/>
    <w:rsid w:val="004B490A"/>
    <w:rsid w:val="004B4C43"/>
    <w:rsid w:val="004C5A2B"/>
    <w:rsid w:val="004C5ED9"/>
    <w:rsid w:val="004C741F"/>
    <w:rsid w:val="004D16E0"/>
    <w:rsid w:val="004D2251"/>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72B0"/>
    <w:rsid w:val="005D7A63"/>
    <w:rsid w:val="005E5B16"/>
    <w:rsid w:val="005E6ECF"/>
    <w:rsid w:val="00623DF6"/>
    <w:rsid w:val="006406D3"/>
    <w:rsid w:val="00643626"/>
    <w:rsid w:val="006453E8"/>
    <w:rsid w:val="00656E1A"/>
    <w:rsid w:val="00661CE3"/>
    <w:rsid w:val="00670572"/>
    <w:rsid w:val="006719FA"/>
    <w:rsid w:val="00676060"/>
    <w:rsid w:val="00677579"/>
    <w:rsid w:val="00682027"/>
    <w:rsid w:val="006834DD"/>
    <w:rsid w:val="00683D3C"/>
    <w:rsid w:val="0068668D"/>
    <w:rsid w:val="00696E14"/>
    <w:rsid w:val="006A4B0E"/>
    <w:rsid w:val="006A7064"/>
    <w:rsid w:val="006B21A6"/>
    <w:rsid w:val="006B4DED"/>
    <w:rsid w:val="006B785B"/>
    <w:rsid w:val="006C308F"/>
    <w:rsid w:val="006C3AFF"/>
    <w:rsid w:val="006D51BC"/>
    <w:rsid w:val="006D745D"/>
    <w:rsid w:val="006D7EA3"/>
    <w:rsid w:val="006E0FA5"/>
    <w:rsid w:val="006E7FE6"/>
    <w:rsid w:val="006F0C95"/>
    <w:rsid w:val="006F0E07"/>
    <w:rsid w:val="006F5781"/>
    <w:rsid w:val="00700A58"/>
    <w:rsid w:val="00703682"/>
    <w:rsid w:val="00716AEC"/>
    <w:rsid w:val="00717076"/>
    <w:rsid w:val="00720572"/>
    <w:rsid w:val="00723A4A"/>
    <w:rsid w:val="00723BD0"/>
    <w:rsid w:val="00724A8F"/>
    <w:rsid w:val="00734AFD"/>
    <w:rsid w:val="007513F5"/>
    <w:rsid w:val="007548BF"/>
    <w:rsid w:val="00762542"/>
    <w:rsid w:val="0077126E"/>
    <w:rsid w:val="0077592C"/>
    <w:rsid w:val="00777BBF"/>
    <w:rsid w:val="00781C32"/>
    <w:rsid w:val="00786BEA"/>
    <w:rsid w:val="00787C0B"/>
    <w:rsid w:val="00791087"/>
    <w:rsid w:val="00791B01"/>
    <w:rsid w:val="007A21F1"/>
    <w:rsid w:val="007A433E"/>
    <w:rsid w:val="007A4E02"/>
    <w:rsid w:val="007B22EF"/>
    <w:rsid w:val="007C3E40"/>
    <w:rsid w:val="007D62A5"/>
    <w:rsid w:val="007E0E37"/>
    <w:rsid w:val="007F269A"/>
    <w:rsid w:val="007F475A"/>
    <w:rsid w:val="007F73CE"/>
    <w:rsid w:val="008076DE"/>
    <w:rsid w:val="0081028F"/>
    <w:rsid w:val="0081688E"/>
    <w:rsid w:val="00817475"/>
    <w:rsid w:val="00832CF4"/>
    <w:rsid w:val="00833D90"/>
    <w:rsid w:val="00843345"/>
    <w:rsid w:val="0084530E"/>
    <w:rsid w:val="00883589"/>
    <w:rsid w:val="0088638B"/>
    <w:rsid w:val="00887A1A"/>
    <w:rsid w:val="00892ADA"/>
    <w:rsid w:val="008956B4"/>
    <w:rsid w:val="00895FF6"/>
    <w:rsid w:val="008B160E"/>
    <w:rsid w:val="008C1A34"/>
    <w:rsid w:val="008C6427"/>
    <w:rsid w:val="008C76A6"/>
    <w:rsid w:val="008D05AB"/>
    <w:rsid w:val="008D670F"/>
    <w:rsid w:val="008D6A86"/>
    <w:rsid w:val="008D6AC3"/>
    <w:rsid w:val="008E01A4"/>
    <w:rsid w:val="008E41B6"/>
    <w:rsid w:val="008E71DB"/>
    <w:rsid w:val="008F500A"/>
    <w:rsid w:val="009029F5"/>
    <w:rsid w:val="00911B26"/>
    <w:rsid w:val="00920632"/>
    <w:rsid w:val="00921372"/>
    <w:rsid w:val="00924975"/>
    <w:rsid w:val="009317AE"/>
    <w:rsid w:val="009372F5"/>
    <w:rsid w:val="009515EF"/>
    <w:rsid w:val="009556AB"/>
    <w:rsid w:val="00956216"/>
    <w:rsid w:val="00965301"/>
    <w:rsid w:val="0097086C"/>
    <w:rsid w:val="009720DD"/>
    <w:rsid w:val="00982091"/>
    <w:rsid w:val="0099182B"/>
    <w:rsid w:val="0099574B"/>
    <w:rsid w:val="00995F93"/>
    <w:rsid w:val="009A2D72"/>
    <w:rsid w:val="009A3C07"/>
    <w:rsid w:val="009A6B10"/>
    <w:rsid w:val="009B3704"/>
    <w:rsid w:val="009B4CD7"/>
    <w:rsid w:val="009C195C"/>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62F0B"/>
    <w:rsid w:val="00A6390F"/>
    <w:rsid w:val="00A670DD"/>
    <w:rsid w:val="00A72245"/>
    <w:rsid w:val="00A84F99"/>
    <w:rsid w:val="00A9002F"/>
    <w:rsid w:val="00AB0464"/>
    <w:rsid w:val="00AB4345"/>
    <w:rsid w:val="00AB4AE5"/>
    <w:rsid w:val="00AC2B41"/>
    <w:rsid w:val="00AC7965"/>
    <w:rsid w:val="00AD2155"/>
    <w:rsid w:val="00AD670D"/>
    <w:rsid w:val="00AE06BB"/>
    <w:rsid w:val="00AE6333"/>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5A16"/>
    <w:rsid w:val="00BC26D1"/>
    <w:rsid w:val="00BD2438"/>
    <w:rsid w:val="00BD524D"/>
    <w:rsid w:val="00BD6016"/>
    <w:rsid w:val="00BE373C"/>
    <w:rsid w:val="00BE681A"/>
    <w:rsid w:val="00BF2F12"/>
    <w:rsid w:val="00BF57D5"/>
    <w:rsid w:val="00C015CF"/>
    <w:rsid w:val="00C15847"/>
    <w:rsid w:val="00C209B0"/>
    <w:rsid w:val="00C21360"/>
    <w:rsid w:val="00C258A3"/>
    <w:rsid w:val="00C30F3D"/>
    <w:rsid w:val="00C33C3B"/>
    <w:rsid w:val="00C42C4A"/>
    <w:rsid w:val="00C464D2"/>
    <w:rsid w:val="00C54419"/>
    <w:rsid w:val="00C706C3"/>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E2C"/>
    <w:rsid w:val="00CD6491"/>
    <w:rsid w:val="00CE4189"/>
    <w:rsid w:val="00CE44BE"/>
    <w:rsid w:val="00CE4650"/>
    <w:rsid w:val="00CE6A08"/>
    <w:rsid w:val="00CF6B7D"/>
    <w:rsid w:val="00D065B1"/>
    <w:rsid w:val="00D07F04"/>
    <w:rsid w:val="00D23BC6"/>
    <w:rsid w:val="00D2701C"/>
    <w:rsid w:val="00D30DDB"/>
    <w:rsid w:val="00D31B71"/>
    <w:rsid w:val="00D47CCC"/>
    <w:rsid w:val="00D532E0"/>
    <w:rsid w:val="00D53418"/>
    <w:rsid w:val="00D60D0A"/>
    <w:rsid w:val="00D61785"/>
    <w:rsid w:val="00D62950"/>
    <w:rsid w:val="00D8159C"/>
    <w:rsid w:val="00D83DFE"/>
    <w:rsid w:val="00D90C27"/>
    <w:rsid w:val="00D97972"/>
    <w:rsid w:val="00DA1046"/>
    <w:rsid w:val="00DC1577"/>
    <w:rsid w:val="00DC5C3D"/>
    <w:rsid w:val="00DC6548"/>
    <w:rsid w:val="00DD4FC5"/>
    <w:rsid w:val="00DD58A8"/>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8FA"/>
    <w:rsid w:val="00E5607A"/>
    <w:rsid w:val="00E56EB9"/>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92200"/>
    <w:rsid w:val="00F93DF7"/>
    <w:rsid w:val="00F97C0A"/>
    <w:rsid w:val="00FA16FC"/>
    <w:rsid w:val="00FB542D"/>
    <w:rsid w:val="00FB7347"/>
    <w:rsid w:val="00FC3E5F"/>
    <w:rsid w:val="00FD584C"/>
    <w:rsid w:val="00FE240D"/>
    <w:rsid w:val="00FE7FC1"/>
    <w:rsid w:val="00FF2C42"/>
    <w:rsid w:val="00FF45B1"/>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paragraph" w:customStyle="1" w:styleId="JurnalASSETSIsibagian">
    <w:name w:val="Jurnal ASSETS_Isi bagian"/>
    <w:basedOn w:val="Normal"/>
    <w:qFormat/>
    <w:rsid w:val="00883589"/>
    <w:pPr>
      <w:spacing w:after="0" w:line="240" w:lineRule="auto"/>
      <w:ind w:firstLine="567"/>
      <w:jc w:val="both"/>
    </w:pPr>
    <w:rPr>
      <w:rFonts w:ascii="Book Antiqua" w:hAnsi="Book Antiqua" w:cs="Times New Roman"/>
      <w:lang w:val="id-ID"/>
    </w:rPr>
  </w:style>
  <w:style w:type="paragraph" w:styleId="BodyTextIndent3">
    <w:name w:val="Body Text Indent 3"/>
    <w:basedOn w:val="Normal"/>
    <w:link w:val="BodyTextIndent3Char"/>
    <w:uiPriority w:val="99"/>
    <w:semiHidden/>
    <w:unhideWhenUsed/>
    <w:locked/>
    <w:rsid w:val="008C64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6427"/>
    <w:rPr>
      <w:rFonts w:cs="Calibri"/>
      <w:sz w:val="16"/>
      <w:szCs w:val="16"/>
    </w:rPr>
  </w:style>
  <w:style w:type="paragraph" w:customStyle="1" w:styleId="JurnalASSETSPenulis">
    <w:name w:val="Jurnal ASSETS_Penulis"/>
    <w:basedOn w:val="Normal"/>
    <w:link w:val="JurnalASSETSPenulisChar"/>
    <w:qFormat/>
    <w:rsid w:val="006F0C95"/>
    <w:pPr>
      <w:spacing w:after="0" w:line="240" w:lineRule="auto"/>
      <w:contextualSpacing/>
      <w:jc w:val="center"/>
      <w:outlineLvl w:val="0"/>
    </w:pPr>
    <w:rPr>
      <w:rFonts w:ascii="Book Antiqua" w:eastAsia="Times New Roman" w:hAnsi="Book Antiqua" w:cs="Times New Roman"/>
      <w:b/>
      <w:bCs/>
      <w:kern w:val="28"/>
      <w:sz w:val="20"/>
      <w:szCs w:val="20"/>
    </w:rPr>
  </w:style>
  <w:style w:type="character" w:customStyle="1" w:styleId="JurnalASSETSPenulisChar">
    <w:name w:val="Jurnal ASSETS_Penulis Char"/>
    <w:link w:val="JurnalASSETSPenulis"/>
    <w:rsid w:val="006F0C95"/>
    <w:rPr>
      <w:rFonts w:ascii="Book Antiqua" w:eastAsia="Times New Roman" w:hAnsi="Book Antiqua"/>
      <w:b/>
      <w:bCs/>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paragraph" w:customStyle="1" w:styleId="JurnalASSETSIsibagian">
    <w:name w:val="Jurnal ASSETS_Isi bagian"/>
    <w:basedOn w:val="Normal"/>
    <w:qFormat/>
    <w:rsid w:val="00883589"/>
    <w:pPr>
      <w:spacing w:after="0" w:line="240" w:lineRule="auto"/>
      <w:ind w:firstLine="567"/>
      <w:jc w:val="both"/>
    </w:pPr>
    <w:rPr>
      <w:rFonts w:ascii="Book Antiqua" w:hAnsi="Book Antiqua" w:cs="Times New Roman"/>
      <w:lang w:val="id-ID"/>
    </w:rPr>
  </w:style>
  <w:style w:type="paragraph" w:styleId="BodyTextIndent3">
    <w:name w:val="Body Text Indent 3"/>
    <w:basedOn w:val="Normal"/>
    <w:link w:val="BodyTextIndent3Char"/>
    <w:uiPriority w:val="99"/>
    <w:semiHidden/>
    <w:unhideWhenUsed/>
    <w:locked/>
    <w:rsid w:val="008C64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6427"/>
    <w:rPr>
      <w:rFonts w:cs="Calibri"/>
      <w:sz w:val="16"/>
      <w:szCs w:val="16"/>
    </w:rPr>
  </w:style>
  <w:style w:type="paragraph" w:customStyle="1" w:styleId="JurnalASSETSPenulis">
    <w:name w:val="Jurnal ASSETS_Penulis"/>
    <w:basedOn w:val="Normal"/>
    <w:link w:val="JurnalASSETSPenulisChar"/>
    <w:qFormat/>
    <w:rsid w:val="006F0C95"/>
    <w:pPr>
      <w:spacing w:after="0" w:line="240" w:lineRule="auto"/>
      <w:contextualSpacing/>
      <w:jc w:val="center"/>
      <w:outlineLvl w:val="0"/>
    </w:pPr>
    <w:rPr>
      <w:rFonts w:ascii="Book Antiqua" w:eastAsia="Times New Roman" w:hAnsi="Book Antiqua" w:cs="Times New Roman"/>
      <w:b/>
      <w:bCs/>
      <w:kern w:val="28"/>
      <w:sz w:val="20"/>
      <w:szCs w:val="20"/>
    </w:rPr>
  </w:style>
  <w:style w:type="character" w:customStyle="1" w:styleId="JurnalASSETSPenulisChar">
    <w:name w:val="Jurnal ASSETS_Penulis Char"/>
    <w:link w:val="JurnalASSETSPenulis"/>
    <w:rsid w:val="006F0C95"/>
    <w:rPr>
      <w:rFonts w:ascii="Book Antiqua" w:eastAsia="Times New Roman" w:hAnsi="Book Antiqua"/>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ournal.untar.ac.id/index.php/jmieb/article/view/1662"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3754-D6F1-46AE-A91F-1B5B96BC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21</TotalTime>
  <Pages>11</Pages>
  <Words>7578</Words>
  <Characters>43199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50676</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Asus X441N</cp:lastModifiedBy>
  <cp:revision>10</cp:revision>
  <cp:lastPrinted>2020-04-30T04:32:00Z</cp:lastPrinted>
  <dcterms:created xsi:type="dcterms:W3CDTF">2020-05-11T17:11:00Z</dcterms:created>
  <dcterms:modified xsi:type="dcterms:W3CDTF">2023-02-09T02:25:00Z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