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AAAB" w14:textId="77777777" w:rsidR="00F04CEF" w:rsidRDefault="000F4100">
      <w:r>
        <w:rPr>
          <w:noProof/>
        </w:rPr>
        <mc:AlternateContent>
          <mc:Choice Requires="wps">
            <w:drawing>
              <wp:anchor distT="0" distB="0" distL="114300" distR="114300" simplePos="0" relativeHeight="251658240" behindDoc="0" locked="0" layoutInCell="1" allowOverlap="1" wp14:anchorId="02FDADD7" wp14:editId="5902BBBD">
                <wp:simplePos x="0" y="0"/>
                <wp:positionH relativeFrom="column">
                  <wp:posOffset>0</wp:posOffset>
                </wp:positionH>
                <wp:positionV relativeFrom="paragraph">
                  <wp:posOffset>0</wp:posOffset>
                </wp:positionV>
                <wp:extent cx="635000" cy="635000"/>
                <wp:effectExtent l="9525" t="9525" r="12700" b="12700"/>
                <wp:wrapNone/>
                <wp:docPr id="546094252"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28070EF" id="_x0000_t202" coordsize="21600,21600" o:spt="202" path="m,l,21600r21600,l21600,xe">
                <v:stroke joinstyle="miter"/>
                <v:path gradientshapeok="t" o:connecttype="rect"/>
              </v:shapetype>
              <v:shape id="DeepLBoxSPIDType"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SsIMvMgIAAFAEAAAOAAAAAAAAAAAAAAAAAC4CAABkcnMv&#10;ZTJvRG9jLnhtbFBLAQItABQABgAIAAAAIQCOoHPl1wAAAAUBAAAPAAAAAAAAAAAAAAAAAIwEAABk&#10;cnMvZG93bnJldi54bWxQSwUGAAAAAAQABADzAAAAkAUAAAAA&#10;">
                <o:lock v:ext="edit" selection="t"/>
              </v:shape>
            </w:pict>
          </mc:Fallback>
        </mc:AlternateContent>
      </w:r>
    </w:p>
    <w:p w14:paraId="3C573A50" w14:textId="77777777" w:rsidR="00F04CEF" w:rsidRDefault="000F4100">
      <w:pPr>
        <w:spacing w:after="0" w:line="240" w:lineRule="auto"/>
        <w:jc w:val="center"/>
        <w:rPr>
          <w:rFonts w:ascii="Cambria" w:hAnsi="Cambria" w:cs="Cambria"/>
          <w:b/>
          <w:color w:val="000000"/>
          <w:sz w:val="26"/>
          <w:szCs w:val="26"/>
        </w:rPr>
      </w:pPr>
      <w:r w:rsidRPr="00D51AB8">
        <w:rPr>
          <w:rFonts w:ascii="Cambria" w:hAnsi="Cambria"/>
          <w:b/>
          <w:i/>
          <w:iCs/>
          <w:sz w:val="26"/>
          <w:szCs w:val="26"/>
        </w:rPr>
        <w:t xml:space="preserve">Going Concern </w:t>
      </w:r>
      <w:r w:rsidRPr="00D51AB8">
        <w:rPr>
          <w:rFonts w:ascii="Cambria" w:hAnsi="Cambria"/>
          <w:b/>
          <w:sz w:val="26"/>
          <w:szCs w:val="26"/>
        </w:rPr>
        <w:t xml:space="preserve">Audit of </w:t>
      </w:r>
      <w:r w:rsidR="005C6E03">
        <w:rPr>
          <w:rFonts w:ascii="Cambria" w:hAnsi="Cambria"/>
          <w:b/>
          <w:sz w:val="26"/>
          <w:szCs w:val="26"/>
        </w:rPr>
        <w:t xml:space="preserve">Manufacturing Companies: A Study </w:t>
      </w:r>
      <w:r w:rsidR="00F320B4">
        <w:rPr>
          <w:rFonts w:ascii="Cambria" w:hAnsi="Cambria"/>
          <w:b/>
          <w:sz w:val="26"/>
          <w:szCs w:val="26"/>
        </w:rPr>
        <w:t xml:space="preserve">Before </w:t>
      </w:r>
      <w:r w:rsidRPr="00D51AB8">
        <w:rPr>
          <w:rFonts w:ascii="Cambria" w:hAnsi="Cambria"/>
          <w:b/>
          <w:sz w:val="26"/>
          <w:szCs w:val="26"/>
        </w:rPr>
        <w:t>and During the Covid-19 Pandemic</w:t>
      </w:r>
    </w:p>
    <w:p w14:paraId="7964E0E2" w14:textId="77777777" w:rsidR="00D97972" w:rsidRDefault="00D97972" w:rsidP="00D51AB8">
      <w:pPr>
        <w:spacing w:after="60" w:line="240" w:lineRule="auto"/>
        <w:rPr>
          <w:rFonts w:ascii="Cambria" w:hAnsi="Cambria" w:cs="Cambria"/>
          <w:b/>
          <w:color w:val="000000"/>
        </w:rPr>
      </w:pPr>
    </w:p>
    <w:p w14:paraId="2E14256E" w14:textId="0C724E84" w:rsidR="00F04CEF" w:rsidRPr="007B6359" w:rsidRDefault="000F4100">
      <w:pPr>
        <w:spacing w:after="60" w:line="240" w:lineRule="auto"/>
        <w:jc w:val="center"/>
        <w:rPr>
          <w:rFonts w:ascii="Cambria" w:hAnsi="Cambria" w:cs="Cambria"/>
          <w:b/>
          <w:color w:val="000000"/>
          <w:vertAlign w:val="superscript"/>
        </w:rPr>
      </w:pPr>
      <w:r w:rsidRPr="00D448E6">
        <w:rPr>
          <w:rFonts w:ascii="Cambria" w:hAnsi="Cambria" w:cs="Arial"/>
          <w:b/>
        </w:rPr>
        <w:t xml:space="preserve">Muhammad </w:t>
      </w:r>
      <w:proofErr w:type="spellStart"/>
      <w:r w:rsidRPr="00D448E6">
        <w:rPr>
          <w:rFonts w:ascii="Cambria" w:hAnsi="Cambria" w:cs="Arial"/>
          <w:b/>
        </w:rPr>
        <w:t>Fadila</w:t>
      </w:r>
      <w:proofErr w:type="spellEnd"/>
      <w:r w:rsidRPr="00D448E6">
        <w:rPr>
          <w:rFonts w:ascii="Cambria" w:hAnsi="Cambria" w:cs="Arial"/>
          <w:b/>
        </w:rPr>
        <w:t xml:space="preserve"> Laitupa</w:t>
      </w:r>
      <w:r w:rsidRPr="00D448E6">
        <w:rPr>
          <w:rFonts w:ascii="Cambria" w:hAnsi="Cambria" w:cs="Arial"/>
          <w:b/>
          <w:vertAlign w:val="superscript"/>
        </w:rPr>
        <w:t>1</w:t>
      </w:r>
      <w:proofErr w:type="gramStart"/>
      <w:r w:rsidRPr="00D448E6">
        <w:rPr>
          <w:rFonts w:ascii="Cambria" w:hAnsi="Cambria" w:cs="Arial"/>
          <w:b/>
          <w:vertAlign w:val="superscript"/>
        </w:rPr>
        <w:t>*</w:t>
      </w:r>
      <w:r w:rsidRPr="00D448E6">
        <w:rPr>
          <w:rFonts w:ascii="Cambria" w:hAnsi="Cambria" w:cs="Arial"/>
          <w:b/>
        </w:rPr>
        <w:t xml:space="preserve"> ,</w:t>
      </w:r>
      <w:proofErr w:type="gramEnd"/>
      <w:r w:rsidRPr="00D448E6">
        <w:rPr>
          <w:rFonts w:ascii="Cambria" w:hAnsi="Cambria" w:cs="Arial"/>
          <w:b/>
        </w:rPr>
        <w:t xml:space="preserve"> </w:t>
      </w:r>
      <w:proofErr w:type="spellStart"/>
      <w:r w:rsidRPr="00D448E6">
        <w:rPr>
          <w:rFonts w:ascii="Cambria" w:hAnsi="Cambria" w:cs="Arial"/>
          <w:b/>
        </w:rPr>
        <w:t>Elna</w:t>
      </w:r>
      <w:proofErr w:type="spellEnd"/>
      <w:r w:rsidRPr="00D448E6">
        <w:rPr>
          <w:rFonts w:ascii="Cambria" w:hAnsi="Cambria" w:cs="Arial"/>
          <w:b/>
        </w:rPr>
        <w:t xml:space="preserve"> </w:t>
      </w:r>
      <w:proofErr w:type="spellStart"/>
      <w:r w:rsidRPr="00D448E6">
        <w:rPr>
          <w:rFonts w:ascii="Cambria" w:hAnsi="Cambria" w:cs="Arial"/>
          <w:b/>
        </w:rPr>
        <w:t>Marsye</w:t>
      </w:r>
      <w:proofErr w:type="spellEnd"/>
      <w:r w:rsidRPr="00D448E6">
        <w:rPr>
          <w:rFonts w:ascii="Cambria" w:hAnsi="Cambria" w:cs="Arial"/>
          <w:b/>
        </w:rPr>
        <w:t xml:space="preserve"> Pattinaja</w:t>
      </w:r>
      <w:r w:rsidR="007B6359">
        <w:rPr>
          <w:rFonts w:ascii="Cambria" w:hAnsi="Cambria" w:cs="Arial"/>
          <w:b/>
          <w:vertAlign w:val="superscript"/>
        </w:rPr>
        <w:t>2</w:t>
      </w:r>
      <w:r w:rsidR="007B6359">
        <w:rPr>
          <w:rFonts w:ascii="Cambria" w:hAnsi="Cambria" w:cs="Arial"/>
          <w:b/>
        </w:rPr>
        <w:t xml:space="preserve">, </w:t>
      </w:r>
      <w:proofErr w:type="spellStart"/>
      <w:r w:rsidR="007B6359" w:rsidRPr="007B6359">
        <w:rPr>
          <w:rFonts w:ascii="Cambria" w:hAnsi="Cambria" w:cs="Arial"/>
          <w:b/>
        </w:rPr>
        <w:t>Sukma</w:t>
      </w:r>
      <w:proofErr w:type="spellEnd"/>
      <w:r w:rsidR="007B6359" w:rsidRPr="007B6359">
        <w:rPr>
          <w:rFonts w:ascii="Cambria" w:hAnsi="Cambria" w:cs="Arial"/>
          <w:b/>
        </w:rPr>
        <w:t xml:space="preserve"> </w:t>
      </w:r>
      <w:proofErr w:type="spellStart"/>
      <w:r w:rsidR="007B6359" w:rsidRPr="007B6359">
        <w:rPr>
          <w:rFonts w:ascii="Cambria" w:hAnsi="Cambria" w:cs="Arial"/>
          <w:b/>
        </w:rPr>
        <w:t>Rahmi</w:t>
      </w:r>
      <w:proofErr w:type="spellEnd"/>
      <w:r w:rsidR="007B6359" w:rsidRPr="007B6359">
        <w:rPr>
          <w:rFonts w:ascii="Cambria" w:hAnsi="Cambria" w:cs="Arial"/>
          <w:b/>
        </w:rPr>
        <w:t xml:space="preserve"> </w:t>
      </w:r>
      <w:proofErr w:type="spellStart"/>
      <w:r w:rsidR="007B6359" w:rsidRPr="007B6359">
        <w:rPr>
          <w:rFonts w:ascii="Cambria" w:hAnsi="Cambria" w:cs="Arial"/>
          <w:b/>
        </w:rPr>
        <w:t>Ayu</w:t>
      </w:r>
      <w:proofErr w:type="spellEnd"/>
      <w:r w:rsidR="007B6359" w:rsidRPr="007B6359">
        <w:rPr>
          <w:rFonts w:ascii="Cambria" w:hAnsi="Cambria" w:cs="Arial"/>
          <w:b/>
        </w:rPr>
        <w:t xml:space="preserve"> Patty</w:t>
      </w:r>
      <w:r w:rsidR="007B6359">
        <w:rPr>
          <w:rFonts w:ascii="Cambria" w:hAnsi="Cambria" w:cs="Arial"/>
          <w:b/>
          <w:vertAlign w:val="superscript"/>
        </w:rPr>
        <w:t>3</w:t>
      </w:r>
    </w:p>
    <w:p w14:paraId="55ECB305" w14:textId="183AD64D" w:rsidR="00F04CEF" w:rsidRDefault="000F4100">
      <w:pPr>
        <w:shd w:val="clear" w:color="auto" w:fill="FFFFFF"/>
        <w:spacing w:after="0" w:line="240" w:lineRule="auto"/>
        <w:jc w:val="center"/>
        <w:rPr>
          <w:rFonts w:ascii="Cambria" w:hAnsi="Cambria" w:cs="Arial"/>
          <w:sz w:val="20"/>
          <w:szCs w:val="20"/>
        </w:rPr>
      </w:pPr>
      <w:r>
        <w:rPr>
          <w:rFonts w:ascii="Cambria" w:hAnsi="Cambria" w:cs="Arial"/>
          <w:sz w:val="20"/>
          <w:szCs w:val="20"/>
          <w:vertAlign w:val="superscript"/>
        </w:rPr>
        <w:t>1</w:t>
      </w:r>
      <w:proofErr w:type="gramStart"/>
      <w:r w:rsidR="007B6359">
        <w:rPr>
          <w:rFonts w:ascii="Cambria" w:hAnsi="Cambria" w:cs="Arial"/>
          <w:sz w:val="20"/>
          <w:szCs w:val="20"/>
          <w:vertAlign w:val="superscript"/>
        </w:rPr>
        <w:t>,2,3</w:t>
      </w:r>
      <w:r w:rsidRPr="00D448E6">
        <w:rPr>
          <w:rFonts w:ascii="Cambria" w:hAnsi="Cambria" w:cs="Arial"/>
          <w:sz w:val="20"/>
          <w:szCs w:val="20"/>
        </w:rPr>
        <w:t>Department</w:t>
      </w:r>
      <w:proofErr w:type="gramEnd"/>
      <w:r w:rsidRPr="00D448E6">
        <w:rPr>
          <w:rFonts w:ascii="Cambria" w:hAnsi="Cambria" w:cs="Arial"/>
          <w:sz w:val="20"/>
          <w:szCs w:val="20"/>
        </w:rPr>
        <w:t xml:space="preserve"> of Accounting, Faculty of Economics and Business, Pattimura University</w:t>
      </w:r>
    </w:p>
    <w:p w14:paraId="749C9A49" w14:textId="3E7E0184" w:rsidR="00F04CEF" w:rsidRDefault="000F4100">
      <w:pPr>
        <w:shd w:val="clear" w:color="auto" w:fill="FFFFFF"/>
        <w:spacing w:after="0" w:line="240" w:lineRule="auto"/>
        <w:jc w:val="center"/>
        <w:rPr>
          <w:rFonts w:ascii="Cambria" w:hAnsi="Cambria" w:cs="Arial"/>
          <w:sz w:val="20"/>
          <w:szCs w:val="20"/>
        </w:rPr>
      </w:pPr>
      <w:r w:rsidRPr="00D448E6">
        <w:rPr>
          <w:rFonts w:ascii="Cambria" w:hAnsi="Cambria" w:cs="Arial"/>
          <w:sz w:val="20"/>
          <w:szCs w:val="20"/>
        </w:rPr>
        <w:t xml:space="preserve">*Corresponding Author E-mail: </w:t>
      </w:r>
      <w:r w:rsidR="000629BA" w:rsidRPr="00176EC4">
        <w:rPr>
          <w:rFonts w:ascii="Cambria" w:hAnsi="Cambria" w:cs="Arial"/>
          <w:color w:val="000000" w:themeColor="text1"/>
          <w:sz w:val="20"/>
          <w:szCs w:val="20"/>
        </w:rPr>
        <w:t>mflaitupa</w:t>
      </w:r>
      <w:r w:rsidRPr="00176EC4">
        <w:rPr>
          <w:rFonts w:ascii="Cambria" w:hAnsi="Cambria" w:cs="Arial"/>
          <w:color w:val="000000" w:themeColor="text1"/>
          <w:sz w:val="20"/>
          <w:szCs w:val="20"/>
        </w:rPr>
        <w:t>@gmail.com</w:t>
      </w:r>
    </w:p>
    <w:p w14:paraId="36D7C9B2" w14:textId="77777777" w:rsidR="00D448E6" w:rsidRPr="00307F16" w:rsidRDefault="00D448E6" w:rsidP="00307F16">
      <w:pPr>
        <w:spacing w:after="0" w:line="240" w:lineRule="auto"/>
        <w:jc w:val="center"/>
        <w:rPr>
          <w:rFonts w:ascii="Cambria" w:hAnsi="Cambria" w:cs="Cambria"/>
          <w:color w:val="000000"/>
          <w:sz w:val="20"/>
          <w:szCs w:val="20"/>
        </w:rPr>
      </w:pPr>
    </w:p>
    <w:p w14:paraId="0F619027" w14:textId="77777777" w:rsidR="00F04CEF" w:rsidRDefault="000F4100">
      <w:pPr>
        <w:spacing w:before="240" w:after="60" w:line="240" w:lineRule="auto"/>
        <w:jc w:val="center"/>
        <w:rPr>
          <w:rFonts w:ascii="Cambria" w:hAnsi="Cambria" w:cs="Cambria"/>
          <w:b/>
          <w:color w:val="000000"/>
        </w:rPr>
      </w:pPr>
      <w:r>
        <w:rPr>
          <w:rFonts w:ascii="Cambria" w:hAnsi="Cambria" w:cs="Cambria"/>
          <w:b/>
          <w:color w:val="000000"/>
        </w:rPr>
        <w:t>Abstract</w:t>
      </w:r>
    </w:p>
    <w:p w14:paraId="5957A705" w14:textId="007368CE" w:rsidR="00B01F49" w:rsidRPr="00A71E36" w:rsidRDefault="000F4100" w:rsidP="00A71E36">
      <w:pPr>
        <w:ind w:left="567" w:right="567"/>
        <w:jc w:val="both"/>
        <w:rPr>
          <w:rFonts w:ascii="Cambria" w:hAnsi="Cambria"/>
          <w:sz w:val="18"/>
          <w:szCs w:val="18"/>
        </w:rPr>
      </w:pPr>
      <w:r w:rsidRPr="00A71E36">
        <w:rPr>
          <w:rFonts w:ascii="Cambria" w:hAnsi="Cambria"/>
          <w:sz w:val="18"/>
          <w:szCs w:val="18"/>
        </w:rPr>
        <w:t xml:space="preserve">This study aimed to determine the effect of Profitability, Leverage and Company growth on the acceptance of Going Concern audit opinion before and during the Covid-19 pandemic. The research objective used was an exploratory study. The type of data used </w:t>
      </w:r>
      <w:r w:rsidR="00326EFF" w:rsidRPr="00A71E36">
        <w:rPr>
          <w:rFonts w:ascii="Cambria" w:hAnsi="Cambria"/>
          <w:sz w:val="18"/>
          <w:szCs w:val="18"/>
        </w:rPr>
        <w:t>is</w:t>
      </w:r>
      <w:r w:rsidRPr="00A71E36">
        <w:rPr>
          <w:rFonts w:ascii="Cambria" w:hAnsi="Cambria"/>
          <w:sz w:val="18"/>
          <w:szCs w:val="18"/>
        </w:rPr>
        <w:t xml:space="preserve"> quantitative data. The data source used was secondary data. The population in this study is a manufacturing company listed on the Indonesia Stock Exchange (BEI) in 2019-2020. The sampling technique used purposive sampling technique. The sample amounted to 119 companies from 218 manufacturing companies listed on the Indonesia Stock Exchange in 2019-2020, so the research data analyzed amounted to 238. The data analysis technique used was descriptive statistics and logistic regression. This study shows that (1) Profitability before the Covid-19 pandemic has no effect on the acceptance of Going Concern Audit Opinions</w:t>
      </w:r>
      <w:r w:rsidR="00FE11F9" w:rsidRPr="00A71E36">
        <w:rPr>
          <w:rFonts w:ascii="Cambria" w:hAnsi="Cambria"/>
          <w:sz w:val="18"/>
          <w:szCs w:val="18"/>
        </w:rPr>
        <w:t>.</w:t>
      </w:r>
      <w:r w:rsidRPr="00A71E36">
        <w:rPr>
          <w:rFonts w:ascii="Cambria" w:hAnsi="Cambria"/>
          <w:sz w:val="18"/>
          <w:szCs w:val="18"/>
        </w:rPr>
        <w:t xml:space="preserve"> It is indicated by the regression coefficient value of -0.027 and a significant value greater than 0.05, namely 0.374</w:t>
      </w:r>
      <w:r w:rsidR="00FE11F9" w:rsidRPr="00A71E36">
        <w:rPr>
          <w:rFonts w:ascii="Cambria" w:hAnsi="Cambria"/>
          <w:sz w:val="18"/>
          <w:szCs w:val="18"/>
        </w:rPr>
        <w:t>.</w:t>
      </w:r>
      <w:r w:rsidRPr="00A71E36">
        <w:rPr>
          <w:rFonts w:ascii="Cambria" w:hAnsi="Cambria"/>
          <w:sz w:val="18"/>
          <w:szCs w:val="18"/>
        </w:rPr>
        <w:t xml:space="preserve"> (2) Profitability during the Covid-19 pandemic affects the acceptance of Going Concern Audit Opinions</w:t>
      </w:r>
      <w:r w:rsidR="00FE11F9" w:rsidRPr="00A71E36">
        <w:rPr>
          <w:rFonts w:ascii="Cambria" w:hAnsi="Cambria"/>
          <w:sz w:val="18"/>
          <w:szCs w:val="18"/>
        </w:rPr>
        <w:t xml:space="preserve">. </w:t>
      </w:r>
      <w:r w:rsidRPr="00A71E36">
        <w:rPr>
          <w:rFonts w:ascii="Cambria" w:hAnsi="Cambria"/>
          <w:sz w:val="18"/>
          <w:szCs w:val="18"/>
        </w:rPr>
        <w:t>It is indicated by a regression coefficient value of -440 and a significant value smaller than 0.05, namely 0.000</w:t>
      </w:r>
      <w:r w:rsidR="00FE11F9" w:rsidRPr="00A71E36">
        <w:rPr>
          <w:rFonts w:ascii="Cambria" w:hAnsi="Cambria"/>
          <w:sz w:val="18"/>
          <w:szCs w:val="18"/>
        </w:rPr>
        <w:t>.</w:t>
      </w:r>
      <w:r w:rsidRPr="00A71E36">
        <w:rPr>
          <w:rFonts w:ascii="Cambria" w:hAnsi="Cambria"/>
          <w:sz w:val="18"/>
          <w:szCs w:val="18"/>
        </w:rPr>
        <w:t xml:space="preserve"> (3) Leverage before the COVID-19 pandemic has no effect on Going Concern Audit Opinions</w:t>
      </w:r>
      <w:r w:rsidR="00FE11F9" w:rsidRPr="00A71E36">
        <w:rPr>
          <w:rFonts w:ascii="Cambria" w:hAnsi="Cambria"/>
          <w:sz w:val="18"/>
          <w:szCs w:val="18"/>
        </w:rPr>
        <w:t xml:space="preserve">. </w:t>
      </w:r>
      <w:r w:rsidRPr="00A71E36">
        <w:rPr>
          <w:rFonts w:ascii="Cambria" w:hAnsi="Cambria"/>
          <w:sz w:val="18"/>
          <w:szCs w:val="18"/>
        </w:rPr>
        <w:t>It is indicated by a regression coefficient value of -0.027 and a significant value greater than 0</w:t>
      </w:r>
      <w:proofErr w:type="gramStart"/>
      <w:r w:rsidRPr="00A71E36">
        <w:rPr>
          <w:rFonts w:ascii="Cambria" w:hAnsi="Cambria"/>
          <w:sz w:val="18"/>
          <w:szCs w:val="18"/>
        </w:rPr>
        <w:t>,05</w:t>
      </w:r>
      <w:proofErr w:type="gramEnd"/>
      <w:r w:rsidRPr="00A71E36">
        <w:rPr>
          <w:rFonts w:ascii="Cambria" w:hAnsi="Cambria"/>
          <w:sz w:val="18"/>
          <w:szCs w:val="18"/>
        </w:rPr>
        <w:t>, namely 0.810</w:t>
      </w:r>
      <w:r w:rsidR="00FE11F9" w:rsidRPr="00A71E36">
        <w:rPr>
          <w:rFonts w:ascii="Cambria" w:hAnsi="Cambria"/>
          <w:sz w:val="18"/>
          <w:szCs w:val="18"/>
        </w:rPr>
        <w:t>.</w:t>
      </w:r>
      <w:r w:rsidRPr="00A71E36">
        <w:rPr>
          <w:rFonts w:ascii="Cambria" w:hAnsi="Cambria"/>
          <w:sz w:val="18"/>
          <w:szCs w:val="18"/>
        </w:rPr>
        <w:t xml:space="preserve"> (4) Leverage during the COVID-19 pandemic has an effect on Going Concern Audit Opinions</w:t>
      </w:r>
      <w:r w:rsidR="00FE11F9" w:rsidRPr="00A71E36">
        <w:rPr>
          <w:rFonts w:ascii="Cambria" w:hAnsi="Cambria"/>
          <w:sz w:val="18"/>
          <w:szCs w:val="18"/>
        </w:rPr>
        <w:t xml:space="preserve">. </w:t>
      </w:r>
      <w:r w:rsidRPr="00A71E36">
        <w:rPr>
          <w:rFonts w:ascii="Cambria" w:hAnsi="Cambria"/>
          <w:sz w:val="18"/>
          <w:szCs w:val="18"/>
        </w:rPr>
        <w:t>It is indicated by a regression coefficient value of 0.08 and a significant value smaller than 0.05, namely 0.044</w:t>
      </w:r>
      <w:r w:rsidR="00FE11F9" w:rsidRPr="00A71E36">
        <w:rPr>
          <w:rFonts w:ascii="Cambria" w:hAnsi="Cambria"/>
          <w:sz w:val="18"/>
          <w:szCs w:val="18"/>
        </w:rPr>
        <w:t>.</w:t>
      </w:r>
      <w:r w:rsidRPr="00A71E36">
        <w:rPr>
          <w:rFonts w:ascii="Cambria" w:hAnsi="Cambria"/>
          <w:sz w:val="18"/>
          <w:szCs w:val="18"/>
        </w:rPr>
        <w:t xml:space="preserve"> (5) Company growth before the COVID-19 pandemic has no effect on Going Concern Audit Opinions</w:t>
      </w:r>
      <w:r w:rsidR="00FE11F9" w:rsidRPr="00A71E36">
        <w:rPr>
          <w:rFonts w:ascii="Cambria" w:hAnsi="Cambria"/>
          <w:sz w:val="18"/>
          <w:szCs w:val="18"/>
        </w:rPr>
        <w:t xml:space="preserve">. </w:t>
      </w:r>
      <w:r w:rsidRPr="00A71E36">
        <w:rPr>
          <w:rFonts w:ascii="Cambria" w:hAnsi="Cambria"/>
          <w:sz w:val="18"/>
          <w:szCs w:val="18"/>
        </w:rPr>
        <w:t>It is indicated by a regression coefficient value of 0,034 and a significant value greater than 0.05, namely 0.60</w:t>
      </w:r>
      <w:r w:rsidR="00FE11F9" w:rsidRPr="00A71E36">
        <w:rPr>
          <w:rFonts w:ascii="Cambria" w:hAnsi="Cambria"/>
          <w:sz w:val="18"/>
          <w:szCs w:val="18"/>
        </w:rPr>
        <w:t>.</w:t>
      </w:r>
      <w:r w:rsidRPr="00A71E36">
        <w:rPr>
          <w:rFonts w:ascii="Cambria" w:hAnsi="Cambria"/>
          <w:sz w:val="18"/>
          <w:szCs w:val="18"/>
        </w:rPr>
        <w:t xml:space="preserve"> (6) Company growth during the COVID-19 pandemic has no effect on Going Concern Audit Opinions</w:t>
      </w:r>
      <w:r w:rsidR="00FE11F9" w:rsidRPr="00A71E36">
        <w:rPr>
          <w:rFonts w:ascii="Cambria" w:hAnsi="Cambria"/>
          <w:sz w:val="18"/>
          <w:szCs w:val="18"/>
        </w:rPr>
        <w:t xml:space="preserve">. </w:t>
      </w:r>
      <w:r w:rsidRPr="00A71E36">
        <w:rPr>
          <w:rFonts w:ascii="Cambria" w:hAnsi="Cambria"/>
          <w:sz w:val="18"/>
          <w:szCs w:val="18"/>
        </w:rPr>
        <w:t>It is indicated by the regression coefficient value of -0.020 and a significant value greater than 0.05, namely 0.244.</w:t>
      </w:r>
    </w:p>
    <w:p w14:paraId="14EFA3EA" w14:textId="77777777" w:rsidR="00B01F49" w:rsidRPr="00A71E36" w:rsidRDefault="00B01F49" w:rsidP="00A71E36">
      <w:pPr>
        <w:ind w:firstLine="567"/>
        <w:rPr>
          <w:rFonts w:ascii="Camba" w:hAnsi="Camba"/>
          <w:sz w:val="18"/>
          <w:szCs w:val="18"/>
        </w:rPr>
      </w:pPr>
      <w:r w:rsidRPr="00A71E36">
        <w:rPr>
          <w:rFonts w:ascii="Camba" w:hAnsi="Camba"/>
          <w:sz w:val="18"/>
          <w:szCs w:val="18"/>
        </w:rPr>
        <w:t>Keywords: Going Concern Audit Opinion, Covid-19 Pandemic, Profitability, Leverage, Company Growth</w:t>
      </w:r>
    </w:p>
    <w:p w14:paraId="54296781" w14:textId="77777777" w:rsidR="00B01F49" w:rsidRDefault="00B01F49" w:rsidP="00B01F49">
      <w:pPr>
        <w:spacing w:before="240" w:after="60" w:line="240" w:lineRule="auto"/>
        <w:jc w:val="center"/>
        <w:rPr>
          <w:rFonts w:ascii="Cambria" w:hAnsi="Cambria" w:cs="Cambria"/>
          <w:b/>
          <w:color w:val="000000"/>
        </w:rPr>
      </w:pPr>
      <w:r>
        <w:rPr>
          <w:rFonts w:ascii="Cambria" w:hAnsi="Cambria" w:cs="Cambria"/>
          <w:b/>
          <w:color w:val="000000"/>
        </w:rPr>
        <w:t>Abstract</w:t>
      </w:r>
    </w:p>
    <w:p w14:paraId="53749312" w14:textId="77777777" w:rsidR="00B01F49" w:rsidRPr="00B01F49" w:rsidRDefault="00B01F49" w:rsidP="00B01F49">
      <w:pPr>
        <w:pBdr>
          <w:bottom w:val="single" w:sz="2" w:space="3" w:color="000000" w:shadow="1"/>
        </w:pBdr>
        <w:spacing w:after="0" w:line="240" w:lineRule="auto"/>
        <w:ind w:left="567" w:right="567"/>
        <w:jc w:val="both"/>
        <w:rPr>
          <w:rFonts w:ascii="Cambria" w:hAnsi="Cambria"/>
          <w:sz w:val="18"/>
          <w:szCs w:val="18"/>
        </w:rPr>
      </w:pPr>
      <w:proofErr w:type="spellStart"/>
      <w:r w:rsidRPr="00B01F49">
        <w:rPr>
          <w:rFonts w:ascii="Cambria" w:hAnsi="Cambria"/>
          <w:sz w:val="18"/>
          <w:szCs w:val="18"/>
        </w:rPr>
        <w:t>Penelitian</w:t>
      </w:r>
      <w:proofErr w:type="spellEnd"/>
      <w:r w:rsidRPr="00B01F49">
        <w:rPr>
          <w:rFonts w:ascii="Cambria" w:hAnsi="Cambria"/>
          <w:sz w:val="18"/>
          <w:szCs w:val="18"/>
        </w:rPr>
        <w:t xml:space="preserve"> </w:t>
      </w:r>
      <w:proofErr w:type="spellStart"/>
      <w:r w:rsidRPr="00B01F49">
        <w:rPr>
          <w:rFonts w:ascii="Cambria" w:hAnsi="Cambria"/>
          <w:sz w:val="18"/>
          <w:szCs w:val="18"/>
        </w:rPr>
        <w:t>ini</w:t>
      </w:r>
      <w:proofErr w:type="spellEnd"/>
      <w:r w:rsidRPr="00B01F49">
        <w:rPr>
          <w:rFonts w:ascii="Cambria" w:hAnsi="Cambria"/>
          <w:sz w:val="18"/>
          <w:szCs w:val="18"/>
        </w:rPr>
        <w:t xml:space="preserve"> </w:t>
      </w:r>
      <w:proofErr w:type="spellStart"/>
      <w:r w:rsidRPr="00B01F49">
        <w:rPr>
          <w:rFonts w:ascii="Cambria" w:hAnsi="Cambria"/>
          <w:sz w:val="18"/>
          <w:szCs w:val="18"/>
        </w:rPr>
        <w:t>bertujuan</w:t>
      </w:r>
      <w:proofErr w:type="spellEnd"/>
      <w:r w:rsidRPr="00B01F49">
        <w:rPr>
          <w:rFonts w:ascii="Cambria" w:hAnsi="Cambria"/>
          <w:sz w:val="18"/>
          <w:szCs w:val="18"/>
        </w:rPr>
        <w:t xml:space="preserve"> </w:t>
      </w:r>
      <w:proofErr w:type="spellStart"/>
      <w:r w:rsidRPr="00B01F49">
        <w:rPr>
          <w:rFonts w:ascii="Cambria" w:hAnsi="Cambria"/>
          <w:sz w:val="18"/>
          <w:szCs w:val="18"/>
        </w:rPr>
        <w:t>untuk</w:t>
      </w:r>
      <w:proofErr w:type="spellEnd"/>
      <w:r w:rsidRPr="00B01F49">
        <w:rPr>
          <w:rFonts w:ascii="Cambria" w:hAnsi="Cambria"/>
          <w:sz w:val="18"/>
          <w:szCs w:val="18"/>
        </w:rPr>
        <w:t xml:space="preserve"> </w:t>
      </w:r>
      <w:proofErr w:type="spellStart"/>
      <w:r w:rsidRPr="00B01F49">
        <w:rPr>
          <w:rFonts w:ascii="Cambria" w:hAnsi="Cambria"/>
          <w:sz w:val="18"/>
          <w:szCs w:val="18"/>
        </w:rPr>
        <w:t>mengetahui</w:t>
      </w:r>
      <w:proofErr w:type="spellEnd"/>
      <w:r w:rsidRPr="00B01F49">
        <w:rPr>
          <w:rFonts w:ascii="Cambria" w:hAnsi="Cambria"/>
          <w:sz w:val="18"/>
          <w:szCs w:val="18"/>
        </w:rPr>
        <w:t xml:space="preserve"> </w:t>
      </w:r>
      <w:proofErr w:type="spellStart"/>
      <w:r w:rsidRPr="00B01F49">
        <w:rPr>
          <w:rFonts w:ascii="Cambria" w:hAnsi="Cambria"/>
          <w:sz w:val="18"/>
          <w:szCs w:val="18"/>
        </w:rPr>
        <w:t>pengaruh</w:t>
      </w:r>
      <w:proofErr w:type="spellEnd"/>
      <w:r w:rsidRPr="00B01F49">
        <w:rPr>
          <w:rFonts w:ascii="Cambria" w:hAnsi="Cambria"/>
          <w:sz w:val="18"/>
          <w:szCs w:val="18"/>
        </w:rPr>
        <w:t xml:space="preserve"> </w:t>
      </w:r>
      <w:proofErr w:type="spellStart"/>
      <w:r w:rsidRPr="00B01F49">
        <w:rPr>
          <w:rFonts w:ascii="Cambria" w:hAnsi="Cambria"/>
          <w:sz w:val="18"/>
          <w:szCs w:val="18"/>
        </w:rPr>
        <w:t>Profitabilitas</w:t>
      </w:r>
      <w:proofErr w:type="spellEnd"/>
      <w:r w:rsidRPr="00B01F49">
        <w:rPr>
          <w:rFonts w:ascii="Cambria" w:hAnsi="Cambria"/>
          <w:sz w:val="18"/>
          <w:szCs w:val="18"/>
        </w:rPr>
        <w:t xml:space="preserve">, </w:t>
      </w:r>
      <w:r w:rsidRPr="00B01F49">
        <w:rPr>
          <w:rFonts w:ascii="Cambria" w:hAnsi="Cambria"/>
          <w:iCs/>
          <w:sz w:val="18"/>
          <w:szCs w:val="18"/>
        </w:rPr>
        <w:t xml:space="preserve">Leverage </w:t>
      </w:r>
      <w:proofErr w:type="spellStart"/>
      <w:r w:rsidRPr="00B01F49">
        <w:rPr>
          <w:rFonts w:ascii="Cambria" w:hAnsi="Cambria"/>
          <w:iCs/>
          <w:sz w:val="18"/>
          <w:szCs w:val="18"/>
        </w:rPr>
        <w:t>dan</w:t>
      </w:r>
      <w:proofErr w:type="spellEnd"/>
      <w:r w:rsidRPr="00B01F49">
        <w:rPr>
          <w:rFonts w:ascii="Cambria" w:hAnsi="Cambria"/>
          <w:sz w:val="18"/>
          <w:szCs w:val="18"/>
        </w:rPr>
        <w:t xml:space="preserve"> </w:t>
      </w:r>
      <w:proofErr w:type="spellStart"/>
      <w:r w:rsidRPr="00B01F49">
        <w:rPr>
          <w:rFonts w:ascii="Cambria" w:hAnsi="Cambria"/>
          <w:sz w:val="18"/>
          <w:szCs w:val="18"/>
        </w:rPr>
        <w:t>Pertumbuhan</w:t>
      </w:r>
      <w:proofErr w:type="spellEnd"/>
      <w:r w:rsidRPr="00B01F49">
        <w:rPr>
          <w:rFonts w:ascii="Cambria" w:hAnsi="Cambria"/>
          <w:sz w:val="18"/>
          <w:szCs w:val="18"/>
        </w:rPr>
        <w:t xml:space="preserve"> </w:t>
      </w:r>
      <w:proofErr w:type="spellStart"/>
      <w:r w:rsidRPr="00B01F49">
        <w:rPr>
          <w:rFonts w:ascii="Cambria" w:hAnsi="Cambria"/>
          <w:sz w:val="18"/>
          <w:szCs w:val="18"/>
        </w:rPr>
        <w:t>perusahaan</w:t>
      </w:r>
      <w:proofErr w:type="spellEnd"/>
      <w:r w:rsidRPr="00B01F49">
        <w:rPr>
          <w:rFonts w:ascii="Cambria" w:hAnsi="Cambria"/>
          <w:sz w:val="18"/>
          <w:szCs w:val="18"/>
        </w:rPr>
        <w:t xml:space="preserve"> </w:t>
      </w:r>
      <w:proofErr w:type="spellStart"/>
      <w:r w:rsidRPr="00B01F49">
        <w:rPr>
          <w:rFonts w:ascii="Cambria" w:hAnsi="Cambria"/>
          <w:sz w:val="18"/>
          <w:szCs w:val="18"/>
        </w:rPr>
        <w:t>terhadap</w:t>
      </w:r>
      <w:proofErr w:type="spellEnd"/>
      <w:r w:rsidRPr="00B01F49">
        <w:rPr>
          <w:rFonts w:ascii="Cambria" w:hAnsi="Cambria"/>
          <w:sz w:val="18"/>
          <w:szCs w:val="18"/>
        </w:rPr>
        <w:t xml:space="preserve"> </w:t>
      </w:r>
      <w:proofErr w:type="spellStart"/>
      <w:r w:rsidRPr="00B01F49">
        <w:rPr>
          <w:rFonts w:ascii="Cambria" w:hAnsi="Cambria"/>
          <w:sz w:val="18"/>
          <w:szCs w:val="18"/>
        </w:rPr>
        <w:t>penerimaan</w:t>
      </w:r>
      <w:proofErr w:type="spellEnd"/>
      <w:r w:rsidRPr="00B01F49">
        <w:rPr>
          <w:rFonts w:ascii="Cambria" w:hAnsi="Cambria"/>
          <w:sz w:val="18"/>
          <w:szCs w:val="18"/>
        </w:rPr>
        <w:t xml:space="preserve"> </w:t>
      </w:r>
      <w:proofErr w:type="spellStart"/>
      <w:r w:rsidRPr="00B01F49">
        <w:rPr>
          <w:rFonts w:ascii="Cambria" w:hAnsi="Cambria"/>
          <w:sz w:val="18"/>
          <w:szCs w:val="18"/>
        </w:rPr>
        <w:t>Opini</w:t>
      </w:r>
      <w:proofErr w:type="spellEnd"/>
      <w:r w:rsidRPr="00B01F49">
        <w:rPr>
          <w:rFonts w:ascii="Cambria" w:hAnsi="Cambria"/>
          <w:sz w:val="18"/>
          <w:szCs w:val="18"/>
        </w:rPr>
        <w:t xml:space="preserve"> audit </w:t>
      </w:r>
      <w:r w:rsidRPr="00B01F49">
        <w:rPr>
          <w:rFonts w:ascii="Cambria" w:hAnsi="Cambria"/>
          <w:iCs/>
          <w:sz w:val="18"/>
          <w:szCs w:val="18"/>
        </w:rPr>
        <w:t>Going Concern</w:t>
      </w:r>
      <w:r w:rsidRPr="00B01F49">
        <w:rPr>
          <w:rFonts w:ascii="Cambria" w:hAnsi="Cambria"/>
          <w:sz w:val="18"/>
          <w:szCs w:val="18"/>
        </w:rPr>
        <w:t xml:space="preserve"> </w:t>
      </w:r>
      <w:proofErr w:type="spellStart"/>
      <w:r w:rsidRPr="00B01F49">
        <w:rPr>
          <w:rFonts w:ascii="Cambria" w:hAnsi="Cambria"/>
          <w:sz w:val="18"/>
          <w:szCs w:val="18"/>
        </w:rPr>
        <w:t>sebelum</w:t>
      </w:r>
      <w:proofErr w:type="spellEnd"/>
      <w:r w:rsidRPr="00B01F49">
        <w:rPr>
          <w:rFonts w:ascii="Cambria" w:hAnsi="Cambria"/>
          <w:sz w:val="18"/>
          <w:szCs w:val="18"/>
        </w:rPr>
        <w:t xml:space="preserve"> </w:t>
      </w:r>
      <w:proofErr w:type="spellStart"/>
      <w:r w:rsidRPr="00B01F49">
        <w:rPr>
          <w:rFonts w:ascii="Cambria" w:hAnsi="Cambria"/>
          <w:sz w:val="18"/>
          <w:szCs w:val="18"/>
        </w:rPr>
        <w:t>dan</w:t>
      </w:r>
      <w:proofErr w:type="spellEnd"/>
      <w:r w:rsidRPr="00B01F49">
        <w:rPr>
          <w:rFonts w:ascii="Cambria" w:hAnsi="Cambria"/>
          <w:sz w:val="18"/>
          <w:szCs w:val="18"/>
        </w:rPr>
        <w:t xml:space="preserve"> </w:t>
      </w:r>
      <w:proofErr w:type="spellStart"/>
      <w:r w:rsidRPr="00B01F49">
        <w:rPr>
          <w:rFonts w:ascii="Cambria" w:hAnsi="Cambria"/>
          <w:sz w:val="18"/>
          <w:szCs w:val="18"/>
        </w:rPr>
        <w:t>pada</w:t>
      </w:r>
      <w:proofErr w:type="spellEnd"/>
      <w:r w:rsidRPr="00B01F49">
        <w:rPr>
          <w:rFonts w:ascii="Cambria" w:hAnsi="Cambria"/>
          <w:sz w:val="18"/>
          <w:szCs w:val="18"/>
        </w:rPr>
        <w:t xml:space="preserve"> </w:t>
      </w:r>
      <w:proofErr w:type="spellStart"/>
      <w:r w:rsidRPr="00B01F49">
        <w:rPr>
          <w:rFonts w:ascii="Cambria" w:hAnsi="Cambria"/>
          <w:sz w:val="18"/>
          <w:szCs w:val="18"/>
        </w:rPr>
        <w:t>masa</w:t>
      </w:r>
      <w:proofErr w:type="spellEnd"/>
      <w:r w:rsidRPr="00B01F49">
        <w:rPr>
          <w:rFonts w:ascii="Cambria" w:hAnsi="Cambria"/>
          <w:sz w:val="18"/>
          <w:szCs w:val="18"/>
        </w:rPr>
        <w:t xml:space="preserve"> </w:t>
      </w:r>
      <w:proofErr w:type="spellStart"/>
      <w:r w:rsidRPr="00B01F49">
        <w:rPr>
          <w:rFonts w:ascii="Cambria" w:hAnsi="Cambria"/>
          <w:sz w:val="18"/>
          <w:szCs w:val="18"/>
        </w:rPr>
        <w:t>pandemi</w:t>
      </w:r>
      <w:proofErr w:type="spellEnd"/>
      <w:r w:rsidRPr="00B01F49">
        <w:rPr>
          <w:rFonts w:ascii="Cambria" w:hAnsi="Cambria"/>
          <w:sz w:val="18"/>
          <w:szCs w:val="18"/>
        </w:rPr>
        <w:t xml:space="preserve"> Covid-19</w:t>
      </w:r>
      <w:r w:rsidRPr="00B01F49">
        <w:rPr>
          <w:rFonts w:ascii="Cambria" w:hAnsi="Cambria"/>
          <w:iCs/>
          <w:sz w:val="18"/>
          <w:szCs w:val="18"/>
        </w:rPr>
        <w:t xml:space="preserve">. </w:t>
      </w:r>
      <w:proofErr w:type="spellStart"/>
      <w:proofErr w:type="gramStart"/>
      <w:r w:rsidRPr="00B01F49">
        <w:rPr>
          <w:rFonts w:ascii="Cambria" w:hAnsi="Cambria"/>
          <w:sz w:val="18"/>
          <w:szCs w:val="18"/>
        </w:rPr>
        <w:t>Tujuan</w:t>
      </w:r>
      <w:proofErr w:type="spellEnd"/>
      <w:r w:rsidRPr="00B01F49">
        <w:rPr>
          <w:rFonts w:ascii="Cambria" w:hAnsi="Cambria"/>
          <w:sz w:val="18"/>
          <w:szCs w:val="18"/>
        </w:rPr>
        <w:t xml:space="preserve"> </w:t>
      </w:r>
      <w:proofErr w:type="spellStart"/>
      <w:r w:rsidRPr="00B01F49">
        <w:rPr>
          <w:rFonts w:ascii="Cambria" w:hAnsi="Cambria"/>
          <w:sz w:val="18"/>
          <w:szCs w:val="18"/>
        </w:rPr>
        <w:t>penelitian</w:t>
      </w:r>
      <w:proofErr w:type="spellEnd"/>
      <w:r w:rsidRPr="00B01F49">
        <w:rPr>
          <w:rFonts w:ascii="Cambria" w:hAnsi="Cambria"/>
          <w:sz w:val="18"/>
          <w:szCs w:val="18"/>
        </w:rPr>
        <w:t xml:space="preserve"> yang </w:t>
      </w:r>
      <w:proofErr w:type="spellStart"/>
      <w:r w:rsidRPr="00B01F49">
        <w:rPr>
          <w:rFonts w:ascii="Cambria" w:hAnsi="Cambria"/>
          <w:sz w:val="18"/>
          <w:szCs w:val="18"/>
        </w:rPr>
        <w:t>digunakan</w:t>
      </w:r>
      <w:proofErr w:type="spellEnd"/>
      <w:r w:rsidRPr="00B01F49">
        <w:rPr>
          <w:rFonts w:ascii="Cambria" w:hAnsi="Cambria"/>
          <w:sz w:val="18"/>
          <w:szCs w:val="18"/>
        </w:rPr>
        <w:t xml:space="preserve"> </w:t>
      </w:r>
      <w:proofErr w:type="spellStart"/>
      <w:r w:rsidRPr="00B01F49">
        <w:rPr>
          <w:rFonts w:ascii="Cambria" w:hAnsi="Cambria"/>
          <w:sz w:val="18"/>
          <w:szCs w:val="18"/>
        </w:rPr>
        <w:t>adalah</w:t>
      </w:r>
      <w:proofErr w:type="spellEnd"/>
      <w:r w:rsidRPr="00B01F49">
        <w:rPr>
          <w:rFonts w:ascii="Cambria" w:hAnsi="Cambria"/>
          <w:sz w:val="18"/>
          <w:szCs w:val="18"/>
        </w:rPr>
        <w:t xml:space="preserve"> </w:t>
      </w:r>
      <w:proofErr w:type="spellStart"/>
      <w:r w:rsidRPr="00B01F49">
        <w:rPr>
          <w:rFonts w:ascii="Cambria" w:hAnsi="Cambria"/>
          <w:sz w:val="18"/>
          <w:szCs w:val="18"/>
        </w:rPr>
        <w:t>studi</w:t>
      </w:r>
      <w:proofErr w:type="spellEnd"/>
      <w:r w:rsidRPr="00B01F49">
        <w:rPr>
          <w:rFonts w:ascii="Cambria" w:hAnsi="Cambria"/>
          <w:sz w:val="18"/>
          <w:szCs w:val="18"/>
        </w:rPr>
        <w:t xml:space="preserve"> </w:t>
      </w:r>
      <w:proofErr w:type="spellStart"/>
      <w:r w:rsidRPr="00B01F49">
        <w:rPr>
          <w:rFonts w:ascii="Cambria" w:hAnsi="Cambria"/>
          <w:sz w:val="18"/>
          <w:szCs w:val="18"/>
        </w:rPr>
        <w:t>eksplorasi</w:t>
      </w:r>
      <w:proofErr w:type="spellEnd"/>
      <w:r w:rsidRPr="00B01F49">
        <w:rPr>
          <w:rFonts w:ascii="Cambria" w:hAnsi="Cambria"/>
          <w:sz w:val="18"/>
          <w:szCs w:val="18"/>
        </w:rPr>
        <w:t>.</w:t>
      </w:r>
      <w:proofErr w:type="gramEnd"/>
      <w:r w:rsidRPr="00B01F49">
        <w:rPr>
          <w:rFonts w:ascii="Cambria" w:hAnsi="Cambria"/>
          <w:sz w:val="18"/>
          <w:szCs w:val="18"/>
        </w:rPr>
        <w:t xml:space="preserve"> </w:t>
      </w:r>
      <w:proofErr w:type="spellStart"/>
      <w:proofErr w:type="gramStart"/>
      <w:r w:rsidRPr="00B01F49">
        <w:rPr>
          <w:rFonts w:ascii="Cambria" w:hAnsi="Cambria"/>
          <w:sz w:val="18"/>
          <w:szCs w:val="18"/>
        </w:rPr>
        <w:t>Jenis</w:t>
      </w:r>
      <w:proofErr w:type="spellEnd"/>
      <w:r w:rsidRPr="00B01F49">
        <w:rPr>
          <w:rFonts w:ascii="Cambria" w:hAnsi="Cambria"/>
          <w:sz w:val="18"/>
          <w:szCs w:val="18"/>
        </w:rPr>
        <w:t xml:space="preserve"> data yang </w:t>
      </w:r>
      <w:proofErr w:type="spellStart"/>
      <w:r w:rsidRPr="00B01F49">
        <w:rPr>
          <w:rFonts w:ascii="Cambria" w:hAnsi="Cambria"/>
          <w:sz w:val="18"/>
          <w:szCs w:val="18"/>
        </w:rPr>
        <w:t>digunakan</w:t>
      </w:r>
      <w:proofErr w:type="spellEnd"/>
      <w:r w:rsidRPr="00B01F49">
        <w:rPr>
          <w:rFonts w:ascii="Cambria" w:hAnsi="Cambria"/>
          <w:sz w:val="18"/>
          <w:szCs w:val="18"/>
        </w:rPr>
        <w:t xml:space="preserve"> </w:t>
      </w:r>
      <w:proofErr w:type="spellStart"/>
      <w:r w:rsidRPr="00B01F49">
        <w:rPr>
          <w:rFonts w:ascii="Cambria" w:hAnsi="Cambria"/>
          <w:sz w:val="18"/>
          <w:szCs w:val="18"/>
        </w:rPr>
        <w:t>adalah</w:t>
      </w:r>
      <w:proofErr w:type="spellEnd"/>
      <w:r w:rsidRPr="00B01F49">
        <w:rPr>
          <w:rFonts w:ascii="Cambria" w:hAnsi="Cambria"/>
          <w:sz w:val="18"/>
          <w:szCs w:val="18"/>
        </w:rPr>
        <w:t xml:space="preserve"> data </w:t>
      </w:r>
      <w:proofErr w:type="spellStart"/>
      <w:r w:rsidRPr="00B01F49">
        <w:rPr>
          <w:rFonts w:ascii="Cambria" w:hAnsi="Cambria"/>
          <w:sz w:val="18"/>
          <w:szCs w:val="18"/>
        </w:rPr>
        <w:t>kuantitatif</w:t>
      </w:r>
      <w:proofErr w:type="spellEnd"/>
      <w:r w:rsidRPr="00B01F49">
        <w:rPr>
          <w:rFonts w:ascii="Cambria" w:hAnsi="Cambria"/>
          <w:sz w:val="18"/>
          <w:szCs w:val="18"/>
        </w:rPr>
        <w:t>.</w:t>
      </w:r>
      <w:proofErr w:type="gramEnd"/>
      <w:r w:rsidRPr="00B01F49">
        <w:rPr>
          <w:rFonts w:ascii="Cambria" w:hAnsi="Cambria"/>
          <w:sz w:val="18"/>
          <w:szCs w:val="18"/>
        </w:rPr>
        <w:t xml:space="preserve"> </w:t>
      </w:r>
      <w:proofErr w:type="spellStart"/>
      <w:proofErr w:type="gramStart"/>
      <w:r w:rsidRPr="00B01F49">
        <w:rPr>
          <w:rFonts w:ascii="Cambria" w:hAnsi="Cambria"/>
          <w:sz w:val="18"/>
          <w:szCs w:val="18"/>
        </w:rPr>
        <w:t>Sumber</w:t>
      </w:r>
      <w:proofErr w:type="spellEnd"/>
      <w:r w:rsidRPr="00B01F49">
        <w:rPr>
          <w:rFonts w:ascii="Cambria" w:hAnsi="Cambria"/>
          <w:sz w:val="18"/>
          <w:szCs w:val="18"/>
        </w:rPr>
        <w:t xml:space="preserve"> data yang </w:t>
      </w:r>
      <w:proofErr w:type="spellStart"/>
      <w:r w:rsidRPr="00B01F49">
        <w:rPr>
          <w:rFonts w:ascii="Cambria" w:hAnsi="Cambria"/>
          <w:sz w:val="18"/>
          <w:szCs w:val="18"/>
        </w:rPr>
        <w:t>digunakan</w:t>
      </w:r>
      <w:proofErr w:type="spellEnd"/>
      <w:r w:rsidRPr="00B01F49">
        <w:rPr>
          <w:rFonts w:ascii="Cambria" w:hAnsi="Cambria"/>
          <w:sz w:val="18"/>
          <w:szCs w:val="18"/>
        </w:rPr>
        <w:t xml:space="preserve"> </w:t>
      </w:r>
      <w:proofErr w:type="spellStart"/>
      <w:r w:rsidRPr="00B01F49">
        <w:rPr>
          <w:rFonts w:ascii="Cambria" w:hAnsi="Cambria"/>
          <w:sz w:val="18"/>
          <w:szCs w:val="18"/>
        </w:rPr>
        <w:t>adalah</w:t>
      </w:r>
      <w:proofErr w:type="spellEnd"/>
      <w:r w:rsidRPr="00B01F49">
        <w:rPr>
          <w:rFonts w:ascii="Cambria" w:hAnsi="Cambria"/>
          <w:sz w:val="18"/>
          <w:szCs w:val="18"/>
        </w:rPr>
        <w:t xml:space="preserve"> data </w:t>
      </w:r>
      <w:proofErr w:type="spellStart"/>
      <w:r w:rsidRPr="00B01F49">
        <w:rPr>
          <w:rFonts w:ascii="Cambria" w:hAnsi="Cambria"/>
          <w:sz w:val="18"/>
          <w:szCs w:val="18"/>
        </w:rPr>
        <w:t>sekunder</w:t>
      </w:r>
      <w:proofErr w:type="spellEnd"/>
      <w:r w:rsidRPr="00B01F49">
        <w:rPr>
          <w:rFonts w:ascii="Cambria" w:hAnsi="Cambria"/>
          <w:sz w:val="18"/>
          <w:szCs w:val="18"/>
        </w:rPr>
        <w:t>.</w:t>
      </w:r>
      <w:proofErr w:type="gramEnd"/>
      <w:r w:rsidRPr="00B01F49">
        <w:rPr>
          <w:rFonts w:ascii="Cambria" w:hAnsi="Cambria"/>
          <w:sz w:val="18"/>
          <w:szCs w:val="18"/>
        </w:rPr>
        <w:t xml:space="preserve"> </w:t>
      </w:r>
      <w:proofErr w:type="spellStart"/>
      <w:proofErr w:type="gramStart"/>
      <w:r w:rsidRPr="00B01F49">
        <w:rPr>
          <w:rFonts w:ascii="Cambria" w:hAnsi="Cambria"/>
          <w:sz w:val="18"/>
          <w:szCs w:val="18"/>
        </w:rPr>
        <w:t>Populasi</w:t>
      </w:r>
      <w:proofErr w:type="spellEnd"/>
      <w:r w:rsidRPr="00B01F49">
        <w:rPr>
          <w:rFonts w:ascii="Cambria" w:hAnsi="Cambria"/>
          <w:sz w:val="18"/>
          <w:szCs w:val="18"/>
        </w:rPr>
        <w:t xml:space="preserve"> </w:t>
      </w:r>
      <w:proofErr w:type="spellStart"/>
      <w:r w:rsidRPr="00B01F49">
        <w:rPr>
          <w:rFonts w:ascii="Cambria" w:hAnsi="Cambria"/>
          <w:sz w:val="18"/>
          <w:szCs w:val="18"/>
        </w:rPr>
        <w:t>dalampenelitian</w:t>
      </w:r>
      <w:proofErr w:type="spellEnd"/>
      <w:r w:rsidRPr="00B01F49">
        <w:rPr>
          <w:rFonts w:ascii="Cambria" w:hAnsi="Cambria"/>
          <w:sz w:val="18"/>
          <w:szCs w:val="18"/>
        </w:rPr>
        <w:t xml:space="preserve"> </w:t>
      </w:r>
      <w:proofErr w:type="spellStart"/>
      <w:r w:rsidRPr="00B01F49">
        <w:rPr>
          <w:rFonts w:ascii="Cambria" w:hAnsi="Cambria"/>
          <w:sz w:val="18"/>
          <w:szCs w:val="18"/>
        </w:rPr>
        <w:t>ini</w:t>
      </w:r>
      <w:proofErr w:type="spellEnd"/>
      <w:r w:rsidRPr="00B01F49">
        <w:rPr>
          <w:rFonts w:ascii="Cambria" w:hAnsi="Cambria"/>
          <w:sz w:val="18"/>
          <w:szCs w:val="18"/>
        </w:rPr>
        <w:t xml:space="preserve"> </w:t>
      </w:r>
      <w:proofErr w:type="spellStart"/>
      <w:r w:rsidRPr="00B01F49">
        <w:rPr>
          <w:rFonts w:ascii="Cambria" w:hAnsi="Cambria"/>
          <w:sz w:val="18"/>
          <w:szCs w:val="18"/>
        </w:rPr>
        <w:t>adalah</w:t>
      </w:r>
      <w:proofErr w:type="spellEnd"/>
      <w:r w:rsidRPr="00B01F49">
        <w:rPr>
          <w:rFonts w:ascii="Cambria" w:hAnsi="Cambria"/>
          <w:sz w:val="18"/>
          <w:szCs w:val="18"/>
        </w:rPr>
        <w:t xml:space="preserve"> </w:t>
      </w:r>
      <w:proofErr w:type="spellStart"/>
      <w:r w:rsidRPr="00B01F49">
        <w:rPr>
          <w:rFonts w:ascii="Cambria" w:hAnsi="Cambria"/>
          <w:sz w:val="18"/>
          <w:szCs w:val="18"/>
        </w:rPr>
        <w:t>perusahaaan</w:t>
      </w:r>
      <w:proofErr w:type="spellEnd"/>
      <w:r w:rsidRPr="00B01F49">
        <w:rPr>
          <w:rFonts w:ascii="Cambria" w:hAnsi="Cambria"/>
          <w:sz w:val="18"/>
          <w:szCs w:val="18"/>
        </w:rPr>
        <w:t xml:space="preserve"> </w:t>
      </w:r>
      <w:proofErr w:type="spellStart"/>
      <w:r w:rsidRPr="00B01F49">
        <w:rPr>
          <w:rFonts w:ascii="Cambria" w:hAnsi="Cambria"/>
          <w:sz w:val="18"/>
          <w:szCs w:val="18"/>
        </w:rPr>
        <w:t>Manufaktur</w:t>
      </w:r>
      <w:proofErr w:type="spellEnd"/>
      <w:r w:rsidRPr="00B01F49">
        <w:rPr>
          <w:rFonts w:ascii="Cambria" w:hAnsi="Cambria"/>
          <w:sz w:val="18"/>
          <w:szCs w:val="18"/>
        </w:rPr>
        <w:t xml:space="preserve"> yang </w:t>
      </w:r>
      <w:proofErr w:type="spellStart"/>
      <w:r w:rsidRPr="00B01F49">
        <w:rPr>
          <w:rFonts w:ascii="Cambria" w:hAnsi="Cambria"/>
          <w:sz w:val="18"/>
          <w:szCs w:val="18"/>
        </w:rPr>
        <w:t>terdaftar</w:t>
      </w:r>
      <w:proofErr w:type="spellEnd"/>
      <w:r w:rsidRPr="00B01F49">
        <w:rPr>
          <w:rFonts w:ascii="Cambria" w:hAnsi="Cambria"/>
          <w:sz w:val="18"/>
          <w:szCs w:val="18"/>
        </w:rPr>
        <w:t xml:space="preserve"> di Bursa </w:t>
      </w:r>
      <w:proofErr w:type="spellStart"/>
      <w:r w:rsidRPr="00B01F49">
        <w:rPr>
          <w:rFonts w:ascii="Cambria" w:hAnsi="Cambria"/>
          <w:sz w:val="18"/>
          <w:szCs w:val="18"/>
        </w:rPr>
        <w:t>Efek</w:t>
      </w:r>
      <w:proofErr w:type="spellEnd"/>
      <w:r w:rsidRPr="00B01F49">
        <w:rPr>
          <w:rFonts w:ascii="Cambria" w:hAnsi="Cambria"/>
          <w:sz w:val="18"/>
          <w:szCs w:val="18"/>
        </w:rPr>
        <w:t xml:space="preserve"> </w:t>
      </w:r>
      <w:proofErr w:type="spellStart"/>
      <w:r w:rsidRPr="00B01F49">
        <w:rPr>
          <w:rFonts w:ascii="Cambria" w:hAnsi="Cambria"/>
          <w:sz w:val="18"/>
          <w:szCs w:val="18"/>
        </w:rPr>
        <w:t>Indonesai</w:t>
      </w:r>
      <w:proofErr w:type="spellEnd"/>
      <w:r w:rsidRPr="00B01F49">
        <w:rPr>
          <w:rFonts w:ascii="Cambria" w:hAnsi="Cambria"/>
          <w:sz w:val="18"/>
          <w:szCs w:val="18"/>
        </w:rPr>
        <w:t xml:space="preserve"> (BEI) </w:t>
      </w:r>
      <w:proofErr w:type="spellStart"/>
      <w:r w:rsidRPr="00B01F49">
        <w:rPr>
          <w:rFonts w:ascii="Cambria" w:hAnsi="Cambria"/>
          <w:sz w:val="18"/>
          <w:szCs w:val="18"/>
        </w:rPr>
        <w:t>tahun</w:t>
      </w:r>
      <w:proofErr w:type="spellEnd"/>
      <w:r w:rsidRPr="00B01F49">
        <w:rPr>
          <w:rFonts w:ascii="Cambria" w:hAnsi="Cambria"/>
          <w:sz w:val="18"/>
          <w:szCs w:val="18"/>
        </w:rPr>
        <w:t xml:space="preserve"> 2019-2020.</w:t>
      </w:r>
      <w:proofErr w:type="gramEnd"/>
      <w:r w:rsidRPr="00B01F49">
        <w:rPr>
          <w:rFonts w:ascii="Cambria" w:hAnsi="Cambria"/>
          <w:sz w:val="18"/>
          <w:szCs w:val="18"/>
        </w:rPr>
        <w:t xml:space="preserve"> </w:t>
      </w:r>
      <w:proofErr w:type="spellStart"/>
      <w:proofErr w:type="gramStart"/>
      <w:r w:rsidRPr="00B01F49">
        <w:rPr>
          <w:rFonts w:ascii="Cambria" w:hAnsi="Cambria"/>
          <w:sz w:val="18"/>
          <w:szCs w:val="18"/>
        </w:rPr>
        <w:t>Teknik</w:t>
      </w:r>
      <w:proofErr w:type="spellEnd"/>
      <w:r w:rsidRPr="00B01F49">
        <w:rPr>
          <w:rFonts w:ascii="Cambria" w:hAnsi="Cambria"/>
          <w:sz w:val="18"/>
          <w:szCs w:val="18"/>
        </w:rPr>
        <w:t xml:space="preserve"> </w:t>
      </w:r>
      <w:proofErr w:type="spellStart"/>
      <w:r w:rsidRPr="00B01F49">
        <w:rPr>
          <w:rFonts w:ascii="Cambria" w:hAnsi="Cambria"/>
          <w:sz w:val="18"/>
          <w:szCs w:val="18"/>
        </w:rPr>
        <w:t>pengambilan</w:t>
      </w:r>
      <w:proofErr w:type="spellEnd"/>
      <w:r w:rsidRPr="00B01F49">
        <w:rPr>
          <w:rFonts w:ascii="Cambria" w:hAnsi="Cambria"/>
          <w:sz w:val="18"/>
          <w:szCs w:val="18"/>
        </w:rPr>
        <w:t xml:space="preserve"> </w:t>
      </w:r>
      <w:proofErr w:type="spellStart"/>
      <w:r w:rsidRPr="00B01F49">
        <w:rPr>
          <w:rFonts w:ascii="Cambria" w:hAnsi="Cambria"/>
          <w:sz w:val="18"/>
          <w:szCs w:val="18"/>
        </w:rPr>
        <w:t>sampel</w:t>
      </w:r>
      <w:proofErr w:type="spellEnd"/>
      <w:r w:rsidRPr="00B01F49">
        <w:rPr>
          <w:rFonts w:ascii="Cambria" w:hAnsi="Cambria"/>
          <w:sz w:val="18"/>
          <w:szCs w:val="18"/>
        </w:rPr>
        <w:t xml:space="preserve"> </w:t>
      </w:r>
      <w:proofErr w:type="spellStart"/>
      <w:r w:rsidRPr="00B01F49">
        <w:rPr>
          <w:rFonts w:ascii="Cambria" w:hAnsi="Cambria"/>
          <w:sz w:val="18"/>
          <w:szCs w:val="18"/>
        </w:rPr>
        <w:t>menggunakan</w:t>
      </w:r>
      <w:proofErr w:type="spellEnd"/>
      <w:r w:rsidRPr="00B01F49">
        <w:rPr>
          <w:rFonts w:ascii="Cambria" w:hAnsi="Cambria"/>
          <w:sz w:val="18"/>
          <w:szCs w:val="18"/>
        </w:rPr>
        <w:t xml:space="preserve"> </w:t>
      </w:r>
      <w:proofErr w:type="spellStart"/>
      <w:r w:rsidRPr="00B01F49">
        <w:rPr>
          <w:rFonts w:ascii="Cambria" w:hAnsi="Cambria"/>
          <w:sz w:val="18"/>
          <w:szCs w:val="18"/>
        </w:rPr>
        <w:t>Teknik</w:t>
      </w:r>
      <w:proofErr w:type="spellEnd"/>
      <w:r w:rsidRPr="00B01F49">
        <w:rPr>
          <w:rFonts w:ascii="Cambria" w:hAnsi="Cambria"/>
          <w:sz w:val="18"/>
          <w:szCs w:val="18"/>
        </w:rPr>
        <w:t xml:space="preserve"> </w:t>
      </w:r>
      <w:r w:rsidRPr="00B01F49">
        <w:rPr>
          <w:rFonts w:ascii="Cambria" w:hAnsi="Cambria"/>
          <w:iCs/>
          <w:sz w:val="18"/>
          <w:szCs w:val="18"/>
        </w:rPr>
        <w:t>purposive sampling.</w:t>
      </w:r>
      <w:proofErr w:type="gramEnd"/>
      <w:r w:rsidRPr="00B01F49">
        <w:rPr>
          <w:rFonts w:ascii="Cambria" w:hAnsi="Cambria"/>
          <w:iCs/>
          <w:sz w:val="18"/>
          <w:szCs w:val="18"/>
        </w:rPr>
        <w:t xml:space="preserve"> </w:t>
      </w:r>
      <w:proofErr w:type="spellStart"/>
      <w:r w:rsidRPr="00B01F49">
        <w:rPr>
          <w:rFonts w:ascii="Cambria" w:hAnsi="Cambria"/>
          <w:sz w:val="18"/>
          <w:szCs w:val="18"/>
        </w:rPr>
        <w:t>Sampel</w:t>
      </w:r>
      <w:proofErr w:type="spellEnd"/>
      <w:r w:rsidRPr="00B01F49">
        <w:rPr>
          <w:rFonts w:ascii="Cambria" w:hAnsi="Cambria"/>
          <w:sz w:val="18"/>
          <w:szCs w:val="18"/>
        </w:rPr>
        <w:t xml:space="preserve"> </w:t>
      </w:r>
      <w:proofErr w:type="spellStart"/>
      <w:r w:rsidRPr="00B01F49">
        <w:rPr>
          <w:rFonts w:ascii="Cambria" w:hAnsi="Cambria"/>
          <w:sz w:val="18"/>
          <w:szCs w:val="18"/>
        </w:rPr>
        <w:t>berjumlah</w:t>
      </w:r>
      <w:proofErr w:type="spellEnd"/>
      <w:r w:rsidRPr="00B01F49">
        <w:rPr>
          <w:rFonts w:ascii="Cambria" w:hAnsi="Cambria"/>
          <w:sz w:val="18"/>
          <w:szCs w:val="18"/>
        </w:rPr>
        <w:t xml:space="preserve"> 119 </w:t>
      </w:r>
      <w:proofErr w:type="spellStart"/>
      <w:r w:rsidRPr="00B01F49">
        <w:rPr>
          <w:rFonts w:ascii="Cambria" w:hAnsi="Cambria"/>
          <w:sz w:val="18"/>
          <w:szCs w:val="18"/>
        </w:rPr>
        <w:t>perusahaan</w:t>
      </w:r>
      <w:proofErr w:type="spellEnd"/>
      <w:r w:rsidRPr="00B01F49">
        <w:rPr>
          <w:rFonts w:ascii="Cambria" w:hAnsi="Cambria"/>
          <w:sz w:val="18"/>
          <w:szCs w:val="18"/>
        </w:rPr>
        <w:t xml:space="preserve"> </w:t>
      </w:r>
      <w:proofErr w:type="spellStart"/>
      <w:r w:rsidRPr="00B01F49">
        <w:rPr>
          <w:rFonts w:ascii="Cambria" w:hAnsi="Cambria"/>
          <w:sz w:val="18"/>
          <w:szCs w:val="18"/>
        </w:rPr>
        <w:t>dari</w:t>
      </w:r>
      <w:proofErr w:type="spellEnd"/>
      <w:r w:rsidRPr="00B01F49">
        <w:rPr>
          <w:rFonts w:ascii="Cambria" w:hAnsi="Cambria"/>
          <w:sz w:val="18"/>
          <w:szCs w:val="18"/>
        </w:rPr>
        <w:t xml:space="preserve"> 218 </w:t>
      </w:r>
      <w:proofErr w:type="spellStart"/>
      <w:r w:rsidRPr="00B01F49">
        <w:rPr>
          <w:rFonts w:ascii="Cambria" w:hAnsi="Cambria"/>
          <w:sz w:val="18"/>
          <w:szCs w:val="18"/>
        </w:rPr>
        <w:t>perusahaan</w:t>
      </w:r>
      <w:proofErr w:type="spellEnd"/>
      <w:r w:rsidRPr="00B01F49">
        <w:rPr>
          <w:rFonts w:ascii="Cambria" w:hAnsi="Cambria"/>
          <w:sz w:val="18"/>
          <w:szCs w:val="18"/>
        </w:rPr>
        <w:t xml:space="preserve"> </w:t>
      </w:r>
      <w:proofErr w:type="spellStart"/>
      <w:r w:rsidRPr="00B01F49">
        <w:rPr>
          <w:rFonts w:ascii="Cambria" w:hAnsi="Cambria"/>
          <w:sz w:val="18"/>
          <w:szCs w:val="18"/>
        </w:rPr>
        <w:t>manufaktur</w:t>
      </w:r>
      <w:proofErr w:type="spellEnd"/>
      <w:r w:rsidRPr="00B01F49">
        <w:rPr>
          <w:rFonts w:ascii="Cambria" w:hAnsi="Cambria"/>
          <w:sz w:val="18"/>
          <w:szCs w:val="18"/>
        </w:rPr>
        <w:t xml:space="preserve"> yang </w:t>
      </w:r>
      <w:proofErr w:type="spellStart"/>
      <w:r w:rsidRPr="00B01F49">
        <w:rPr>
          <w:rFonts w:ascii="Cambria" w:hAnsi="Cambria"/>
          <w:sz w:val="18"/>
          <w:szCs w:val="18"/>
        </w:rPr>
        <w:t>terdaftar</w:t>
      </w:r>
      <w:proofErr w:type="spellEnd"/>
      <w:r w:rsidRPr="00B01F49">
        <w:rPr>
          <w:rFonts w:ascii="Cambria" w:hAnsi="Cambria"/>
          <w:sz w:val="18"/>
          <w:szCs w:val="18"/>
        </w:rPr>
        <w:t xml:space="preserve"> di Bursa </w:t>
      </w:r>
      <w:proofErr w:type="spellStart"/>
      <w:r w:rsidRPr="00B01F49">
        <w:rPr>
          <w:rFonts w:ascii="Cambria" w:hAnsi="Cambria"/>
          <w:sz w:val="18"/>
          <w:szCs w:val="18"/>
        </w:rPr>
        <w:t>Efek</w:t>
      </w:r>
      <w:proofErr w:type="spellEnd"/>
      <w:r w:rsidRPr="00B01F49">
        <w:rPr>
          <w:rFonts w:ascii="Cambria" w:hAnsi="Cambria"/>
          <w:sz w:val="18"/>
          <w:szCs w:val="18"/>
        </w:rPr>
        <w:t xml:space="preserve"> Indonesia </w:t>
      </w:r>
      <w:proofErr w:type="spellStart"/>
      <w:r w:rsidRPr="00B01F49">
        <w:rPr>
          <w:rFonts w:ascii="Cambria" w:hAnsi="Cambria"/>
          <w:sz w:val="18"/>
          <w:szCs w:val="18"/>
        </w:rPr>
        <w:t>tahun</w:t>
      </w:r>
      <w:proofErr w:type="spellEnd"/>
      <w:r w:rsidRPr="00B01F49">
        <w:rPr>
          <w:rFonts w:ascii="Cambria" w:hAnsi="Cambria"/>
          <w:sz w:val="18"/>
          <w:szCs w:val="18"/>
        </w:rPr>
        <w:t xml:space="preserve"> 2019-2020, </w:t>
      </w:r>
      <w:proofErr w:type="spellStart"/>
      <w:r w:rsidRPr="00B01F49">
        <w:rPr>
          <w:rFonts w:ascii="Cambria" w:hAnsi="Cambria"/>
          <w:sz w:val="18"/>
          <w:szCs w:val="18"/>
        </w:rPr>
        <w:t>sehingga</w:t>
      </w:r>
      <w:proofErr w:type="spellEnd"/>
      <w:r w:rsidRPr="00B01F49">
        <w:rPr>
          <w:rFonts w:ascii="Cambria" w:hAnsi="Cambria"/>
          <w:sz w:val="18"/>
          <w:szCs w:val="18"/>
        </w:rPr>
        <w:t xml:space="preserve"> data </w:t>
      </w:r>
      <w:proofErr w:type="spellStart"/>
      <w:r w:rsidRPr="00B01F49">
        <w:rPr>
          <w:rFonts w:ascii="Cambria" w:hAnsi="Cambria"/>
          <w:sz w:val="18"/>
          <w:szCs w:val="18"/>
        </w:rPr>
        <w:t>penelitian</w:t>
      </w:r>
      <w:proofErr w:type="spellEnd"/>
      <w:r w:rsidRPr="00B01F49">
        <w:rPr>
          <w:rFonts w:ascii="Cambria" w:hAnsi="Cambria"/>
          <w:sz w:val="18"/>
          <w:szCs w:val="18"/>
        </w:rPr>
        <w:t xml:space="preserve"> yang </w:t>
      </w:r>
      <w:proofErr w:type="spellStart"/>
      <w:r w:rsidRPr="00B01F49">
        <w:rPr>
          <w:rFonts w:ascii="Cambria" w:hAnsi="Cambria"/>
          <w:sz w:val="18"/>
          <w:szCs w:val="18"/>
        </w:rPr>
        <w:t>dianalisis</w:t>
      </w:r>
      <w:proofErr w:type="spellEnd"/>
      <w:r w:rsidRPr="00B01F49">
        <w:rPr>
          <w:rFonts w:ascii="Cambria" w:hAnsi="Cambria"/>
          <w:sz w:val="18"/>
          <w:szCs w:val="18"/>
        </w:rPr>
        <w:t xml:space="preserve"> </w:t>
      </w:r>
      <w:proofErr w:type="spellStart"/>
      <w:r w:rsidRPr="00B01F49">
        <w:rPr>
          <w:rFonts w:ascii="Cambria" w:hAnsi="Cambria"/>
          <w:sz w:val="18"/>
          <w:szCs w:val="18"/>
        </w:rPr>
        <w:t>berjumlah</w:t>
      </w:r>
      <w:proofErr w:type="spellEnd"/>
      <w:r w:rsidRPr="00B01F49">
        <w:rPr>
          <w:rFonts w:ascii="Cambria" w:hAnsi="Cambria"/>
          <w:sz w:val="18"/>
          <w:szCs w:val="18"/>
        </w:rPr>
        <w:t xml:space="preserve"> 238. </w:t>
      </w:r>
      <w:proofErr w:type="spellStart"/>
      <w:proofErr w:type="gramStart"/>
      <w:r w:rsidRPr="00B01F49">
        <w:rPr>
          <w:rFonts w:ascii="Cambria" w:hAnsi="Cambria"/>
          <w:sz w:val="18"/>
          <w:szCs w:val="18"/>
        </w:rPr>
        <w:t>Teknik</w:t>
      </w:r>
      <w:proofErr w:type="spellEnd"/>
      <w:r w:rsidRPr="00B01F49">
        <w:rPr>
          <w:rFonts w:ascii="Cambria" w:hAnsi="Cambria"/>
          <w:sz w:val="18"/>
          <w:szCs w:val="18"/>
        </w:rPr>
        <w:t xml:space="preserve"> </w:t>
      </w:r>
      <w:proofErr w:type="spellStart"/>
      <w:r w:rsidRPr="00B01F49">
        <w:rPr>
          <w:rFonts w:ascii="Cambria" w:hAnsi="Cambria"/>
          <w:sz w:val="18"/>
          <w:szCs w:val="18"/>
        </w:rPr>
        <w:t>analisis</w:t>
      </w:r>
      <w:proofErr w:type="spellEnd"/>
      <w:r w:rsidRPr="00B01F49">
        <w:rPr>
          <w:rFonts w:ascii="Cambria" w:hAnsi="Cambria"/>
          <w:sz w:val="18"/>
          <w:szCs w:val="18"/>
        </w:rPr>
        <w:t xml:space="preserve"> data yang </w:t>
      </w:r>
      <w:proofErr w:type="spellStart"/>
      <w:r w:rsidRPr="00B01F49">
        <w:rPr>
          <w:rFonts w:ascii="Cambria" w:hAnsi="Cambria"/>
          <w:sz w:val="18"/>
          <w:szCs w:val="18"/>
        </w:rPr>
        <w:t>digunakan</w:t>
      </w:r>
      <w:proofErr w:type="spellEnd"/>
      <w:r w:rsidRPr="00B01F49">
        <w:rPr>
          <w:rFonts w:ascii="Cambria" w:hAnsi="Cambria"/>
          <w:sz w:val="18"/>
          <w:szCs w:val="18"/>
        </w:rPr>
        <w:t xml:space="preserve"> </w:t>
      </w:r>
      <w:proofErr w:type="spellStart"/>
      <w:r w:rsidRPr="00B01F49">
        <w:rPr>
          <w:rFonts w:ascii="Cambria" w:hAnsi="Cambria"/>
          <w:sz w:val="18"/>
          <w:szCs w:val="18"/>
        </w:rPr>
        <w:t>adalah</w:t>
      </w:r>
      <w:proofErr w:type="spellEnd"/>
      <w:r w:rsidRPr="00B01F49">
        <w:rPr>
          <w:rFonts w:ascii="Cambria" w:hAnsi="Cambria"/>
          <w:sz w:val="18"/>
          <w:szCs w:val="18"/>
        </w:rPr>
        <w:t xml:space="preserve"> statistic </w:t>
      </w:r>
      <w:proofErr w:type="spellStart"/>
      <w:r w:rsidRPr="00B01F49">
        <w:rPr>
          <w:rFonts w:ascii="Cambria" w:hAnsi="Cambria"/>
          <w:sz w:val="18"/>
          <w:szCs w:val="18"/>
        </w:rPr>
        <w:t>deskriptif</w:t>
      </w:r>
      <w:proofErr w:type="spellEnd"/>
      <w:r w:rsidRPr="00B01F49">
        <w:rPr>
          <w:rFonts w:ascii="Cambria" w:hAnsi="Cambria"/>
          <w:sz w:val="18"/>
          <w:szCs w:val="18"/>
        </w:rPr>
        <w:t xml:space="preserve"> </w:t>
      </w:r>
      <w:proofErr w:type="spellStart"/>
      <w:r w:rsidRPr="00B01F49">
        <w:rPr>
          <w:rFonts w:ascii="Cambria" w:hAnsi="Cambria"/>
          <w:sz w:val="18"/>
          <w:szCs w:val="18"/>
        </w:rPr>
        <w:t>dan</w:t>
      </w:r>
      <w:proofErr w:type="spellEnd"/>
      <w:r w:rsidRPr="00B01F49">
        <w:rPr>
          <w:rFonts w:ascii="Cambria" w:hAnsi="Cambria"/>
          <w:sz w:val="18"/>
          <w:szCs w:val="18"/>
        </w:rPr>
        <w:t xml:space="preserve"> </w:t>
      </w:r>
      <w:proofErr w:type="spellStart"/>
      <w:r w:rsidRPr="00B01F49">
        <w:rPr>
          <w:rFonts w:ascii="Cambria" w:hAnsi="Cambria"/>
          <w:sz w:val="18"/>
          <w:szCs w:val="18"/>
        </w:rPr>
        <w:t>regresi</w:t>
      </w:r>
      <w:proofErr w:type="spellEnd"/>
      <w:r w:rsidRPr="00B01F49">
        <w:rPr>
          <w:rFonts w:ascii="Cambria" w:hAnsi="Cambria"/>
          <w:sz w:val="18"/>
          <w:szCs w:val="18"/>
        </w:rPr>
        <w:t xml:space="preserve"> </w:t>
      </w:r>
      <w:proofErr w:type="spellStart"/>
      <w:r w:rsidRPr="00B01F49">
        <w:rPr>
          <w:rFonts w:ascii="Cambria" w:hAnsi="Cambria"/>
          <w:sz w:val="18"/>
          <w:szCs w:val="18"/>
        </w:rPr>
        <w:t>logistik</w:t>
      </w:r>
      <w:proofErr w:type="spellEnd"/>
      <w:r w:rsidRPr="00B01F49">
        <w:rPr>
          <w:rFonts w:ascii="Cambria" w:hAnsi="Cambria"/>
          <w:sz w:val="18"/>
          <w:szCs w:val="18"/>
        </w:rPr>
        <w:t>.</w:t>
      </w:r>
      <w:proofErr w:type="gramEnd"/>
      <w:r w:rsidRPr="00B01F49">
        <w:rPr>
          <w:rFonts w:ascii="Cambria" w:hAnsi="Cambria"/>
          <w:sz w:val="18"/>
          <w:szCs w:val="18"/>
        </w:rPr>
        <w:t xml:space="preserve"> </w:t>
      </w:r>
      <w:proofErr w:type="spellStart"/>
      <w:r w:rsidRPr="00B01F49">
        <w:rPr>
          <w:rFonts w:ascii="Cambria" w:hAnsi="Cambria"/>
          <w:sz w:val="18"/>
          <w:szCs w:val="18"/>
        </w:rPr>
        <w:t>Berdasarkan</w:t>
      </w:r>
      <w:proofErr w:type="spellEnd"/>
      <w:r w:rsidRPr="00B01F49">
        <w:rPr>
          <w:rFonts w:ascii="Cambria" w:hAnsi="Cambria"/>
          <w:sz w:val="18"/>
          <w:szCs w:val="18"/>
        </w:rPr>
        <w:t xml:space="preserve"> </w:t>
      </w:r>
      <w:proofErr w:type="spellStart"/>
      <w:r w:rsidRPr="00B01F49">
        <w:rPr>
          <w:rFonts w:ascii="Cambria" w:hAnsi="Cambria"/>
          <w:sz w:val="18"/>
          <w:szCs w:val="18"/>
        </w:rPr>
        <w:t>hasil</w:t>
      </w:r>
      <w:proofErr w:type="spellEnd"/>
      <w:r w:rsidRPr="00B01F49">
        <w:rPr>
          <w:rFonts w:ascii="Cambria" w:hAnsi="Cambria"/>
          <w:sz w:val="18"/>
          <w:szCs w:val="18"/>
        </w:rPr>
        <w:t xml:space="preserve"> </w:t>
      </w:r>
      <w:proofErr w:type="spellStart"/>
      <w:r w:rsidRPr="00B01F49">
        <w:rPr>
          <w:rFonts w:ascii="Cambria" w:hAnsi="Cambria"/>
          <w:sz w:val="18"/>
          <w:szCs w:val="18"/>
        </w:rPr>
        <w:t>penelitian</w:t>
      </w:r>
      <w:proofErr w:type="spellEnd"/>
      <w:r w:rsidRPr="00B01F49">
        <w:rPr>
          <w:rFonts w:ascii="Cambria" w:hAnsi="Cambria"/>
          <w:sz w:val="18"/>
          <w:szCs w:val="18"/>
        </w:rPr>
        <w:t xml:space="preserve"> </w:t>
      </w:r>
      <w:proofErr w:type="spellStart"/>
      <w:r w:rsidRPr="00B01F49">
        <w:rPr>
          <w:rFonts w:ascii="Cambria" w:hAnsi="Cambria"/>
          <w:sz w:val="18"/>
          <w:szCs w:val="18"/>
        </w:rPr>
        <w:t>ini</w:t>
      </w:r>
      <w:proofErr w:type="spellEnd"/>
      <w:r w:rsidRPr="00B01F49">
        <w:rPr>
          <w:rFonts w:ascii="Cambria" w:hAnsi="Cambria"/>
          <w:sz w:val="18"/>
          <w:szCs w:val="18"/>
        </w:rPr>
        <w:t xml:space="preserve"> </w:t>
      </w:r>
      <w:proofErr w:type="spellStart"/>
      <w:r w:rsidRPr="00B01F49">
        <w:rPr>
          <w:rFonts w:ascii="Cambria" w:hAnsi="Cambria"/>
          <w:sz w:val="18"/>
          <w:szCs w:val="18"/>
        </w:rPr>
        <w:t>menunjukkan</w:t>
      </w:r>
      <w:proofErr w:type="spellEnd"/>
      <w:r w:rsidRPr="00B01F49">
        <w:rPr>
          <w:rFonts w:ascii="Cambria" w:hAnsi="Cambria"/>
          <w:sz w:val="18"/>
          <w:szCs w:val="18"/>
        </w:rPr>
        <w:t xml:space="preserve"> </w:t>
      </w:r>
      <w:proofErr w:type="spellStart"/>
      <w:r w:rsidRPr="00B01F49">
        <w:rPr>
          <w:rFonts w:ascii="Cambria" w:hAnsi="Cambria"/>
          <w:sz w:val="18"/>
          <w:szCs w:val="18"/>
        </w:rPr>
        <w:t>bahwa</w:t>
      </w:r>
      <w:proofErr w:type="spellEnd"/>
      <w:r w:rsidRPr="00B01F49">
        <w:rPr>
          <w:rFonts w:ascii="Cambria" w:hAnsi="Cambria"/>
          <w:sz w:val="18"/>
          <w:szCs w:val="18"/>
        </w:rPr>
        <w:t xml:space="preserve"> (1) </w:t>
      </w:r>
      <w:proofErr w:type="spellStart"/>
      <w:r w:rsidRPr="00B01F49">
        <w:rPr>
          <w:rFonts w:ascii="Cambria" w:hAnsi="Cambria"/>
          <w:sz w:val="18"/>
          <w:szCs w:val="18"/>
        </w:rPr>
        <w:t>Profitabilitas</w:t>
      </w:r>
      <w:proofErr w:type="spellEnd"/>
      <w:r w:rsidRPr="00B01F49">
        <w:rPr>
          <w:rFonts w:ascii="Cambria" w:hAnsi="Cambria"/>
          <w:sz w:val="18"/>
          <w:szCs w:val="18"/>
        </w:rPr>
        <w:t xml:space="preserve"> </w:t>
      </w:r>
      <w:proofErr w:type="spellStart"/>
      <w:r w:rsidRPr="00B01F49">
        <w:rPr>
          <w:rFonts w:ascii="Cambria" w:hAnsi="Cambria"/>
          <w:sz w:val="18"/>
          <w:szCs w:val="18"/>
        </w:rPr>
        <w:t>Sebelum</w:t>
      </w:r>
      <w:proofErr w:type="spellEnd"/>
      <w:r w:rsidRPr="00B01F49">
        <w:rPr>
          <w:rFonts w:ascii="Cambria" w:hAnsi="Cambria"/>
          <w:sz w:val="18"/>
          <w:szCs w:val="18"/>
        </w:rPr>
        <w:t xml:space="preserve"> </w:t>
      </w:r>
      <w:proofErr w:type="spellStart"/>
      <w:r w:rsidRPr="00B01F49">
        <w:rPr>
          <w:rFonts w:ascii="Cambria" w:hAnsi="Cambria"/>
          <w:sz w:val="18"/>
          <w:szCs w:val="18"/>
        </w:rPr>
        <w:t>pandemi</w:t>
      </w:r>
      <w:proofErr w:type="spellEnd"/>
      <w:r w:rsidRPr="00B01F49">
        <w:rPr>
          <w:rFonts w:ascii="Cambria" w:hAnsi="Cambria"/>
          <w:sz w:val="18"/>
          <w:szCs w:val="18"/>
        </w:rPr>
        <w:t xml:space="preserve"> Covid-19 </w:t>
      </w:r>
      <w:proofErr w:type="spellStart"/>
      <w:r w:rsidRPr="00B01F49">
        <w:rPr>
          <w:rFonts w:ascii="Cambria" w:hAnsi="Cambria"/>
          <w:sz w:val="18"/>
          <w:szCs w:val="18"/>
        </w:rPr>
        <w:t>tidak</w:t>
      </w:r>
      <w:proofErr w:type="spellEnd"/>
      <w:r w:rsidRPr="00B01F49">
        <w:rPr>
          <w:rFonts w:ascii="Cambria" w:hAnsi="Cambria"/>
          <w:sz w:val="18"/>
          <w:szCs w:val="18"/>
        </w:rPr>
        <w:t xml:space="preserve"> </w:t>
      </w:r>
      <w:proofErr w:type="spellStart"/>
      <w:r w:rsidRPr="00B01F49">
        <w:rPr>
          <w:rFonts w:ascii="Cambria" w:hAnsi="Cambria"/>
          <w:sz w:val="18"/>
          <w:szCs w:val="18"/>
        </w:rPr>
        <w:t>berpengaruh</w:t>
      </w:r>
      <w:proofErr w:type="spellEnd"/>
      <w:r w:rsidRPr="00B01F49">
        <w:rPr>
          <w:rFonts w:ascii="Cambria" w:hAnsi="Cambria"/>
          <w:sz w:val="18"/>
          <w:szCs w:val="18"/>
        </w:rPr>
        <w:t xml:space="preserve"> </w:t>
      </w:r>
      <w:proofErr w:type="spellStart"/>
      <w:r w:rsidRPr="00B01F49">
        <w:rPr>
          <w:rFonts w:ascii="Cambria" w:hAnsi="Cambria"/>
          <w:sz w:val="18"/>
          <w:szCs w:val="18"/>
        </w:rPr>
        <w:t>terhadap</w:t>
      </w:r>
      <w:proofErr w:type="spellEnd"/>
      <w:r w:rsidRPr="00B01F49">
        <w:rPr>
          <w:rFonts w:ascii="Cambria" w:hAnsi="Cambria"/>
          <w:sz w:val="18"/>
          <w:szCs w:val="18"/>
        </w:rPr>
        <w:t xml:space="preserve"> </w:t>
      </w:r>
      <w:proofErr w:type="spellStart"/>
      <w:r w:rsidRPr="00B01F49">
        <w:rPr>
          <w:rFonts w:ascii="Cambria" w:hAnsi="Cambria"/>
          <w:sz w:val="18"/>
          <w:szCs w:val="18"/>
        </w:rPr>
        <w:t>penerimaan</w:t>
      </w:r>
      <w:proofErr w:type="spellEnd"/>
      <w:r w:rsidRPr="00B01F49">
        <w:rPr>
          <w:rFonts w:ascii="Cambria" w:hAnsi="Cambria"/>
          <w:sz w:val="18"/>
          <w:szCs w:val="18"/>
        </w:rPr>
        <w:t xml:space="preserve"> </w:t>
      </w:r>
      <w:proofErr w:type="spellStart"/>
      <w:r w:rsidRPr="00B01F49">
        <w:rPr>
          <w:rFonts w:ascii="Cambria" w:hAnsi="Cambria"/>
          <w:sz w:val="18"/>
          <w:szCs w:val="18"/>
        </w:rPr>
        <w:t>Opini</w:t>
      </w:r>
      <w:proofErr w:type="spellEnd"/>
      <w:r w:rsidRPr="00B01F49">
        <w:rPr>
          <w:rFonts w:ascii="Cambria" w:hAnsi="Cambria"/>
          <w:sz w:val="18"/>
          <w:szCs w:val="18"/>
        </w:rPr>
        <w:t xml:space="preserve"> Audit </w:t>
      </w:r>
      <w:r w:rsidRPr="00B01F49">
        <w:rPr>
          <w:rFonts w:ascii="Cambria" w:hAnsi="Cambria"/>
          <w:iCs/>
          <w:sz w:val="18"/>
          <w:szCs w:val="18"/>
        </w:rPr>
        <w:t>Going Concern</w:t>
      </w:r>
      <w:r w:rsidRPr="00B01F49">
        <w:rPr>
          <w:rFonts w:ascii="Cambria" w:hAnsi="Cambria"/>
          <w:sz w:val="18"/>
          <w:szCs w:val="18"/>
        </w:rPr>
        <w:t xml:space="preserve">, </w:t>
      </w:r>
      <w:proofErr w:type="spellStart"/>
      <w:r w:rsidRPr="00B01F49">
        <w:rPr>
          <w:rFonts w:ascii="Cambria" w:hAnsi="Cambria"/>
          <w:sz w:val="18"/>
          <w:szCs w:val="18"/>
        </w:rPr>
        <w:t>hal</w:t>
      </w:r>
      <w:proofErr w:type="spellEnd"/>
      <w:r w:rsidRPr="00B01F49">
        <w:rPr>
          <w:rFonts w:ascii="Cambria" w:hAnsi="Cambria"/>
          <w:sz w:val="18"/>
          <w:szCs w:val="18"/>
        </w:rPr>
        <w:t xml:space="preserve"> </w:t>
      </w:r>
      <w:proofErr w:type="spellStart"/>
      <w:r w:rsidRPr="00B01F49">
        <w:rPr>
          <w:rFonts w:ascii="Cambria" w:hAnsi="Cambria"/>
          <w:sz w:val="18"/>
          <w:szCs w:val="18"/>
        </w:rPr>
        <w:t>ini</w:t>
      </w:r>
      <w:proofErr w:type="spellEnd"/>
      <w:r w:rsidRPr="00B01F49">
        <w:rPr>
          <w:rFonts w:ascii="Cambria" w:hAnsi="Cambria"/>
          <w:sz w:val="18"/>
          <w:szCs w:val="18"/>
        </w:rPr>
        <w:t xml:space="preserve"> </w:t>
      </w:r>
      <w:proofErr w:type="spellStart"/>
      <w:r w:rsidRPr="00B01F49">
        <w:rPr>
          <w:rFonts w:ascii="Cambria" w:hAnsi="Cambria"/>
          <w:sz w:val="18"/>
          <w:szCs w:val="18"/>
        </w:rPr>
        <w:t>ditunjukkan</w:t>
      </w:r>
      <w:proofErr w:type="spellEnd"/>
      <w:r w:rsidRPr="00B01F49">
        <w:rPr>
          <w:rFonts w:ascii="Cambria" w:hAnsi="Cambria"/>
          <w:sz w:val="18"/>
          <w:szCs w:val="18"/>
        </w:rPr>
        <w:t xml:space="preserve"> </w:t>
      </w:r>
      <w:proofErr w:type="spellStart"/>
      <w:r w:rsidRPr="00B01F49">
        <w:rPr>
          <w:rFonts w:ascii="Cambria" w:hAnsi="Cambria"/>
          <w:sz w:val="18"/>
          <w:szCs w:val="18"/>
        </w:rPr>
        <w:t>dengan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koefisien</w:t>
      </w:r>
      <w:proofErr w:type="spellEnd"/>
      <w:r w:rsidRPr="00B01F49">
        <w:rPr>
          <w:rFonts w:ascii="Cambria" w:hAnsi="Cambria"/>
          <w:sz w:val="18"/>
          <w:szCs w:val="18"/>
        </w:rPr>
        <w:t xml:space="preserve"> </w:t>
      </w:r>
      <w:proofErr w:type="spellStart"/>
      <w:r w:rsidRPr="00B01F49">
        <w:rPr>
          <w:rFonts w:ascii="Cambria" w:hAnsi="Cambria"/>
          <w:sz w:val="18"/>
          <w:szCs w:val="18"/>
        </w:rPr>
        <w:t>regresi</w:t>
      </w:r>
      <w:proofErr w:type="spellEnd"/>
      <w:r w:rsidRPr="00B01F49">
        <w:rPr>
          <w:rFonts w:ascii="Cambria" w:hAnsi="Cambria"/>
          <w:sz w:val="18"/>
          <w:szCs w:val="18"/>
        </w:rPr>
        <w:t xml:space="preserve"> </w:t>
      </w:r>
      <w:proofErr w:type="spellStart"/>
      <w:r w:rsidRPr="00B01F49">
        <w:rPr>
          <w:rFonts w:ascii="Cambria" w:hAnsi="Cambria"/>
          <w:sz w:val="18"/>
          <w:szCs w:val="18"/>
        </w:rPr>
        <w:t>sebesar</w:t>
      </w:r>
      <w:proofErr w:type="spellEnd"/>
      <w:r w:rsidRPr="00B01F49">
        <w:rPr>
          <w:rFonts w:ascii="Cambria" w:hAnsi="Cambria"/>
          <w:sz w:val="18"/>
          <w:szCs w:val="18"/>
        </w:rPr>
        <w:t xml:space="preserve"> -0,027  </w:t>
      </w:r>
      <w:proofErr w:type="spellStart"/>
      <w:r w:rsidRPr="00B01F49">
        <w:rPr>
          <w:rFonts w:ascii="Cambria" w:hAnsi="Cambria"/>
          <w:sz w:val="18"/>
          <w:szCs w:val="18"/>
        </w:rPr>
        <w:t>dan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signifikanis</w:t>
      </w:r>
      <w:proofErr w:type="spellEnd"/>
      <w:r w:rsidRPr="00B01F49">
        <w:rPr>
          <w:rFonts w:ascii="Cambria" w:hAnsi="Cambria"/>
          <w:sz w:val="18"/>
          <w:szCs w:val="18"/>
        </w:rPr>
        <w:t xml:space="preserve"> </w:t>
      </w:r>
      <w:proofErr w:type="spellStart"/>
      <w:r w:rsidRPr="00B01F49">
        <w:rPr>
          <w:rFonts w:ascii="Cambria" w:hAnsi="Cambria"/>
          <w:sz w:val="18"/>
          <w:szCs w:val="18"/>
        </w:rPr>
        <w:t>lebih</w:t>
      </w:r>
      <w:proofErr w:type="spellEnd"/>
      <w:r w:rsidRPr="00B01F49">
        <w:rPr>
          <w:rFonts w:ascii="Cambria" w:hAnsi="Cambria"/>
          <w:sz w:val="18"/>
          <w:szCs w:val="18"/>
        </w:rPr>
        <w:t xml:space="preserve"> </w:t>
      </w:r>
      <w:proofErr w:type="spellStart"/>
      <w:r w:rsidRPr="00B01F49">
        <w:rPr>
          <w:rFonts w:ascii="Cambria" w:hAnsi="Cambria"/>
          <w:sz w:val="18"/>
          <w:szCs w:val="18"/>
        </w:rPr>
        <w:t>besar</w:t>
      </w:r>
      <w:proofErr w:type="spellEnd"/>
      <w:r w:rsidRPr="00B01F49">
        <w:rPr>
          <w:rFonts w:ascii="Cambria" w:hAnsi="Cambria"/>
          <w:sz w:val="18"/>
          <w:szCs w:val="18"/>
        </w:rPr>
        <w:t xml:space="preserve"> </w:t>
      </w:r>
      <w:proofErr w:type="spellStart"/>
      <w:r w:rsidRPr="00B01F49">
        <w:rPr>
          <w:rFonts w:ascii="Cambria" w:hAnsi="Cambria"/>
          <w:sz w:val="18"/>
          <w:szCs w:val="18"/>
        </w:rPr>
        <w:t>dari</w:t>
      </w:r>
      <w:proofErr w:type="spellEnd"/>
      <w:r w:rsidRPr="00B01F49">
        <w:rPr>
          <w:rFonts w:ascii="Cambria" w:hAnsi="Cambria"/>
          <w:sz w:val="18"/>
          <w:szCs w:val="18"/>
        </w:rPr>
        <w:t xml:space="preserve"> 0,05 </w:t>
      </w:r>
      <w:proofErr w:type="spellStart"/>
      <w:r w:rsidRPr="00B01F49">
        <w:rPr>
          <w:rFonts w:ascii="Cambria" w:hAnsi="Cambria"/>
          <w:sz w:val="18"/>
          <w:szCs w:val="18"/>
        </w:rPr>
        <w:t>yaitu</w:t>
      </w:r>
      <w:proofErr w:type="spellEnd"/>
      <w:r w:rsidRPr="00B01F49">
        <w:rPr>
          <w:rFonts w:ascii="Cambria" w:hAnsi="Cambria"/>
          <w:sz w:val="18"/>
          <w:szCs w:val="18"/>
        </w:rPr>
        <w:t xml:space="preserve"> 0,374, (2) </w:t>
      </w:r>
      <w:proofErr w:type="spellStart"/>
      <w:r w:rsidRPr="00B01F49">
        <w:rPr>
          <w:rFonts w:ascii="Cambria" w:hAnsi="Cambria"/>
          <w:sz w:val="18"/>
          <w:szCs w:val="18"/>
        </w:rPr>
        <w:t>Profitabilitas</w:t>
      </w:r>
      <w:proofErr w:type="spellEnd"/>
      <w:r w:rsidRPr="00B01F49">
        <w:rPr>
          <w:rFonts w:ascii="Cambria" w:hAnsi="Cambria"/>
          <w:sz w:val="18"/>
          <w:szCs w:val="18"/>
        </w:rPr>
        <w:t xml:space="preserve"> </w:t>
      </w:r>
      <w:proofErr w:type="spellStart"/>
      <w:r w:rsidRPr="00B01F49">
        <w:rPr>
          <w:rFonts w:ascii="Cambria" w:hAnsi="Cambria"/>
          <w:sz w:val="18"/>
          <w:szCs w:val="18"/>
        </w:rPr>
        <w:t>ketika</w:t>
      </w:r>
      <w:proofErr w:type="spellEnd"/>
      <w:r w:rsidRPr="00B01F49">
        <w:rPr>
          <w:rFonts w:ascii="Cambria" w:hAnsi="Cambria"/>
          <w:sz w:val="18"/>
          <w:szCs w:val="18"/>
        </w:rPr>
        <w:t xml:space="preserve"> </w:t>
      </w:r>
      <w:proofErr w:type="spellStart"/>
      <w:r w:rsidRPr="00B01F49">
        <w:rPr>
          <w:rFonts w:ascii="Cambria" w:hAnsi="Cambria"/>
          <w:sz w:val="18"/>
          <w:szCs w:val="18"/>
        </w:rPr>
        <w:t>pandemi</w:t>
      </w:r>
      <w:proofErr w:type="spellEnd"/>
      <w:r w:rsidRPr="00B01F49">
        <w:rPr>
          <w:rFonts w:ascii="Cambria" w:hAnsi="Cambria"/>
          <w:sz w:val="18"/>
          <w:szCs w:val="18"/>
        </w:rPr>
        <w:t xml:space="preserve"> Covid-19 </w:t>
      </w:r>
      <w:proofErr w:type="spellStart"/>
      <w:r w:rsidRPr="00B01F49">
        <w:rPr>
          <w:rFonts w:ascii="Cambria" w:hAnsi="Cambria"/>
          <w:sz w:val="18"/>
          <w:szCs w:val="18"/>
        </w:rPr>
        <w:t>berpengaruh</w:t>
      </w:r>
      <w:proofErr w:type="spellEnd"/>
      <w:r w:rsidRPr="00B01F49">
        <w:rPr>
          <w:rFonts w:ascii="Cambria" w:hAnsi="Cambria"/>
          <w:sz w:val="18"/>
          <w:szCs w:val="18"/>
        </w:rPr>
        <w:t xml:space="preserve"> </w:t>
      </w:r>
      <w:proofErr w:type="spellStart"/>
      <w:r w:rsidRPr="00B01F49">
        <w:rPr>
          <w:rFonts w:ascii="Cambria" w:hAnsi="Cambria"/>
          <w:sz w:val="18"/>
          <w:szCs w:val="18"/>
        </w:rPr>
        <w:t>terhadap</w:t>
      </w:r>
      <w:proofErr w:type="spellEnd"/>
      <w:r w:rsidRPr="00B01F49">
        <w:rPr>
          <w:rFonts w:ascii="Cambria" w:hAnsi="Cambria"/>
          <w:sz w:val="18"/>
          <w:szCs w:val="18"/>
        </w:rPr>
        <w:t xml:space="preserve"> </w:t>
      </w:r>
      <w:proofErr w:type="spellStart"/>
      <w:r w:rsidRPr="00B01F49">
        <w:rPr>
          <w:rFonts w:ascii="Cambria" w:hAnsi="Cambria"/>
          <w:sz w:val="18"/>
          <w:szCs w:val="18"/>
        </w:rPr>
        <w:t>penerimaan</w:t>
      </w:r>
      <w:proofErr w:type="spellEnd"/>
      <w:r w:rsidRPr="00B01F49">
        <w:rPr>
          <w:rFonts w:ascii="Cambria" w:hAnsi="Cambria"/>
          <w:sz w:val="18"/>
          <w:szCs w:val="18"/>
        </w:rPr>
        <w:t xml:space="preserve"> </w:t>
      </w:r>
      <w:proofErr w:type="spellStart"/>
      <w:r w:rsidRPr="00B01F49">
        <w:rPr>
          <w:rFonts w:ascii="Cambria" w:hAnsi="Cambria"/>
          <w:sz w:val="18"/>
          <w:szCs w:val="18"/>
        </w:rPr>
        <w:t>Opini</w:t>
      </w:r>
      <w:proofErr w:type="spellEnd"/>
      <w:r w:rsidRPr="00B01F49">
        <w:rPr>
          <w:rFonts w:ascii="Cambria" w:hAnsi="Cambria"/>
          <w:sz w:val="18"/>
          <w:szCs w:val="18"/>
        </w:rPr>
        <w:t xml:space="preserve"> Audit </w:t>
      </w:r>
      <w:r w:rsidRPr="00B01F49">
        <w:rPr>
          <w:rFonts w:ascii="Cambria" w:hAnsi="Cambria"/>
          <w:iCs/>
          <w:sz w:val="18"/>
          <w:szCs w:val="18"/>
        </w:rPr>
        <w:t>Going Concern</w:t>
      </w:r>
      <w:r w:rsidRPr="00B01F49">
        <w:rPr>
          <w:rFonts w:ascii="Cambria" w:hAnsi="Cambria"/>
          <w:sz w:val="18"/>
          <w:szCs w:val="18"/>
        </w:rPr>
        <w:t xml:space="preserve">, </w:t>
      </w:r>
      <w:proofErr w:type="spellStart"/>
      <w:r w:rsidRPr="00B01F49">
        <w:rPr>
          <w:rFonts w:ascii="Cambria" w:hAnsi="Cambria"/>
          <w:sz w:val="18"/>
          <w:szCs w:val="18"/>
        </w:rPr>
        <w:t>hal</w:t>
      </w:r>
      <w:proofErr w:type="spellEnd"/>
      <w:r w:rsidRPr="00B01F49">
        <w:rPr>
          <w:rFonts w:ascii="Cambria" w:hAnsi="Cambria"/>
          <w:sz w:val="18"/>
          <w:szCs w:val="18"/>
        </w:rPr>
        <w:t xml:space="preserve"> </w:t>
      </w:r>
      <w:proofErr w:type="spellStart"/>
      <w:r w:rsidRPr="00B01F49">
        <w:rPr>
          <w:rFonts w:ascii="Cambria" w:hAnsi="Cambria"/>
          <w:sz w:val="18"/>
          <w:szCs w:val="18"/>
        </w:rPr>
        <w:t>ini</w:t>
      </w:r>
      <w:proofErr w:type="spellEnd"/>
      <w:r w:rsidRPr="00B01F49">
        <w:rPr>
          <w:rFonts w:ascii="Cambria" w:hAnsi="Cambria"/>
          <w:sz w:val="18"/>
          <w:szCs w:val="18"/>
        </w:rPr>
        <w:t xml:space="preserve"> </w:t>
      </w:r>
      <w:proofErr w:type="spellStart"/>
      <w:r w:rsidRPr="00B01F49">
        <w:rPr>
          <w:rFonts w:ascii="Cambria" w:hAnsi="Cambria"/>
          <w:sz w:val="18"/>
          <w:szCs w:val="18"/>
        </w:rPr>
        <w:t>ditunjukkan</w:t>
      </w:r>
      <w:proofErr w:type="spellEnd"/>
      <w:r w:rsidRPr="00B01F49">
        <w:rPr>
          <w:rFonts w:ascii="Cambria" w:hAnsi="Cambria"/>
          <w:sz w:val="18"/>
          <w:szCs w:val="18"/>
        </w:rPr>
        <w:t xml:space="preserve"> </w:t>
      </w:r>
      <w:proofErr w:type="spellStart"/>
      <w:r w:rsidRPr="00B01F49">
        <w:rPr>
          <w:rFonts w:ascii="Cambria" w:hAnsi="Cambria"/>
          <w:sz w:val="18"/>
          <w:szCs w:val="18"/>
        </w:rPr>
        <w:t>dengan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koefisien</w:t>
      </w:r>
      <w:proofErr w:type="spellEnd"/>
      <w:r w:rsidRPr="00B01F49">
        <w:rPr>
          <w:rFonts w:ascii="Cambria" w:hAnsi="Cambria"/>
          <w:sz w:val="18"/>
          <w:szCs w:val="18"/>
        </w:rPr>
        <w:t xml:space="preserve"> </w:t>
      </w:r>
      <w:proofErr w:type="spellStart"/>
      <w:r w:rsidRPr="00B01F49">
        <w:rPr>
          <w:rFonts w:ascii="Cambria" w:hAnsi="Cambria"/>
          <w:sz w:val="18"/>
          <w:szCs w:val="18"/>
        </w:rPr>
        <w:t>regresi</w:t>
      </w:r>
      <w:proofErr w:type="spellEnd"/>
      <w:r w:rsidRPr="00B01F49">
        <w:rPr>
          <w:rFonts w:ascii="Cambria" w:hAnsi="Cambria"/>
          <w:sz w:val="18"/>
          <w:szCs w:val="18"/>
        </w:rPr>
        <w:t xml:space="preserve"> </w:t>
      </w:r>
      <w:proofErr w:type="spellStart"/>
      <w:r w:rsidRPr="00B01F49">
        <w:rPr>
          <w:rFonts w:ascii="Cambria" w:hAnsi="Cambria"/>
          <w:sz w:val="18"/>
          <w:szCs w:val="18"/>
        </w:rPr>
        <w:t>sebesar</w:t>
      </w:r>
      <w:proofErr w:type="spellEnd"/>
      <w:r w:rsidRPr="00B01F49">
        <w:rPr>
          <w:rFonts w:ascii="Cambria" w:hAnsi="Cambria"/>
          <w:sz w:val="18"/>
          <w:szCs w:val="18"/>
        </w:rPr>
        <w:t xml:space="preserve"> -440 </w:t>
      </w:r>
      <w:proofErr w:type="spellStart"/>
      <w:r w:rsidRPr="00B01F49">
        <w:rPr>
          <w:rFonts w:ascii="Cambria" w:hAnsi="Cambria"/>
          <w:sz w:val="18"/>
          <w:szCs w:val="18"/>
        </w:rPr>
        <w:t>dan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signifikanis</w:t>
      </w:r>
      <w:proofErr w:type="spellEnd"/>
      <w:r w:rsidRPr="00B01F49">
        <w:rPr>
          <w:rFonts w:ascii="Cambria" w:hAnsi="Cambria"/>
          <w:sz w:val="18"/>
          <w:szCs w:val="18"/>
        </w:rPr>
        <w:t xml:space="preserve"> </w:t>
      </w:r>
      <w:proofErr w:type="spellStart"/>
      <w:r w:rsidRPr="00B01F49">
        <w:rPr>
          <w:rFonts w:ascii="Cambria" w:hAnsi="Cambria"/>
          <w:sz w:val="18"/>
          <w:szCs w:val="18"/>
        </w:rPr>
        <w:t>lebih</w:t>
      </w:r>
      <w:proofErr w:type="spellEnd"/>
      <w:r w:rsidRPr="00B01F49">
        <w:rPr>
          <w:rFonts w:ascii="Cambria" w:hAnsi="Cambria"/>
          <w:sz w:val="18"/>
          <w:szCs w:val="18"/>
        </w:rPr>
        <w:t xml:space="preserve"> </w:t>
      </w:r>
      <w:proofErr w:type="spellStart"/>
      <w:r w:rsidRPr="00B01F49">
        <w:rPr>
          <w:rFonts w:ascii="Cambria" w:hAnsi="Cambria"/>
          <w:sz w:val="18"/>
          <w:szCs w:val="18"/>
        </w:rPr>
        <w:t>kecil</w:t>
      </w:r>
      <w:proofErr w:type="spellEnd"/>
      <w:r w:rsidRPr="00B01F49">
        <w:rPr>
          <w:rFonts w:ascii="Cambria" w:hAnsi="Cambria"/>
          <w:sz w:val="18"/>
          <w:szCs w:val="18"/>
        </w:rPr>
        <w:t xml:space="preserve"> </w:t>
      </w:r>
      <w:proofErr w:type="spellStart"/>
      <w:r w:rsidRPr="00B01F49">
        <w:rPr>
          <w:rFonts w:ascii="Cambria" w:hAnsi="Cambria"/>
          <w:sz w:val="18"/>
          <w:szCs w:val="18"/>
        </w:rPr>
        <w:t>dari</w:t>
      </w:r>
      <w:proofErr w:type="spellEnd"/>
      <w:r w:rsidRPr="00B01F49">
        <w:rPr>
          <w:rFonts w:ascii="Cambria" w:hAnsi="Cambria"/>
          <w:sz w:val="18"/>
          <w:szCs w:val="18"/>
        </w:rPr>
        <w:t xml:space="preserve"> 0,05 </w:t>
      </w:r>
      <w:proofErr w:type="spellStart"/>
      <w:r w:rsidRPr="00B01F49">
        <w:rPr>
          <w:rFonts w:ascii="Cambria" w:hAnsi="Cambria"/>
          <w:sz w:val="18"/>
          <w:szCs w:val="18"/>
        </w:rPr>
        <w:t>yaitu</w:t>
      </w:r>
      <w:proofErr w:type="spellEnd"/>
      <w:r w:rsidRPr="00B01F49">
        <w:rPr>
          <w:rFonts w:ascii="Cambria" w:hAnsi="Cambria"/>
          <w:sz w:val="18"/>
          <w:szCs w:val="18"/>
        </w:rPr>
        <w:t xml:space="preserve"> 0,000, </w:t>
      </w:r>
      <w:r w:rsidRPr="00B01F49">
        <w:rPr>
          <w:rFonts w:ascii="Cambria" w:hAnsi="Cambria"/>
          <w:sz w:val="18"/>
          <w:szCs w:val="18"/>
        </w:rPr>
        <w:lastRenderedPageBreak/>
        <w:t xml:space="preserve">(3) </w:t>
      </w:r>
      <w:r w:rsidRPr="00B01F49">
        <w:rPr>
          <w:rFonts w:ascii="Cambria" w:hAnsi="Cambria"/>
          <w:iCs/>
          <w:sz w:val="18"/>
          <w:szCs w:val="18"/>
        </w:rPr>
        <w:t xml:space="preserve">Leverage </w:t>
      </w:r>
      <w:proofErr w:type="spellStart"/>
      <w:r w:rsidRPr="00B01F49">
        <w:rPr>
          <w:rFonts w:ascii="Cambria" w:hAnsi="Cambria"/>
          <w:sz w:val="18"/>
          <w:szCs w:val="18"/>
        </w:rPr>
        <w:t>sebelum</w:t>
      </w:r>
      <w:proofErr w:type="spellEnd"/>
      <w:r w:rsidRPr="00B01F49">
        <w:rPr>
          <w:rFonts w:ascii="Cambria" w:hAnsi="Cambria"/>
          <w:sz w:val="18"/>
          <w:szCs w:val="18"/>
        </w:rPr>
        <w:t xml:space="preserve"> </w:t>
      </w:r>
      <w:proofErr w:type="spellStart"/>
      <w:r w:rsidRPr="00B01F49">
        <w:rPr>
          <w:rFonts w:ascii="Cambria" w:hAnsi="Cambria"/>
          <w:sz w:val="18"/>
          <w:szCs w:val="18"/>
        </w:rPr>
        <w:t>pandemi</w:t>
      </w:r>
      <w:proofErr w:type="spellEnd"/>
      <w:r w:rsidRPr="00B01F49">
        <w:rPr>
          <w:rFonts w:ascii="Cambria" w:hAnsi="Cambria"/>
          <w:sz w:val="18"/>
          <w:szCs w:val="18"/>
        </w:rPr>
        <w:t xml:space="preserve"> COVID-19 </w:t>
      </w:r>
      <w:proofErr w:type="spellStart"/>
      <w:r w:rsidRPr="00B01F49">
        <w:rPr>
          <w:rFonts w:ascii="Cambria" w:hAnsi="Cambria"/>
          <w:sz w:val="18"/>
          <w:szCs w:val="18"/>
        </w:rPr>
        <w:t>tidak</w:t>
      </w:r>
      <w:proofErr w:type="spellEnd"/>
      <w:r w:rsidRPr="00B01F49">
        <w:rPr>
          <w:rFonts w:ascii="Cambria" w:hAnsi="Cambria"/>
          <w:sz w:val="18"/>
          <w:szCs w:val="18"/>
        </w:rPr>
        <w:t xml:space="preserve"> </w:t>
      </w:r>
      <w:proofErr w:type="spellStart"/>
      <w:r w:rsidRPr="00B01F49">
        <w:rPr>
          <w:rFonts w:ascii="Cambria" w:hAnsi="Cambria"/>
          <w:sz w:val="18"/>
          <w:szCs w:val="18"/>
        </w:rPr>
        <w:t>berpengaruh</w:t>
      </w:r>
      <w:proofErr w:type="spellEnd"/>
      <w:r w:rsidRPr="00B01F49">
        <w:rPr>
          <w:rFonts w:ascii="Cambria" w:hAnsi="Cambria"/>
          <w:sz w:val="18"/>
          <w:szCs w:val="18"/>
        </w:rPr>
        <w:t xml:space="preserve"> </w:t>
      </w:r>
      <w:proofErr w:type="spellStart"/>
      <w:r w:rsidRPr="00B01F49">
        <w:rPr>
          <w:rFonts w:ascii="Cambria" w:hAnsi="Cambria"/>
          <w:sz w:val="18"/>
          <w:szCs w:val="18"/>
        </w:rPr>
        <w:t>terhadap</w:t>
      </w:r>
      <w:proofErr w:type="spellEnd"/>
      <w:r w:rsidRPr="00B01F49">
        <w:rPr>
          <w:rFonts w:ascii="Cambria" w:hAnsi="Cambria"/>
          <w:sz w:val="18"/>
          <w:szCs w:val="18"/>
        </w:rPr>
        <w:t xml:space="preserve"> </w:t>
      </w:r>
      <w:proofErr w:type="spellStart"/>
      <w:r w:rsidRPr="00B01F49">
        <w:rPr>
          <w:rFonts w:ascii="Cambria" w:hAnsi="Cambria"/>
          <w:sz w:val="18"/>
          <w:szCs w:val="18"/>
        </w:rPr>
        <w:t>Opini</w:t>
      </w:r>
      <w:proofErr w:type="spellEnd"/>
      <w:r w:rsidRPr="00B01F49">
        <w:rPr>
          <w:rFonts w:ascii="Cambria" w:hAnsi="Cambria"/>
          <w:sz w:val="18"/>
          <w:szCs w:val="18"/>
        </w:rPr>
        <w:t xml:space="preserve"> Audit </w:t>
      </w:r>
      <w:r w:rsidRPr="00B01F49">
        <w:rPr>
          <w:rFonts w:ascii="Cambria" w:hAnsi="Cambria"/>
          <w:iCs/>
          <w:sz w:val="18"/>
          <w:szCs w:val="18"/>
        </w:rPr>
        <w:t xml:space="preserve">Going Concern </w:t>
      </w:r>
      <w:proofErr w:type="spellStart"/>
      <w:r w:rsidRPr="00B01F49">
        <w:rPr>
          <w:rFonts w:ascii="Cambria" w:hAnsi="Cambria"/>
          <w:sz w:val="18"/>
          <w:szCs w:val="18"/>
        </w:rPr>
        <w:t>hal</w:t>
      </w:r>
      <w:proofErr w:type="spellEnd"/>
      <w:r w:rsidRPr="00B01F49">
        <w:rPr>
          <w:rFonts w:ascii="Cambria" w:hAnsi="Cambria"/>
          <w:sz w:val="18"/>
          <w:szCs w:val="18"/>
        </w:rPr>
        <w:t xml:space="preserve"> </w:t>
      </w:r>
      <w:proofErr w:type="spellStart"/>
      <w:r w:rsidRPr="00B01F49">
        <w:rPr>
          <w:rFonts w:ascii="Cambria" w:hAnsi="Cambria"/>
          <w:sz w:val="18"/>
          <w:szCs w:val="18"/>
        </w:rPr>
        <w:t>ini</w:t>
      </w:r>
      <w:proofErr w:type="spellEnd"/>
      <w:r w:rsidRPr="00B01F49">
        <w:rPr>
          <w:rFonts w:ascii="Cambria" w:hAnsi="Cambria"/>
          <w:sz w:val="18"/>
          <w:szCs w:val="18"/>
        </w:rPr>
        <w:t xml:space="preserve"> </w:t>
      </w:r>
      <w:proofErr w:type="spellStart"/>
      <w:r w:rsidRPr="00B01F49">
        <w:rPr>
          <w:rFonts w:ascii="Cambria" w:hAnsi="Cambria"/>
          <w:sz w:val="18"/>
          <w:szCs w:val="18"/>
        </w:rPr>
        <w:t>ditunjukkan</w:t>
      </w:r>
      <w:proofErr w:type="spellEnd"/>
      <w:r w:rsidRPr="00B01F49">
        <w:rPr>
          <w:rFonts w:ascii="Cambria" w:hAnsi="Cambria"/>
          <w:sz w:val="18"/>
          <w:szCs w:val="18"/>
        </w:rPr>
        <w:t xml:space="preserve"> </w:t>
      </w:r>
      <w:proofErr w:type="spellStart"/>
      <w:r w:rsidRPr="00B01F49">
        <w:rPr>
          <w:rFonts w:ascii="Cambria" w:hAnsi="Cambria"/>
          <w:sz w:val="18"/>
          <w:szCs w:val="18"/>
        </w:rPr>
        <w:t>dengan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koefisien</w:t>
      </w:r>
      <w:proofErr w:type="spellEnd"/>
      <w:r w:rsidRPr="00B01F49">
        <w:rPr>
          <w:rFonts w:ascii="Cambria" w:hAnsi="Cambria"/>
          <w:sz w:val="18"/>
          <w:szCs w:val="18"/>
        </w:rPr>
        <w:t xml:space="preserve"> </w:t>
      </w:r>
      <w:proofErr w:type="spellStart"/>
      <w:r w:rsidRPr="00B01F49">
        <w:rPr>
          <w:rFonts w:ascii="Cambria" w:hAnsi="Cambria"/>
          <w:sz w:val="18"/>
          <w:szCs w:val="18"/>
        </w:rPr>
        <w:t>regresi</w:t>
      </w:r>
      <w:proofErr w:type="spellEnd"/>
      <w:r w:rsidRPr="00B01F49">
        <w:rPr>
          <w:rFonts w:ascii="Cambria" w:hAnsi="Cambria"/>
          <w:sz w:val="18"/>
          <w:szCs w:val="18"/>
        </w:rPr>
        <w:t xml:space="preserve"> </w:t>
      </w:r>
      <w:proofErr w:type="spellStart"/>
      <w:r w:rsidRPr="00B01F49">
        <w:rPr>
          <w:rFonts w:ascii="Cambria" w:hAnsi="Cambria"/>
          <w:sz w:val="18"/>
          <w:szCs w:val="18"/>
        </w:rPr>
        <w:t>sebesar</w:t>
      </w:r>
      <w:proofErr w:type="spellEnd"/>
      <w:r w:rsidRPr="00B01F49">
        <w:rPr>
          <w:rFonts w:ascii="Cambria" w:hAnsi="Cambria"/>
          <w:sz w:val="18"/>
          <w:szCs w:val="18"/>
        </w:rPr>
        <w:t xml:space="preserve"> -0,027 </w:t>
      </w:r>
      <w:proofErr w:type="spellStart"/>
      <w:r w:rsidRPr="00B01F49">
        <w:rPr>
          <w:rFonts w:ascii="Cambria" w:hAnsi="Cambria"/>
          <w:sz w:val="18"/>
          <w:szCs w:val="18"/>
        </w:rPr>
        <w:t>dan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signifikanis</w:t>
      </w:r>
      <w:proofErr w:type="spellEnd"/>
      <w:r w:rsidRPr="00B01F49">
        <w:rPr>
          <w:rFonts w:ascii="Cambria" w:hAnsi="Cambria"/>
          <w:sz w:val="18"/>
          <w:szCs w:val="18"/>
        </w:rPr>
        <w:t xml:space="preserve"> </w:t>
      </w:r>
      <w:proofErr w:type="spellStart"/>
      <w:r w:rsidRPr="00B01F49">
        <w:rPr>
          <w:rFonts w:ascii="Cambria" w:hAnsi="Cambria"/>
          <w:sz w:val="18"/>
          <w:szCs w:val="18"/>
        </w:rPr>
        <w:t>lebih</w:t>
      </w:r>
      <w:proofErr w:type="spellEnd"/>
      <w:r w:rsidRPr="00B01F49">
        <w:rPr>
          <w:rFonts w:ascii="Cambria" w:hAnsi="Cambria"/>
          <w:sz w:val="18"/>
          <w:szCs w:val="18"/>
        </w:rPr>
        <w:t xml:space="preserve"> </w:t>
      </w:r>
      <w:proofErr w:type="spellStart"/>
      <w:r w:rsidRPr="00B01F49">
        <w:rPr>
          <w:rFonts w:ascii="Cambria" w:hAnsi="Cambria"/>
          <w:sz w:val="18"/>
          <w:szCs w:val="18"/>
        </w:rPr>
        <w:t>besar</w:t>
      </w:r>
      <w:proofErr w:type="spellEnd"/>
      <w:r w:rsidRPr="00B01F49">
        <w:rPr>
          <w:rFonts w:ascii="Cambria" w:hAnsi="Cambria"/>
          <w:sz w:val="18"/>
          <w:szCs w:val="18"/>
        </w:rPr>
        <w:t xml:space="preserve"> </w:t>
      </w:r>
      <w:proofErr w:type="spellStart"/>
      <w:r w:rsidRPr="00B01F49">
        <w:rPr>
          <w:rFonts w:ascii="Cambria" w:hAnsi="Cambria"/>
          <w:sz w:val="18"/>
          <w:szCs w:val="18"/>
        </w:rPr>
        <w:t>dari</w:t>
      </w:r>
      <w:proofErr w:type="spellEnd"/>
      <w:r w:rsidRPr="00B01F49">
        <w:rPr>
          <w:rFonts w:ascii="Cambria" w:hAnsi="Cambria"/>
          <w:sz w:val="18"/>
          <w:szCs w:val="18"/>
        </w:rPr>
        <w:t xml:space="preserve"> 0,05 </w:t>
      </w:r>
      <w:proofErr w:type="spellStart"/>
      <w:r w:rsidRPr="00B01F49">
        <w:rPr>
          <w:rFonts w:ascii="Cambria" w:hAnsi="Cambria"/>
          <w:sz w:val="18"/>
          <w:szCs w:val="18"/>
        </w:rPr>
        <w:t>yaitu</w:t>
      </w:r>
      <w:proofErr w:type="spellEnd"/>
      <w:r w:rsidRPr="00B01F49">
        <w:rPr>
          <w:rFonts w:ascii="Cambria" w:hAnsi="Cambria"/>
          <w:sz w:val="18"/>
          <w:szCs w:val="18"/>
        </w:rPr>
        <w:t xml:space="preserve"> 0,810, (4) </w:t>
      </w:r>
      <w:r w:rsidRPr="00B01F49">
        <w:rPr>
          <w:rFonts w:ascii="Cambria" w:hAnsi="Cambria"/>
          <w:iCs/>
          <w:sz w:val="18"/>
          <w:szCs w:val="18"/>
        </w:rPr>
        <w:t xml:space="preserve">Leverage </w:t>
      </w:r>
      <w:proofErr w:type="spellStart"/>
      <w:r w:rsidRPr="00B01F49">
        <w:rPr>
          <w:rFonts w:ascii="Cambria" w:hAnsi="Cambria"/>
          <w:sz w:val="18"/>
          <w:szCs w:val="18"/>
        </w:rPr>
        <w:t>ketika</w:t>
      </w:r>
      <w:proofErr w:type="spellEnd"/>
      <w:r w:rsidRPr="00B01F49">
        <w:rPr>
          <w:rFonts w:ascii="Cambria" w:hAnsi="Cambria"/>
          <w:sz w:val="18"/>
          <w:szCs w:val="18"/>
        </w:rPr>
        <w:t xml:space="preserve"> </w:t>
      </w:r>
      <w:proofErr w:type="spellStart"/>
      <w:r w:rsidRPr="00B01F49">
        <w:rPr>
          <w:rFonts w:ascii="Cambria" w:hAnsi="Cambria"/>
          <w:sz w:val="18"/>
          <w:szCs w:val="18"/>
        </w:rPr>
        <w:t>pandemi</w:t>
      </w:r>
      <w:proofErr w:type="spellEnd"/>
      <w:r w:rsidRPr="00B01F49">
        <w:rPr>
          <w:rFonts w:ascii="Cambria" w:hAnsi="Cambria"/>
          <w:sz w:val="18"/>
          <w:szCs w:val="18"/>
        </w:rPr>
        <w:t xml:space="preserve"> COVID-19 </w:t>
      </w:r>
      <w:proofErr w:type="spellStart"/>
      <w:r w:rsidRPr="00B01F49">
        <w:rPr>
          <w:rFonts w:ascii="Cambria" w:hAnsi="Cambria"/>
          <w:sz w:val="18"/>
          <w:szCs w:val="18"/>
        </w:rPr>
        <w:t>berpengaruh</w:t>
      </w:r>
      <w:proofErr w:type="spellEnd"/>
      <w:r w:rsidRPr="00B01F49">
        <w:rPr>
          <w:rFonts w:ascii="Cambria" w:hAnsi="Cambria"/>
          <w:sz w:val="18"/>
          <w:szCs w:val="18"/>
        </w:rPr>
        <w:t xml:space="preserve"> </w:t>
      </w:r>
      <w:proofErr w:type="spellStart"/>
      <w:r w:rsidRPr="00B01F49">
        <w:rPr>
          <w:rFonts w:ascii="Cambria" w:hAnsi="Cambria"/>
          <w:sz w:val="18"/>
          <w:szCs w:val="18"/>
        </w:rPr>
        <w:t>terhadap</w:t>
      </w:r>
      <w:proofErr w:type="spellEnd"/>
      <w:r w:rsidRPr="00B01F49">
        <w:rPr>
          <w:rFonts w:ascii="Cambria" w:hAnsi="Cambria"/>
          <w:sz w:val="18"/>
          <w:szCs w:val="18"/>
        </w:rPr>
        <w:t xml:space="preserve"> </w:t>
      </w:r>
      <w:proofErr w:type="spellStart"/>
      <w:r w:rsidRPr="00B01F49">
        <w:rPr>
          <w:rFonts w:ascii="Cambria" w:hAnsi="Cambria"/>
          <w:sz w:val="18"/>
          <w:szCs w:val="18"/>
        </w:rPr>
        <w:t>Opini</w:t>
      </w:r>
      <w:proofErr w:type="spellEnd"/>
      <w:r w:rsidRPr="00B01F49">
        <w:rPr>
          <w:rFonts w:ascii="Cambria" w:hAnsi="Cambria"/>
          <w:sz w:val="18"/>
          <w:szCs w:val="18"/>
        </w:rPr>
        <w:t xml:space="preserve"> Audit </w:t>
      </w:r>
      <w:r w:rsidRPr="00B01F49">
        <w:rPr>
          <w:rFonts w:ascii="Cambria" w:hAnsi="Cambria"/>
          <w:iCs/>
          <w:sz w:val="18"/>
          <w:szCs w:val="18"/>
        </w:rPr>
        <w:t xml:space="preserve">Going Concern </w:t>
      </w:r>
      <w:proofErr w:type="spellStart"/>
      <w:r w:rsidRPr="00B01F49">
        <w:rPr>
          <w:rFonts w:ascii="Cambria" w:hAnsi="Cambria"/>
          <w:sz w:val="18"/>
          <w:szCs w:val="18"/>
        </w:rPr>
        <w:t>hal</w:t>
      </w:r>
      <w:proofErr w:type="spellEnd"/>
      <w:r w:rsidRPr="00B01F49">
        <w:rPr>
          <w:rFonts w:ascii="Cambria" w:hAnsi="Cambria"/>
          <w:sz w:val="18"/>
          <w:szCs w:val="18"/>
        </w:rPr>
        <w:t xml:space="preserve"> </w:t>
      </w:r>
      <w:proofErr w:type="spellStart"/>
      <w:r w:rsidRPr="00B01F49">
        <w:rPr>
          <w:rFonts w:ascii="Cambria" w:hAnsi="Cambria"/>
          <w:sz w:val="18"/>
          <w:szCs w:val="18"/>
        </w:rPr>
        <w:t>ini</w:t>
      </w:r>
      <w:proofErr w:type="spellEnd"/>
      <w:r w:rsidRPr="00B01F49">
        <w:rPr>
          <w:rFonts w:ascii="Cambria" w:hAnsi="Cambria"/>
          <w:sz w:val="18"/>
          <w:szCs w:val="18"/>
        </w:rPr>
        <w:t xml:space="preserve"> </w:t>
      </w:r>
      <w:proofErr w:type="spellStart"/>
      <w:r w:rsidRPr="00B01F49">
        <w:rPr>
          <w:rFonts w:ascii="Cambria" w:hAnsi="Cambria"/>
          <w:sz w:val="18"/>
          <w:szCs w:val="18"/>
        </w:rPr>
        <w:t>ditunjukkan</w:t>
      </w:r>
      <w:proofErr w:type="spellEnd"/>
      <w:r w:rsidRPr="00B01F49">
        <w:rPr>
          <w:rFonts w:ascii="Cambria" w:hAnsi="Cambria"/>
          <w:sz w:val="18"/>
          <w:szCs w:val="18"/>
        </w:rPr>
        <w:t xml:space="preserve"> </w:t>
      </w:r>
      <w:proofErr w:type="spellStart"/>
      <w:r w:rsidRPr="00B01F49">
        <w:rPr>
          <w:rFonts w:ascii="Cambria" w:hAnsi="Cambria"/>
          <w:sz w:val="18"/>
          <w:szCs w:val="18"/>
        </w:rPr>
        <w:t>dengan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koefisien</w:t>
      </w:r>
      <w:proofErr w:type="spellEnd"/>
      <w:r w:rsidRPr="00B01F49">
        <w:rPr>
          <w:rFonts w:ascii="Cambria" w:hAnsi="Cambria"/>
          <w:sz w:val="18"/>
          <w:szCs w:val="18"/>
        </w:rPr>
        <w:t xml:space="preserve"> </w:t>
      </w:r>
      <w:proofErr w:type="spellStart"/>
      <w:r w:rsidRPr="00B01F49">
        <w:rPr>
          <w:rFonts w:ascii="Cambria" w:hAnsi="Cambria"/>
          <w:sz w:val="18"/>
          <w:szCs w:val="18"/>
        </w:rPr>
        <w:t>regresi</w:t>
      </w:r>
      <w:proofErr w:type="spellEnd"/>
      <w:r w:rsidRPr="00B01F49">
        <w:rPr>
          <w:rFonts w:ascii="Cambria" w:hAnsi="Cambria"/>
          <w:sz w:val="18"/>
          <w:szCs w:val="18"/>
        </w:rPr>
        <w:t xml:space="preserve"> </w:t>
      </w:r>
      <w:proofErr w:type="spellStart"/>
      <w:r w:rsidRPr="00B01F49">
        <w:rPr>
          <w:rFonts w:ascii="Cambria" w:hAnsi="Cambria"/>
          <w:sz w:val="18"/>
          <w:szCs w:val="18"/>
        </w:rPr>
        <w:t>sebesar</w:t>
      </w:r>
      <w:proofErr w:type="spellEnd"/>
      <w:r w:rsidRPr="00B01F49">
        <w:rPr>
          <w:rFonts w:ascii="Cambria" w:hAnsi="Cambria"/>
          <w:sz w:val="18"/>
          <w:szCs w:val="18"/>
        </w:rPr>
        <w:t xml:space="preserve"> 0,08 </w:t>
      </w:r>
      <w:proofErr w:type="spellStart"/>
      <w:r w:rsidRPr="00B01F49">
        <w:rPr>
          <w:rFonts w:ascii="Cambria" w:hAnsi="Cambria"/>
          <w:sz w:val="18"/>
          <w:szCs w:val="18"/>
        </w:rPr>
        <w:t>dan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signifikanis</w:t>
      </w:r>
      <w:proofErr w:type="spellEnd"/>
      <w:r w:rsidRPr="00B01F49">
        <w:rPr>
          <w:rFonts w:ascii="Cambria" w:hAnsi="Cambria"/>
          <w:sz w:val="18"/>
          <w:szCs w:val="18"/>
        </w:rPr>
        <w:t xml:space="preserve"> </w:t>
      </w:r>
      <w:proofErr w:type="spellStart"/>
      <w:r w:rsidRPr="00B01F49">
        <w:rPr>
          <w:rFonts w:ascii="Cambria" w:hAnsi="Cambria"/>
          <w:sz w:val="18"/>
          <w:szCs w:val="18"/>
        </w:rPr>
        <w:t>lebih</w:t>
      </w:r>
      <w:proofErr w:type="spellEnd"/>
      <w:r w:rsidRPr="00B01F49">
        <w:rPr>
          <w:rFonts w:ascii="Cambria" w:hAnsi="Cambria"/>
          <w:sz w:val="18"/>
          <w:szCs w:val="18"/>
        </w:rPr>
        <w:t xml:space="preserve"> </w:t>
      </w:r>
      <w:proofErr w:type="spellStart"/>
      <w:r w:rsidRPr="00B01F49">
        <w:rPr>
          <w:rFonts w:ascii="Cambria" w:hAnsi="Cambria"/>
          <w:sz w:val="18"/>
          <w:szCs w:val="18"/>
        </w:rPr>
        <w:t>kecil</w:t>
      </w:r>
      <w:proofErr w:type="spellEnd"/>
      <w:r w:rsidRPr="00B01F49">
        <w:rPr>
          <w:rFonts w:ascii="Cambria" w:hAnsi="Cambria"/>
          <w:sz w:val="18"/>
          <w:szCs w:val="18"/>
        </w:rPr>
        <w:t xml:space="preserve"> </w:t>
      </w:r>
      <w:proofErr w:type="spellStart"/>
      <w:r w:rsidRPr="00B01F49">
        <w:rPr>
          <w:rFonts w:ascii="Cambria" w:hAnsi="Cambria"/>
          <w:sz w:val="18"/>
          <w:szCs w:val="18"/>
        </w:rPr>
        <w:t>dari</w:t>
      </w:r>
      <w:proofErr w:type="spellEnd"/>
      <w:r w:rsidRPr="00B01F49">
        <w:rPr>
          <w:rFonts w:ascii="Cambria" w:hAnsi="Cambria"/>
          <w:sz w:val="18"/>
          <w:szCs w:val="18"/>
        </w:rPr>
        <w:t xml:space="preserve"> 0,05 </w:t>
      </w:r>
      <w:proofErr w:type="spellStart"/>
      <w:r w:rsidRPr="00B01F49">
        <w:rPr>
          <w:rFonts w:ascii="Cambria" w:hAnsi="Cambria"/>
          <w:sz w:val="18"/>
          <w:szCs w:val="18"/>
        </w:rPr>
        <w:t>yaitu</w:t>
      </w:r>
      <w:proofErr w:type="spellEnd"/>
      <w:r w:rsidRPr="00B01F49">
        <w:rPr>
          <w:rFonts w:ascii="Cambria" w:hAnsi="Cambria"/>
          <w:sz w:val="18"/>
          <w:szCs w:val="18"/>
        </w:rPr>
        <w:t xml:space="preserve"> 0,044, (5) </w:t>
      </w:r>
      <w:proofErr w:type="spellStart"/>
      <w:r w:rsidRPr="00B01F49">
        <w:rPr>
          <w:rFonts w:ascii="Cambria" w:hAnsi="Cambria"/>
          <w:sz w:val="18"/>
          <w:szCs w:val="18"/>
        </w:rPr>
        <w:t>Pertumbuhan</w:t>
      </w:r>
      <w:proofErr w:type="spellEnd"/>
      <w:r w:rsidRPr="00B01F49">
        <w:rPr>
          <w:rFonts w:ascii="Cambria" w:hAnsi="Cambria"/>
          <w:sz w:val="18"/>
          <w:szCs w:val="18"/>
        </w:rPr>
        <w:t xml:space="preserve"> </w:t>
      </w:r>
      <w:proofErr w:type="spellStart"/>
      <w:r w:rsidRPr="00B01F49">
        <w:rPr>
          <w:rFonts w:ascii="Cambria" w:hAnsi="Cambria"/>
          <w:sz w:val="18"/>
          <w:szCs w:val="18"/>
        </w:rPr>
        <w:t>perusahaan</w:t>
      </w:r>
      <w:proofErr w:type="spellEnd"/>
      <w:r w:rsidRPr="00B01F49">
        <w:rPr>
          <w:rFonts w:ascii="Cambria" w:hAnsi="Cambria"/>
          <w:sz w:val="18"/>
          <w:szCs w:val="18"/>
        </w:rPr>
        <w:t xml:space="preserve"> </w:t>
      </w:r>
      <w:proofErr w:type="spellStart"/>
      <w:r w:rsidRPr="00B01F49">
        <w:rPr>
          <w:rFonts w:ascii="Cambria" w:hAnsi="Cambria"/>
          <w:sz w:val="18"/>
          <w:szCs w:val="18"/>
        </w:rPr>
        <w:t>sebelum</w:t>
      </w:r>
      <w:proofErr w:type="spellEnd"/>
      <w:r w:rsidRPr="00B01F49">
        <w:rPr>
          <w:rFonts w:ascii="Cambria" w:hAnsi="Cambria"/>
          <w:sz w:val="18"/>
          <w:szCs w:val="18"/>
        </w:rPr>
        <w:t xml:space="preserve"> </w:t>
      </w:r>
      <w:proofErr w:type="spellStart"/>
      <w:r w:rsidRPr="00B01F49">
        <w:rPr>
          <w:rFonts w:ascii="Cambria" w:hAnsi="Cambria"/>
          <w:sz w:val="18"/>
          <w:szCs w:val="18"/>
        </w:rPr>
        <w:t>pandemi</w:t>
      </w:r>
      <w:proofErr w:type="spellEnd"/>
      <w:r w:rsidRPr="00B01F49">
        <w:rPr>
          <w:rFonts w:ascii="Cambria" w:hAnsi="Cambria"/>
          <w:sz w:val="18"/>
          <w:szCs w:val="18"/>
        </w:rPr>
        <w:t xml:space="preserve"> COVID-19 </w:t>
      </w:r>
      <w:proofErr w:type="spellStart"/>
      <w:r w:rsidRPr="00B01F49">
        <w:rPr>
          <w:rFonts w:ascii="Cambria" w:hAnsi="Cambria"/>
          <w:sz w:val="18"/>
          <w:szCs w:val="18"/>
        </w:rPr>
        <w:t>tidak</w:t>
      </w:r>
      <w:proofErr w:type="spellEnd"/>
      <w:r w:rsidRPr="00B01F49">
        <w:rPr>
          <w:rFonts w:ascii="Cambria" w:hAnsi="Cambria"/>
          <w:sz w:val="18"/>
          <w:szCs w:val="18"/>
        </w:rPr>
        <w:t xml:space="preserve"> </w:t>
      </w:r>
      <w:proofErr w:type="spellStart"/>
      <w:r w:rsidRPr="00B01F49">
        <w:rPr>
          <w:rFonts w:ascii="Cambria" w:hAnsi="Cambria"/>
          <w:sz w:val="18"/>
          <w:szCs w:val="18"/>
        </w:rPr>
        <w:t>berpengaruh</w:t>
      </w:r>
      <w:proofErr w:type="spellEnd"/>
      <w:r w:rsidRPr="00B01F49">
        <w:rPr>
          <w:rFonts w:ascii="Cambria" w:hAnsi="Cambria"/>
          <w:sz w:val="18"/>
          <w:szCs w:val="18"/>
        </w:rPr>
        <w:t xml:space="preserve"> </w:t>
      </w:r>
      <w:proofErr w:type="spellStart"/>
      <w:r w:rsidRPr="00B01F49">
        <w:rPr>
          <w:rFonts w:ascii="Cambria" w:hAnsi="Cambria"/>
          <w:sz w:val="18"/>
          <w:szCs w:val="18"/>
        </w:rPr>
        <w:t>terhadap</w:t>
      </w:r>
      <w:proofErr w:type="spellEnd"/>
      <w:r w:rsidRPr="00B01F49">
        <w:rPr>
          <w:rFonts w:ascii="Cambria" w:hAnsi="Cambria"/>
          <w:sz w:val="18"/>
          <w:szCs w:val="18"/>
        </w:rPr>
        <w:t xml:space="preserve"> </w:t>
      </w:r>
      <w:proofErr w:type="spellStart"/>
      <w:r w:rsidRPr="00B01F49">
        <w:rPr>
          <w:rFonts w:ascii="Cambria" w:hAnsi="Cambria"/>
          <w:sz w:val="18"/>
          <w:szCs w:val="18"/>
        </w:rPr>
        <w:t>Opini</w:t>
      </w:r>
      <w:proofErr w:type="spellEnd"/>
      <w:r w:rsidRPr="00B01F49">
        <w:rPr>
          <w:rFonts w:ascii="Cambria" w:hAnsi="Cambria"/>
          <w:sz w:val="18"/>
          <w:szCs w:val="18"/>
        </w:rPr>
        <w:t xml:space="preserve"> Audit </w:t>
      </w:r>
      <w:r w:rsidRPr="00B01F49">
        <w:rPr>
          <w:rFonts w:ascii="Cambria" w:hAnsi="Cambria"/>
          <w:iCs/>
          <w:sz w:val="18"/>
          <w:szCs w:val="18"/>
        </w:rPr>
        <w:t xml:space="preserve">Going Concern </w:t>
      </w:r>
      <w:proofErr w:type="spellStart"/>
      <w:r w:rsidRPr="00B01F49">
        <w:rPr>
          <w:rFonts w:ascii="Cambria" w:hAnsi="Cambria"/>
          <w:sz w:val="18"/>
          <w:szCs w:val="18"/>
        </w:rPr>
        <w:t>hal</w:t>
      </w:r>
      <w:proofErr w:type="spellEnd"/>
      <w:r w:rsidRPr="00B01F49">
        <w:rPr>
          <w:rFonts w:ascii="Cambria" w:hAnsi="Cambria"/>
          <w:sz w:val="18"/>
          <w:szCs w:val="18"/>
        </w:rPr>
        <w:t xml:space="preserve"> </w:t>
      </w:r>
      <w:proofErr w:type="spellStart"/>
      <w:r w:rsidRPr="00B01F49">
        <w:rPr>
          <w:rFonts w:ascii="Cambria" w:hAnsi="Cambria"/>
          <w:sz w:val="18"/>
          <w:szCs w:val="18"/>
        </w:rPr>
        <w:t>ini</w:t>
      </w:r>
      <w:proofErr w:type="spellEnd"/>
      <w:r w:rsidRPr="00B01F49">
        <w:rPr>
          <w:rFonts w:ascii="Cambria" w:hAnsi="Cambria"/>
          <w:sz w:val="18"/>
          <w:szCs w:val="18"/>
        </w:rPr>
        <w:t xml:space="preserve"> </w:t>
      </w:r>
      <w:proofErr w:type="spellStart"/>
      <w:r w:rsidRPr="00B01F49">
        <w:rPr>
          <w:rFonts w:ascii="Cambria" w:hAnsi="Cambria"/>
          <w:sz w:val="18"/>
          <w:szCs w:val="18"/>
        </w:rPr>
        <w:t>ditunjukkan</w:t>
      </w:r>
      <w:proofErr w:type="spellEnd"/>
      <w:r w:rsidRPr="00B01F49">
        <w:rPr>
          <w:rFonts w:ascii="Cambria" w:hAnsi="Cambria"/>
          <w:sz w:val="18"/>
          <w:szCs w:val="18"/>
        </w:rPr>
        <w:t xml:space="preserve"> </w:t>
      </w:r>
      <w:proofErr w:type="spellStart"/>
      <w:r w:rsidRPr="00B01F49">
        <w:rPr>
          <w:rFonts w:ascii="Cambria" w:hAnsi="Cambria"/>
          <w:sz w:val="18"/>
          <w:szCs w:val="18"/>
        </w:rPr>
        <w:t>dengan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koefisien</w:t>
      </w:r>
      <w:proofErr w:type="spellEnd"/>
      <w:r w:rsidRPr="00B01F49">
        <w:rPr>
          <w:rFonts w:ascii="Cambria" w:hAnsi="Cambria"/>
          <w:sz w:val="18"/>
          <w:szCs w:val="18"/>
        </w:rPr>
        <w:t xml:space="preserve"> </w:t>
      </w:r>
      <w:proofErr w:type="spellStart"/>
      <w:r w:rsidRPr="00B01F49">
        <w:rPr>
          <w:rFonts w:ascii="Cambria" w:hAnsi="Cambria"/>
          <w:sz w:val="18"/>
          <w:szCs w:val="18"/>
        </w:rPr>
        <w:t>regresi</w:t>
      </w:r>
      <w:proofErr w:type="spellEnd"/>
      <w:r w:rsidRPr="00B01F49">
        <w:rPr>
          <w:rFonts w:ascii="Cambria" w:hAnsi="Cambria"/>
          <w:sz w:val="18"/>
          <w:szCs w:val="18"/>
        </w:rPr>
        <w:t xml:space="preserve"> </w:t>
      </w:r>
      <w:proofErr w:type="spellStart"/>
      <w:r w:rsidRPr="00B01F49">
        <w:rPr>
          <w:rFonts w:ascii="Cambria" w:hAnsi="Cambria"/>
          <w:sz w:val="18"/>
          <w:szCs w:val="18"/>
        </w:rPr>
        <w:t>sebesar</w:t>
      </w:r>
      <w:proofErr w:type="spellEnd"/>
      <w:r w:rsidRPr="00B01F49">
        <w:rPr>
          <w:rFonts w:ascii="Cambria" w:hAnsi="Cambria"/>
          <w:sz w:val="18"/>
          <w:szCs w:val="18"/>
        </w:rPr>
        <w:t xml:space="preserve"> 0,034 </w:t>
      </w:r>
      <w:proofErr w:type="spellStart"/>
      <w:r w:rsidRPr="00B01F49">
        <w:rPr>
          <w:rFonts w:ascii="Cambria" w:hAnsi="Cambria"/>
          <w:sz w:val="18"/>
          <w:szCs w:val="18"/>
        </w:rPr>
        <w:t>dan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signifikanis</w:t>
      </w:r>
      <w:proofErr w:type="spellEnd"/>
      <w:r w:rsidRPr="00B01F49">
        <w:rPr>
          <w:rFonts w:ascii="Cambria" w:hAnsi="Cambria"/>
          <w:sz w:val="18"/>
          <w:szCs w:val="18"/>
        </w:rPr>
        <w:t xml:space="preserve"> </w:t>
      </w:r>
      <w:proofErr w:type="spellStart"/>
      <w:r w:rsidRPr="00B01F49">
        <w:rPr>
          <w:rFonts w:ascii="Cambria" w:hAnsi="Cambria"/>
          <w:sz w:val="18"/>
          <w:szCs w:val="18"/>
        </w:rPr>
        <w:t>lebih</w:t>
      </w:r>
      <w:proofErr w:type="spellEnd"/>
      <w:r w:rsidRPr="00B01F49">
        <w:rPr>
          <w:rFonts w:ascii="Cambria" w:hAnsi="Cambria"/>
          <w:sz w:val="18"/>
          <w:szCs w:val="18"/>
        </w:rPr>
        <w:t xml:space="preserve"> </w:t>
      </w:r>
      <w:proofErr w:type="spellStart"/>
      <w:r w:rsidRPr="00B01F49">
        <w:rPr>
          <w:rFonts w:ascii="Cambria" w:hAnsi="Cambria"/>
          <w:sz w:val="18"/>
          <w:szCs w:val="18"/>
        </w:rPr>
        <w:t>besar</w:t>
      </w:r>
      <w:proofErr w:type="spellEnd"/>
      <w:r w:rsidRPr="00B01F49">
        <w:rPr>
          <w:rFonts w:ascii="Cambria" w:hAnsi="Cambria"/>
          <w:sz w:val="18"/>
          <w:szCs w:val="18"/>
        </w:rPr>
        <w:t xml:space="preserve"> </w:t>
      </w:r>
      <w:proofErr w:type="spellStart"/>
      <w:r w:rsidRPr="00B01F49">
        <w:rPr>
          <w:rFonts w:ascii="Cambria" w:hAnsi="Cambria"/>
          <w:sz w:val="18"/>
          <w:szCs w:val="18"/>
        </w:rPr>
        <w:t>dari</w:t>
      </w:r>
      <w:proofErr w:type="spellEnd"/>
      <w:r w:rsidRPr="00B01F49">
        <w:rPr>
          <w:rFonts w:ascii="Cambria" w:hAnsi="Cambria"/>
          <w:sz w:val="18"/>
          <w:szCs w:val="18"/>
        </w:rPr>
        <w:t xml:space="preserve"> 0,05 </w:t>
      </w:r>
      <w:proofErr w:type="spellStart"/>
      <w:r w:rsidRPr="00B01F49">
        <w:rPr>
          <w:rFonts w:ascii="Cambria" w:hAnsi="Cambria"/>
          <w:sz w:val="18"/>
          <w:szCs w:val="18"/>
        </w:rPr>
        <w:t>yaitu</w:t>
      </w:r>
      <w:proofErr w:type="spellEnd"/>
      <w:r w:rsidRPr="00B01F49">
        <w:rPr>
          <w:rFonts w:ascii="Cambria" w:hAnsi="Cambria"/>
          <w:sz w:val="18"/>
          <w:szCs w:val="18"/>
        </w:rPr>
        <w:t xml:space="preserve"> 0,60, (6) </w:t>
      </w:r>
      <w:proofErr w:type="spellStart"/>
      <w:r w:rsidRPr="00B01F49">
        <w:rPr>
          <w:rFonts w:ascii="Cambria" w:hAnsi="Cambria"/>
          <w:sz w:val="18"/>
          <w:szCs w:val="18"/>
        </w:rPr>
        <w:t>Pertumbuhan</w:t>
      </w:r>
      <w:proofErr w:type="spellEnd"/>
      <w:r w:rsidRPr="00B01F49">
        <w:rPr>
          <w:rFonts w:ascii="Cambria" w:hAnsi="Cambria"/>
          <w:sz w:val="18"/>
          <w:szCs w:val="18"/>
        </w:rPr>
        <w:t xml:space="preserve"> </w:t>
      </w:r>
      <w:proofErr w:type="spellStart"/>
      <w:r w:rsidRPr="00B01F49">
        <w:rPr>
          <w:rFonts w:ascii="Cambria" w:hAnsi="Cambria"/>
          <w:sz w:val="18"/>
          <w:szCs w:val="18"/>
        </w:rPr>
        <w:t>perusahaan</w:t>
      </w:r>
      <w:proofErr w:type="spellEnd"/>
      <w:r w:rsidRPr="00B01F49">
        <w:rPr>
          <w:rFonts w:ascii="Cambria" w:hAnsi="Cambria"/>
          <w:sz w:val="18"/>
          <w:szCs w:val="18"/>
        </w:rPr>
        <w:t xml:space="preserve"> </w:t>
      </w:r>
      <w:proofErr w:type="spellStart"/>
      <w:r w:rsidRPr="00B01F49">
        <w:rPr>
          <w:rFonts w:ascii="Cambria" w:hAnsi="Cambria"/>
          <w:sz w:val="18"/>
          <w:szCs w:val="18"/>
        </w:rPr>
        <w:t>ketika</w:t>
      </w:r>
      <w:proofErr w:type="spellEnd"/>
      <w:r w:rsidRPr="00B01F49">
        <w:rPr>
          <w:rFonts w:ascii="Cambria" w:hAnsi="Cambria"/>
          <w:sz w:val="18"/>
          <w:szCs w:val="18"/>
        </w:rPr>
        <w:t xml:space="preserve"> </w:t>
      </w:r>
      <w:proofErr w:type="spellStart"/>
      <w:r w:rsidRPr="00B01F49">
        <w:rPr>
          <w:rFonts w:ascii="Cambria" w:hAnsi="Cambria"/>
          <w:sz w:val="18"/>
          <w:szCs w:val="18"/>
        </w:rPr>
        <w:t>pandemi</w:t>
      </w:r>
      <w:proofErr w:type="spellEnd"/>
      <w:r w:rsidRPr="00B01F49">
        <w:rPr>
          <w:rFonts w:ascii="Cambria" w:hAnsi="Cambria"/>
          <w:sz w:val="18"/>
          <w:szCs w:val="18"/>
        </w:rPr>
        <w:t xml:space="preserve"> COVID-19 </w:t>
      </w:r>
      <w:proofErr w:type="spellStart"/>
      <w:r w:rsidRPr="00B01F49">
        <w:rPr>
          <w:rFonts w:ascii="Cambria" w:hAnsi="Cambria"/>
          <w:sz w:val="18"/>
          <w:szCs w:val="18"/>
        </w:rPr>
        <w:t>tidak</w:t>
      </w:r>
      <w:proofErr w:type="spellEnd"/>
      <w:r w:rsidRPr="00B01F49">
        <w:rPr>
          <w:rFonts w:ascii="Cambria" w:hAnsi="Cambria"/>
          <w:sz w:val="18"/>
          <w:szCs w:val="18"/>
        </w:rPr>
        <w:t xml:space="preserve"> </w:t>
      </w:r>
      <w:proofErr w:type="spellStart"/>
      <w:r w:rsidRPr="00B01F49">
        <w:rPr>
          <w:rFonts w:ascii="Cambria" w:hAnsi="Cambria"/>
          <w:sz w:val="18"/>
          <w:szCs w:val="18"/>
        </w:rPr>
        <w:t>berpengaruh</w:t>
      </w:r>
      <w:proofErr w:type="spellEnd"/>
      <w:r w:rsidRPr="00B01F49">
        <w:rPr>
          <w:rFonts w:ascii="Cambria" w:hAnsi="Cambria"/>
          <w:sz w:val="18"/>
          <w:szCs w:val="18"/>
        </w:rPr>
        <w:t xml:space="preserve"> </w:t>
      </w:r>
      <w:proofErr w:type="spellStart"/>
      <w:r w:rsidRPr="00B01F49">
        <w:rPr>
          <w:rFonts w:ascii="Cambria" w:hAnsi="Cambria"/>
          <w:sz w:val="18"/>
          <w:szCs w:val="18"/>
        </w:rPr>
        <w:t>terhadap</w:t>
      </w:r>
      <w:proofErr w:type="spellEnd"/>
      <w:r w:rsidRPr="00B01F49">
        <w:rPr>
          <w:rFonts w:ascii="Cambria" w:hAnsi="Cambria"/>
          <w:sz w:val="18"/>
          <w:szCs w:val="18"/>
        </w:rPr>
        <w:t xml:space="preserve"> </w:t>
      </w:r>
      <w:proofErr w:type="spellStart"/>
      <w:r w:rsidRPr="00B01F49">
        <w:rPr>
          <w:rFonts w:ascii="Cambria" w:hAnsi="Cambria"/>
          <w:sz w:val="18"/>
          <w:szCs w:val="18"/>
        </w:rPr>
        <w:t>Opini</w:t>
      </w:r>
      <w:proofErr w:type="spellEnd"/>
      <w:r w:rsidRPr="00B01F49">
        <w:rPr>
          <w:rFonts w:ascii="Cambria" w:hAnsi="Cambria"/>
          <w:sz w:val="18"/>
          <w:szCs w:val="18"/>
        </w:rPr>
        <w:t xml:space="preserve"> Audit </w:t>
      </w:r>
      <w:r w:rsidRPr="00B01F49">
        <w:rPr>
          <w:rFonts w:ascii="Cambria" w:hAnsi="Cambria"/>
          <w:iCs/>
          <w:sz w:val="18"/>
          <w:szCs w:val="18"/>
        </w:rPr>
        <w:t xml:space="preserve">Going Concern </w:t>
      </w:r>
      <w:proofErr w:type="spellStart"/>
      <w:r w:rsidRPr="00B01F49">
        <w:rPr>
          <w:rFonts w:ascii="Cambria" w:hAnsi="Cambria"/>
          <w:sz w:val="18"/>
          <w:szCs w:val="18"/>
        </w:rPr>
        <w:t>hal</w:t>
      </w:r>
      <w:proofErr w:type="spellEnd"/>
      <w:r w:rsidRPr="00B01F49">
        <w:rPr>
          <w:rFonts w:ascii="Cambria" w:hAnsi="Cambria"/>
          <w:sz w:val="18"/>
          <w:szCs w:val="18"/>
        </w:rPr>
        <w:t xml:space="preserve"> </w:t>
      </w:r>
      <w:proofErr w:type="spellStart"/>
      <w:r w:rsidRPr="00B01F49">
        <w:rPr>
          <w:rFonts w:ascii="Cambria" w:hAnsi="Cambria"/>
          <w:sz w:val="18"/>
          <w:szCs w:val="18"/>
        </w:rPr>
        <w:t>ini</w:t>
      </w:r>
      <w:proofErr w:type="spellEnd"/>
      <w:r w:rsidRPr="00B01F49">
        <w:rPr>
          <w:rFonts w:ascii="Cambria" w:hAnsi="Cambria"/>
          <w:sz w:val="18"/>
          <w:szCs w:val="18"/>
        </w:rPr>
        <w:t xml:space="preserve"> </w:t>
      </w:r>
      <w:proofErr w:type="spellStart"/>
      <w:r w:rsidRPr="00B01F49">
        <w:rPr>
          <w:rFonts w:ascii="Cambria" w:hAnsi="Cambria"/>
          <w:sz w:val="18"/>
          <w:szCs w:val="18"/>
        </w:rPr>
        <w:t>ditunjukkan</w:t>
      </w:r>
      <w:proofErr w:type="spellEnd"/>
      <w:r w:rsidRPr="00B01F49">
        <w:rPr>
          <w:rFonts w:ascii="Cambria" w:hAnsi="Cambria"/>
          <w:sz w:val="18"/>
          <w:szCs w:val="18"/>
        </w:rPr>
        <w:t xml:space="preserve"> </w:t>
      </w:r>
      <w:proofErr w:type="spellStart"/>
      <w:r w:rsidRPr="00B01F49">
        <w:rPr>
          <w:rFonts w:ascii="Cambria" w:hAnsi="Cambria"/>
          <w:sz w:val="18"/>
          <w:szCs w:val="18"/>
        </w:rPr>
        <w:t>dengan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koefisien</w:t>
      </w:r>
      <w:proofErr w:type="spellEnd"/>
      <w:r w:rsidRPr="00B01F49">
        <w:rPr>
          <w:rFonts w:ascii="Cambria" w:hAnsi="Cambria"/>
          <w:sz w:val="18"/>
          <w:szCs w:val="18"/>
        </w:rPr>
        <w:t xml:space="preserve"> </w:t>
      </w:r>
      <w:proofErr w:type="spellStart"/>
      <w:r w:rsidRPr="00B01F49">
        <w:rPr>
          <w:rFonts w:ascii="Cambria" w:hAnsi="Cambria"/>
          <w:sz w:val="18"/>
          <w:szCs w:val="18"/>
        </w:rPr>
        <w:t>regresi</w:t>
      </w:r>
      <w:proofErr w:type="spellEnd"/>
      <w:r w:rsidRPr="00B01F49">
        <w:rPr>
          <w:rFonts w:ascii="Cambria" w:hAnsi="Cambria"/>
          <w:sz w:val="18"/>
          <w:szCs w:val="18"/>
        </w:rPr>
        <w:t xml:space="preserve"> </w:t>
      </w:r>
      <w:proofErr w:type="spellStart"/>
      <w:r w:rsidRPr="00B01F49">
        <w:rPr>
          <w:rFonts w:ascii="Cambria" w:hAnsi="Cambria"/>
          <w:sz w:val="18"/>
          <w:szCs w:val="18"/>
        </w:rPr>
        <w:t>sebesar</w:t>
      </w:r>
      <w:proofErr w:type="spellEnd"/>
      <w:r w:rsidRPr="00B01F49">
        <w:rPr>
          <w:rFonts w:ascii="Cambria" w:hAnsi="Cambria"/>
          <w:sz w:val="18"/>
          <w:szCs w:val="18"/>
        </w:rPr>
        <w:t xml:space="preserve"> -0,020  </w:t>
      </w:r>
      <w:proofErr w:type="spellStart"/>
      <w:r w:rsidRPr="00B01F49">
        <w:rPr>
          <w:rFonts w:ascii="Cambria" w:hAnsi="Cambria"/>
          <w:sz w:val="18"/>
          <w:szCs w:val="18"/>
        </w:rPr>
        <w:t>dan</w:t>
      </w:r>
      <w:proofErr w:type="spellEnd"/>
      <w:r w:rsidRPr="00B01F49">
        <w:rPr>
          <w:rFonts w:ascii="Cambria" w:hAnsi="Cambria"/>
          <w:sz w:val="18"/>
          <w:szCs w:val="18"/>
        </w:rPr>
        <w:t xml:space="preserve"> </w:t>
      </w:r>
      <w:proofErr w:type="spellStart"/>
      <w:r w:rsidRPr="00B01F49">
        <w:rPr>
          <w:rFonts w:ascii="Cambria" w:hAnsi="Cambria"/>
          <w:sz w:val="18"/>
          <w:szCs w:val="18"/>
        </w:rPr>
        <w:t>nilai</w:t>
      </w:r>
      <w:proofErr w:type="spellEnd"/>
      <w:r w:rsidRPr="00B01F49">
        <w:rPr>
          <w:rFonts w:ascii="Cambria" w:hAnsi="Cambria"/>
          <w:sz w:val="18"/>
          <w:szCs w:val="18"/>
        </w:rPr>
        <w:t xml:space="preserve"> </w:t>
      </w:r>
      <w:proofErr w:type="spellStart"/>
      <w:r w:rsidRPr="00B01F49">
        <w:rPr>
          <w:rFonts w:ascii="Cambria" w:hAnsi="Cambria"/>
          <w:sz w:val="18"/>
          <w:szCs w:val="18"/>
        </w:rPr>
        <w:t>signifikanis</w:t>
      </w:r>
      <w:proofErr w:type="spellEnd"/>
      <w:r w:rsidRPr="00B01F49">
        <w:rPr>
          <w:rFonts w:ascii="Cambria" w:hAnsi="Cambria"/>
          <w:sz w:val="18"/>
          <w:szCs w:val="18"/>
        </w:rPr>
        <w:t xml:space="preserve"> </w:t>
      </w:r>
      <w:proofErr w:type="spellStart"/>
      <w:r w:rsidRPr="00B01F49">
        <w:rPr>
          <w:rFonts w:ascii="Cambria" w:hAnsi="Cambria"/>
          <w:sz w:val="18"/>
          <w:szCs w:val="18"/>
        </w:rPr>
        <w:t>lebih</w:t>
      </w:r>
      <w:proofErr w:type="spellEnd"/>
      <w:r w:rsidRPr="00B01F49">
        <w:rPr>
          <w:rFonts w:ascii="Cambria" w:hAnsi="Cambria"/>
          <w:sz w:val="18"/>
          <w:szCs w:val="18"/>
        </w:rPr>
        <w:t xml:space="preserve"> </w:t>
      </w:r>
      <w:proofErr w:type="spellStart"/>
      <w:r w:rsidRPr="00B01F49">
        <w:rPr>
          <w:rFonts w:ascii="Cambria" w:hAnsi="Cambria"/>
          <w:sz w:val="18"/>
          <w:szCs w:val="18"/>
        </w:rPr>
        <w:t>besar</w:t>
      </w:r>
      <w:proofErr w:type="spellEnd"/>
      <w:r w:rsidRPr="00B01F49">
        <w:rPr>
          <w:rFonts w:ascii="Cambria" w:hAnsi="Cambria"/>
          <w:sz w:val="18"/>
          <w:szCs w:val="18"/>
        </w:rPr>
        <w:t xml:space="preserve"> </w:t>
      </w:r>
      <w:proofErr w:type="spellStart"/>
      <w:r w:rsidRPr="00B01F49">
        <w:rPr>
          <w:rFonts w:ascii="Cambria" w:hAnsi="Cambria"/>
          <w:sz w:val="18"/>
          <w:szCs w:val="18"/>
        </w:rPr>
        <w:t>dari</w:t>
      </w:r>
      <w:proofErr w:type="spellEnd"/>
      <w:r w:rsidRPr="00B01F49">
        <w:rPr>
          <w:rFonts w:ascii="Cambria" w:hAnsi="Cambria"/>
          <w:sz w:val="18"/>
          <w:szCs w:val="18"/>
        </w:rPr>
        <w:t xml:space="preserve"> 0,05 </w:t>
      </w:r>
      <w:proofErr w:type="spellStart"/>
      <w:r w:rsidRPr="00B01F49">
        <w:rPr>
          <w:rFonts w:ascii="Cambria" w:hAnsi="Cambria"/>
          <w:sz w:val="18"/>
          <w:szCs w:val="18"/>
        </w:rPr>
        <w:t>yaitu</w:t>
      </w:r>
      <w:proofErr w:type="spellEnd"/>
      <w:r w:rsidRPr="00B01F49">
        <w:rPr>
          <w:rFonts w:ascii="Cambria" w:hAnsi="Cambria"/>
          <w:sz w:val="18"/>
          <w:szCs w:val="18"/>
        </w:rPr>
        <w:t xml:space="preserve"> 0,244.</w:t>
      </w:r>
    </w:p>
    <w:p w14:paraId="3A3AFB8C" w14:textId="77777777" w:rsidR="00B01F49" w:rsidRDefault="00B01F49" w:rsidP="00B01F49">
      <w:pPr>
        <w:pBdr>
          <w:bottom w:val="single" w:sz="2" w:space="3" w:color="000000" w:shadow="1"/>
        </w:pBdr>
        <w:spacing w:after="0" w:line="240" w:lineRule="auto"/>
        <w:ind w:left="567" w:right="567"/>
        <w:jc w:val="both"/>
        <w:rPr>
          <w:rFonts w:ascii="Cambria" w:eastAsia="Cambria" w:hAnsi="Cambria" w:cs="Cambria"/>
          <w:color w:val="000000"/>
          <w:sz w:val="18"/>
          <w:szCs w:val="18"/>
        </w:rPr>
      </w:pPr>
    </w:p>
    <w:p w14:paraId="03D0F3D1" w14:textId="77777777" w:rsidR="00B01F49" w:rsidRPr="00B01F49" w:rsidRDefault="00B01F49" w:rsidP="00B01F49">
      <w:pPr>
        <w:pBdr>
          <w:bottom w:val="single" w:sz="2" w:space="3" w:color="000000" w:shadow="1"/>
        </w:pBdr>
        <w:spacing w:after="0" w:line="240" w:lineRule="auto"/>
        <w:ind w:left="567" w:right="567"/>
        <w:jc w:val="both"/>
        <w:rPr>
          <w:rFonts w:ascii="Cambria" w:hAnsi="Cambria"/>
          <w:sz w:val="18"/>
          <w:szCs w:val="18"/>
        </w:rPr>
      </w:pPr>
      <w:r>
        <w:rPr>
          <w:rFonts w:ascii="Cambria" w:eastAsia="Cambria" w:hAnsi="Cambria" w:cs="Cambria"/>
          <w:color w:val="000000"/>
          <w:sz w:val="18"/>
          <w:szCs w:val="18"/>
        </w:rPr>
        <w:t xml:space="preserve">Kata </w:t>
      </w:r>
      <w:proofErr w:type="spellStart"/>
      <w:r>
        <w:rPr>
          <w:rFonts w:ascii="Cambria" w:eastAsia="Cambria" w:hAnsi="Cambria" w:cs="Cambria"/>
          <w:color w:val="000000"/>
          <w:sz w:val="18"/>
          <w:szCs w:val="18"/>
        </w:rPr>
        <w:t>k</w:t>
      </w:r>
      <w:r>
        <w:rPr>
          <w:rFonts w:ascii="Cambria" w:eastAsia="Cambria" w:hAnsi="Cambria" w:cs="Cambria"/>
          <w:sz w:val="18"/>
          <w:szCs w:val="18"/>
        </w:rPr>
        <w:t>unci</w:t>
      </w:r>
      <w:proofErr w:type="spellEnd"/>
      <w:r>
        <w:rPr>
          <w:rFonts w:ascii="Cambria" w:eastAsia="Cambria" w:hAnsi="Cambria" w:cs="Cambria"/>
          <w:sz w:val="18"/>
          <w:szCs w:val="18"/>
        </w:rPr>
        <w:t xml:space="preserve">: </w:t>
      </w:r>
      <w:proofErr w:type="spellStart"/>
      <w:r w:rsidRPr="00B01F49">
        <w:rPr>
          <w:rFonts w:ascii="Cambria" w:hAnsi="Cambria"/>
          <w:sz w:val="18"/>
          <w:szCs w:val="18"/>
        </w:rPr>
        <w:t>Opini</w:t>
      </w:r>
      <w:proofErr w:type="spellEnd"/>
      <w:r w:rsidRPr="00B01F49">
        <w:rPr>
          <w:rFonts w:ascii="Cambria" w:hAnsi="Cambria"/>
          <w:sz w:val="18"/>
          <w:szCs w:val="18"/>
        </w:rPr>
        <w:t xml:space="preserve"> Audit </w:t>
      </w:r>
      <w:r w:rsidRPr="00B01F49">
        <w:rPr>
          <w:rFonts w:ascii="Cambria" w:hAnsi="Cambria"/>
          <w:iCs/>
          <w:sz w:val="18"/>
          <w:szCs w:val="18"/>
        </w:rPr>
        <w:t xml:space="preserve">Going </w:t>
      </w:r>
      <w:proofErr w:type="spellStart"/>
      <w:r w:rsidRPr="00B01F49">
        <w:rPr>
          <w:rFonts w:ascii="Cambria" w:hAnsi="Cambria"/>
          <w:iCs/>
          <w:sz w:val="18"/>
          <w:szCs w:val="18"/>
        </w:rPr>
        <w:t>Conncern</w:t>
      </w:r>
      <w:proofErr w:type="spellEnd"/>
      <w:r w:rsidRPr="00B01F49">
        <w:rPr>
          <w:rFonts w:ascii="Cambria" w:hAnsi="Cambria"/>
          <w:sz w:val="18"/>
          <w:szCs w:val="18"/>
        </w:rPr>
        <w:t xml:space="preserve">, </w:t>
      </w:r>
      <w:proofErr w:type="spellStart"/>
      <w:r w:rsidRPr="00B01F49">
        <w:rPr>
          <w:rFonts w:ascii="Cambria" w:hAnsi="Cambria"/>
          <w:sz w:val="18"/>
          <w:szCs w:val="18"/>
        </w:rPr>
        <w:t>Pandemi</w:t>
      </w:r>
      <w:proofErr w:type="spellEnd"/>
      <w:r w:rsidRPr="00B01F49">
        <w:rPr>
          <w:rFonts w:ascii="Cambria" w:hAnsi="Cambria"/>
          <w:sz w:val="18"/>
          <w:szCs w:val="18"/>
        </w:rPr>
        <w:t xml:space="preserve"> Covid-19, </w:t>
      </w:r>
      <w:proofErr w:type="spellStart"/>
      <w:r w:rsidRPr="00B01F49">
        <w:rPr>
          <w:rFonts w:ascii="Cambria" w:hAnsi="Cambria"/>
          <w:sz w:val="18"/>
          <w:szCs w:val="18"/>
        </w:rPr>
        <w:t>Profitabilitas</w:t>
      </w:r>
      <w:proofErr w:type="spellEnd"/>
      <w:r w:rsidRPr="00B01F49">
        <w:rPr>
          <w:rFonts w:ascii="Cambria" w:hAnsi="Cambria"/>
          <w:sz w:val="18"/>
          <w:szCs w:val="18"/>
        </w:rPr>
        <w:t xml:space="preserve">, </w:t>
      </w:r>
      <w:r w:rsidRPr="00B01F49">
        <w:rPr>
          <w:rFonts w:ascii="Cambria" w:hAnsi="Cambria"/>
          <w:iCs/>
          <w:sz w:val="18"/>
          <w:szCs w:val="18"/>
        </w:rPr>
        <w:t xml:space="preserve">Leverage, </w:t>
      </w:r>
      <w:proofErr w:type="spellStart"/>
      <w:r>
        <w:rPr>
          <w:rFonts w:ascii="Cambria" w:hAnsi="Cambria"/>
          <w:sz w:val="18"/>
          <w:szCs w:val="18"/>
        </w:rPr>
        <w:t>Pertumbuhan</w:t>
      </w:r>
      <w:proofErr w:type="spellEnd"/>
      <w:r>
        <w:rPr>
          <w:rFonts w:ascii="Cambria" w:hAnsi="Cambria"/>
          <w:sz w:val="18"/>
          <w:szCs w:val="18"/>
        </w:rPr>
        <w:t xml:space="preserve"> Perusahaan</w:t>
      </w:r>
    </w:p>
    <w:p w14:paraId="668845EE" w14:textId="77777777" w:rsidR="00B01F49" w:rsidRDefault="00B01F49" w:rsidP="00B01F49">
      <w:pPr>
        <w:pBdr>
          <w:bottom w:val="single" w:sz="2" w:space="3" w:color="000000" w:shadow="1"/>
        </w:pBdr>
        <w:spacing w:after="0" w:line="240" w:lineRule="auto"/>
        <w:ind w:left="567" w:right="567"/>
        <w:jc w:val="both"/>
        <w:rPr>
          <w:rFonts w:ascii="Cambria" w:hAnsi="Cambria" w:cs="Cambria"/>
          <w:color w:val="000000"/>
          <w:sz w:val="18"/>
          <w:szCs w:val="18"/>
        </w:rPr>
      </w:pPr>
    </w:p>
    <w:p w14:paraId="231AA725" w14:textId="77777777" w:rsidR="00F04CEF" w:rsidRDefault="000F4100">
      <w:pPr>
        <w:pStyle w:val="07HEADA"/>
      </w:pPr>
      <w:r>
        <w:t>INTRODUCTION</w:t>
      </w:r>
    </w:p>
    <w:p w14:paraId="508AFC80" w14:textId="77777777" w:rsidR="00F04CEF" w:rsidRPr="00EF5BE5" w:rsidRDefault="000F4100">
      <w:pPr>
        <w:spacing w:after="0" w:line="240" w:lineRule="auto"/>
        <w:ind w:firstLine="567"/>
        <w:jc w:val="both"/>
        <w:rPr>
          <w:rFonts w:ascii="Cambria" w:hAnsi="Cambria" w:cs="Cambria"/>
          <w:color w:val="000000"/>
          <w:sz w:val="21"/>
          <w:szCs w:val="21"/>
        </w:rPr>
      </w:pPr>
      <w:r w:rsidRPr="00EF5BE5">
        <w:rPr>
          <w:rFonts w:ascii="Cambria" w:hAnsi="Cambria"/>
          <w:sz w:val="21"/>
          <w:szCs w:val="21"/>
        </w:rPr>
        <w:t xml:space="preserve">Financial statements are designed to provide reliable information about changes in a company's net worth due to its </w:t>
      </w:r>
      <w:r w:rsidR="0074664A" w:rsidRPr="00EF5BE5">
        <w:rPr>
          <w:rFonts w:ascii="Cambria" w:hAnsi="Cambria"/>
          <w:sz w:val="21"/>
          <w:szCs w:val="21"/>
        </w:rPr>
        <w:t>operating</w:t>
      </w:r>
      <w:r w:rsidRPr="00EF5BE5">
        <w:rPr>
          <w:rFonts w:ascii="Cambria" w:hAnsi="Cambria"/>
          <w:sz w:val="21"/>
          <w:szCs w:val="21"/>
        </w:rPr>
        <w:t xml:space="preserve"> activities. </w:t>
      </w:r>
      <w:r w:rsidR="00825989" w:rsidRPr="00EF5BE5">
        <w:rPr>
          <w:rFonts w:ascii="Cambria" w:hAnsi="Cambria"/>
          <w:sz w:val="21"/>
          <w:szCs w:val="21"/>
        </w:rPr>
        <w:fldChar w:fldCharType="begin" w:fldLock="1"/>
      </w:r>
      <w:r w:rsidR="00825989" w:rsidRPr="00EF5BE5">
        <w:rPr>
          <w:rFonts w:ascii="Cambria" w:hAnsi="Cambria"/>
          <w:sz w:val="21"/>
          <w:szCs w:val="21"/>
        </w:rPr>
        <w:instrText>ADDIN CSL_CITATION {"citationItems":[{"id":"ITEM-1","itemData":{"DOI":"10.35808/ersj/1006","ISSN":"11082976","abstract":"In connection with the development of transforming the economy, the need for forecasting and analyzing the consequences of managerial decisions becomes more pressing. To substantiate and evaluate such decisions, a tool for prospective analysis of financial statements of companies is used. In recent years, the content and structure of a company's financial statements have undergone significant changes. With the development of economic relations, the principles of organization and methodology of accounting and reporting are also dynamically changing. The issues of reforming financial statements of a company are constantly discussed at international congresses of accountants and other professional forums. The purpose of the study is to improve the concept of preparing financial statements of a company as an information base for taking decisions in a transforming economy. As a result of the research, the economic essence of company's financial statements is substantiated from the point of view of an integrated approach; the importance of financial statements of an organization for effective management is determined; the main financial and non-financial indicators are systematized; it is proposed to introduce a mandatory requirement for disclosure of non-financial indicators in the corporate reporting system; proposals have been elaborated to improve the methods for analyzing financial statements as a tool for managing a company.","author":[{"dropping-particle":"","family":"Osadchy","given":"E. A.","non-dropping-particle":"","parse-names":false,"suffix":""},{"dropping-particle":"","family":"Akhmetshin","given":"E. M.","non-dropping-particle":"","parse-names":false,"suffix":""},{"dropping-particle":"","family":"Amirova","given":"Elmira Faylovna","non-dropping-particle":"","parse-names":false,"suffix":""},{"dropping-particle":"","family":"Bochkareva","given":"T. N.","non-dropping-particle":"","parse-names":false,"suffix":""},{"dropping-particle":"","family":"Gazizyanova","given":"Yuliya Yunusovna","non-dropping-particle":"","parse-names":false,"suffix":""},{"dropping-particle":"V.","family":"Yumashev","given":"A.","non-dropping-particle":"","parse-names":false,"suffix":""}],"container-title":"European Research Studies Journal","id":"ITEM-1","issue":"2","issued":{"date-parts":[["2018"]]},"page":"339-350","title":"Financial statements of a company as an information base for decision-making in a transforming economy","type":"article-journal","volume":"21"},"uris":["http://www.mendeley.com/documents/?uuid=15e036d2-a1ec-4da4-ac4f-d2bfe109bc59"]}],"mendeley":{"formattedCitation":"(Osadchy et al., 2018)","manualFormatting":"(Osadchy et al., 2018","plainTextFormattedCitation":"(Osadchy et al., 2018)","previouslyFormattedCitation":"(Osadchy et al., 2018)"},"properties":{"noteIndex":0},"schema":"https://github.com/citation-style-language/schema/raw/master/csl-citation.json"}</w:instrText>
      </w:r>
      <w:r w:rsidR="00825989" w:rsidRPr="00EF5BE5">
        <w:rPr>
          <w:rFonts w:ascii="Cambria" w:hAnsi="Cambria"/>
          <w:sz w:val="21"/>
          <w:szCs w:val="21"/>
        </w:rPr>
        <w:fldChar w:fldCharType="separate"/>
      </w:r>
      <w:r w:rsidR="0074664A" w:rsidRPr="00EF5BE5">
        <w:rPr>
          <w:rFonts w:ascii="Cambria" w:hAnsi="Cambria"/>
          <w:noProof/>
          <w:sz w:val="21"/>
          <w:szCs w:val="21"/>
        </w:rPr>
        <w:t>(Osadchy et al., 2018</w:t>
      </w:r>
      <w:r w:rsidR="00825989" w:rsidRPr="00EF5BE5">
        <w:rPr>
          <w:rFonts w:ascii="Cambria" w:hAnsi="Cambria"/>
          <w:sz w:val="21"/>
          <w:szCs w:val="21"/>
        </w:rPr>
        <w:fldChar w:fldCharType="end"/>
      </w:r>
      <w:r w:rsidR="00825989" w:rsidRPr="00EF5BE5">
        <w:rPr>
          <w:rFonts w:ascii="Cambria" w:hAnsi="Cambria"/>
          <w:sz w:val="21"/>
          <w:szCs w:val="21"/>
        </w:rPr>
        <w:t xml:space="preserve">; </w:t>
      </w:r>
      <w:r w:rsidR="000C0301" w:rsidRPr="00EF5BE5">
        <w:rPr>
          <w:rFonts w:ascii="Cambria" w:hAnsi="Cambria"/>
          <w:sz w:val="21"/>
          <w:szCs w:val="21"/>
        </w:rPr>
        <w:fldChar w:fldCharType="begin" w:fldLock="1"/>
      </w:r>
      <w:r w:rsidR="000C0301" w:rsidRPr="00EF5BE5">
        <w:rPr>
          <w:rFonts w:ascii="Cambria" w:hAnsi="Cambria"/>
          <w:sz w:val="21"/>
          <w:szCs w:val="21"/>
        </w:rPr>
        <w:instrText>ADDIN CSL_CITATION {"citationItems":[{"id":"ITEM-1","itemData":{"DOI":"10.1016/j.resglo.2022.100093","ISSN":"2590051X","abstract":"Financial statement analysts are concerned about the earnings power of companies, thus reliable information from a quality external audit and financial reporting is important as it will have an effect on the performances of GCC companies. On that note, underpinned by the agency theory, this study examines the effects of financial reporting quality, audit quality, and earnings power on companies’ performances of the six Arabian GCC countries (Saudi Arabia, Bahrain, Oman, Qatar, Kuwait, and the United Arab Emirates). Company performance is measured using the accounting measures, i.e., return on assets and market-to-book value (ROA, M/B) and the market measures (Tobin's Q, EPS). The data sample of this study covers the period between 2013 and 2017, (pre-covid-19), across 191 companies, using 1337 company-years observations. The study uses EGLS Panel Data Regression analysis. The results of the study indicate that earnings power, audit quality, and financial reporting quality have positive effects on companies’ performance. The agency theory confirms that financial reporting quality and audit quality increases the reliability of financial statements and decreases information asymmetry.","author":[{"dropping-particle":"","family":"Alsmady","given":"Ahnaf Ali","non-dropping-particle":"","parse-names":false,"suffix":""}],"container-title":"Research in Globalization","id":"ITEM-1","issued":{"date-parts":[["2022"]]},"page":"1-13","publisher":"Elsevier Ltd","title":"Quality of financial reporting, external audit, earnings power and companies performance: The case of Gulf Corporate Council Countries","type":"article-journal","volume":"5"},"uris":["http://www.mendeley.com/documents/?uuid=35b59cf5-009f-4ec9-a9ca-3333a5c1c439"]}],"mendeley":{"formattedCitation":"(Alsmady, 2022)","manualFormatting":"Alsmady, 2022)","plainTextFormattedCitation":"(Alsmady, 2022)","previouslyFormattedCitation":"(Alsmady, 2022)"},"properties":{"noteIndex":0},"schema":"https://github.com/citation-style-language/schema/raw/master/csl-citation.json"}</w:instrText>
      </w:r>
      <w:r w:rsidR="000C0301" w:rsidRPr="00EF5BE5">
        <w:rPr>
          <w:rFonts w:ascii="Cambria" w:hAnsi="Cambria"/>
          <w:sz w:val="21"/>
          <w:szCs w:val="21"/>
        </w:rPr>
        <w:fldChar w:fldCharType="separate"/>
      </w:r>
      <w:r w:rsidR="00825989" w:rsidRPr="00EF5BE5">
        <w:rPr>
          <w:rFonts w:ascii="Cambria" w:hAnsi="Cambria"/>
          <w:noProof/>
          <w:sz w:val="21"/>
          <w:szCs w:val="21"/>
        </w:rPr>
        <w:t>Alsmady, 2022)</w:t>
      </w:r>
      <w:r w:rsidR="000C0301" w:rsidRPr="00EF5BE5">
        <w:rPr>
          <w:rFonts w:ascii="Cambria" w:hAnsi="Cambria"/>
          <w:sz w:val="21"/>
          <w:szCs w:val="21"/>
        </w:rPr>
        <w:fldChar w:fldCharType="end"/>
      </w:r>
      <w:r w:rsidRPr="00EF5BE5">
        <w:rPr>
          <w:rFonts w:ascii="Cambria" w:hAnsi="Cambria"/>
          <w:sz w:val="21"/>
          <w:szCs w:val="21"/>
        </w:rPr>
        <w:t xml:space="preserve">. Financial statements are the most important part used by companies to communicate the company's financial situation to users of </w:t>
      </w:r>
      <w:r w:rsidR="000C0301" w:rsidRPr="00EF5BE5">
        <w:rPr>
          <w:rFonts w:ascii="Cambria" w:hAnsi="Cambria"/>
          <w:sz w:val="21"/>
          <w:szCs w:val="21"/>
        </w:rPr>
        <w:t>financial</w:t>
      </w:r>
      <w:r w:rsidRPr="00EF5BE5">
        <w:rPr>
          <w:rFonts w:ascii="Cambria" w:hAnsi="Cambria"/>
          <w:sz w:val="21"/>
          <w:szCs w:val="21"/>
        </w:rPr>
        <w:t xml:space="preserve"> statements. </w:t>
      </w:r>
      <w:r w:rsidR="00676A60" w:rsidRPr="00EF5BE5">
        <w:rPr>
          <w:rFonts w:ascii="Cambria" w:hAnsi="Cambria"/>
          <w:sz w:val="21"/>
          <w:szCs w:val="21"/>
        </w:rPr>
        <w:fldChar w:fldCharType="begin" w:fldLock="1"/>
      </w:r>
      <w:r w:rsidR="00676A60" w:rsidRPr="00EF5BE5">
        <w:rPr>
          <w:rFonts w:ascii="Cambria" w:hAnsi="Cambria"/>
          <w:sz w:val="21"/>
          <w:szCs w:val="21"/>
        </w:rPr>
        <w:instrText>ADDIN CSL_CITATION {"citationItems":[{"id":"ITEM-1","itemData":{"DOI":"10.1016/j.spc.2022.11.015","ISSN":"23525509","abstract":"Sustainability, Corporate Social Responsibility (CSR), and non-financial reporting and their relationships with company performance are burning topics. Although all these terms are familiar to companies, specifically large ones, most European companies are small and medium-sized enterprises (SMEs), and studies explicitly addressing SMEs are limited. For this reason, this paper aims to fill the existent gap in the literature concerning SMEs by analyzing the relationship between sustainability, CSR, non-financial information, and performance. The objective of this study is to analyze several aspects: (1) The influence of pressures, incentives, and barriers on sustainability, (2) The influence of sustainability, CSR, and non-financial disclosure on performance, and (3) The mediating effect of CSR and non-financial disclosure. For this purpose, there has been an e-mail survey to managers, financial directors, or administration managers of Spanish SMEs. In addition, a Partial Least Squares Structural Equation Modelling (PLS-SEM) model has been used on a final sample of 126 Spanish SMEs. The study's main outcome is that sustainability positively influences CSR and non-financial reporting in the case of SMEs. Therefore, regardless of the specific characteristics derived from the size of the company and the possible lack of resources, the results for SMEs align with those of large companies obtained by previous studies. This study has important academic/theoretical implications for SME managers and policymakers because implementing policies encouraging CSR practices and sustainability strategies will create a better society and positively impact SMEs' performance.","author":[{"dropping-particle":"","family":"Ortiz-Martínez","given":"Esther","non-dropping-particle":"","parse-names":false,"suffix":""},{"dropping-particle":"","family":"Marín-Hernández","given":"Salvador","non-dropping-particle":"","parse-names":false,"suffix":""},{"dropping-particle":"","family":"Santos-Jaén","given":"Jose Manuel","non-dropping-particle":"","parse-names":false,"suffix":""}],"container-title":"Sustainable Production and Consumption","id":"ITEM-1","issued":{"date-parts":[["2023"]]},"page":"349-364","title":"Sustainability, corporate social responsibility, non-financial reporting and company performance: Relationships and mediating effects in Spanish small and medium sized enterprises","type":"article-journal","volume":"35"},"uris":["http://www.mendeley.com/documents/?uuid=358a49b8-1a2f-447b-9742-af3042267d2b"]}],"mendeley":{"formattedCitation":"(Ortiz-Martínez et al., 2023)","plainTextFormattedCitation":"(Ortiz-Martínez et al., 2023)","previouslyFormattedCitation":"(Ortiz-Martínez et al., 2023)"},"properties":{"noteIndex":0},"schema":"https://github.com/citation-style-language/schema/raw/master/csl-citation.json"}</w:instrText>
      </w:r>
      <w:r w:rsidR="00676A60" w:rsidRPr="00EF5BE5">
        <w:rPr>
          <w:rFonts w:ascii="Cambria" w:hAnsi="Cambria"/>
          <w:sz w:val="21"/>
          <w:szCs w:val="21"/>
        </w:rPr>
        <w:fldChar w:fldCharType="separate"/>
      </w:r>
      <w:r w:rsidR="000C0301" w:rsidRPr="00EF5BE5">
        <w:rPr>
          <w:rFonts w:ascii="Cambria" w:hAnsi="Cambria"/>
          <w:noProof/>
          <w:sz w:val="21"/>
          <w:szCs w:val="21"/>
        </w:rPr>
        <w:t>(Ortiz-Martínez et al., 2023).</w:t>
      </w:r>
      <w:r w:rsidR="00676A60" w:rsidRPr="00EF5BE5">
        <w:rPr>
          <w:rFonts w:ascii="Cambria" w:hAnsi="Cambria"/>
          <w:sz w:val="21"/>
          <w:szCs w:val="21"/>
        </w:rPr>
        <w:fldChar w:fldCharType="end"/>
      </w:r>
      <w:r w:rsidRPr="00EF5BE5">
        <w:rPr>
          <w:rFonts w:ascii="Cambria" w:hAnsi="Cambria"/>
          <w:sz w:val="21"/>
          <w:szCs w:val="21"/>
        </w:rPr>
        <w:t xml:space="preserve"> Information presented correctly will give </w:t>
      </w:r>
      <w:r w:rsidR="00FE11F9" w:rsidRPr="00EF5BE5">
        <w:rPr>
          <w:rFonts w:ascii="Cambria" w:hAnsi="Cambria"/>
          <w:sz w:val="21"/>
          <w:szCs w:val="21"/>
        </w:rPr>
        <w:t>investors</w:t>
      </w:r>
      <w:r w:rsidRPr="00EF5BE5">
        <w:rPr>
          <w:rFonts w:ascii="Cambria" w:hAnsi="Cambria"/>
          <w:sz w:val="21"/>
          <w:szCs w:val="21"/>
        </w:rPr>
        <w:t xml:space="preserve"> confidence in investing in </w:t>
      </w:r>
      <w:r w:rsidR="00A30917" w:rsidRPr="00EF5BE5">
        <w:rPr>
          <w:rFonts w:ascii="Cambria" w:hAnsi="Cambria"/>
          <w:sz w:val="21"/>
          <w:szCs w:val="21"/>
        </w:rPr>
        <w:t>the</w:t>
      </w:r>
      <w:r w:rsidRPr="00EF5BE5">
        <w:rPr>
          <w:rFonts w:ascii="Cambria" w:hAnsi="Cambria"/>
          <w:sz w:val="21"/>
          <w:szCs w:val="21"/>
        </w:rPr>
        <w:t xml:space="preserve"> company  </w:t>
      </w:r>
      <w:r w:rsidR="00CC1AB7" w:rsidRPr="00EF5BE5">
        <w:rPr>
          <w:rFonts w:ascii="Cambria" w:hAnsi="Cambria"/>
          <w:sz w:val="21"/>
          <w:szCs w:val="21"/>
        </w:rPr>
        <w:fldChar w:fldCharType="begin" w:fldLock="1"/>
      </w:r>
      <w:r w:rsidR="00CC1AB7" w:rsidRPr="00EF5BE5">
        <w:rPr>
          <w:rFonts w:ascii="Cambria" w:hAnsi="Cambria"/>
          <w:sz w:val="21"/>
          <w:szCs w:val="21"/>
        </w:rPr>
        <w:instrText>ADDIN CSL_CITATION {"citationItems":[{"id":"ITEM-1","itemData":{"DOI":"10.1016/j.mlwa.2022.100432","ISSN":"26668270","abstract":"By increasing mobile devices in technology and human life, using a runtime and mobile services has gotten more complex along with the composition of a large number of atomic services. Different services are provided by mobile cloud components to represent the non- functional properties as Quality of Service (QoS), which is applied by a set of standards. On the other hand, the growth of the energy-source heterogeneity in mobile clouds is an emerging challenge according to the energy saving problem in mobile nodes. In order to mobile cloud service composition as an NP-Hard problem, an efficient selection method should be taken by problem using optimal energy-aware methods that can extend the deployment and interoperability of mobile cloud components. Also, an energy-aware service composition mechanism is required to preserve high energy saving scenarios for mobile cloud components. In this paper, an energy-aware mechanism is applied to optimize mobile cloud service composition using a hybrid Shuffled Frog Leaping Algorithm and Genetic Algorithm (SFGA). Experimental results capture that the proposed mechanism improves the feasibility of the service composition with minimum energy consumption, response time, and cost for mobile cloud components against some current algorithms.","author":[{"dropping-particle":"","family":"Aydin","given":"Nezir","non-dropping-particle":"","parse-names":false,"suffix":""},{"dropping-particle":"","family":"Sahin","given":"Nida","non-dropping-particle":"","parse-names":false,"suffix":""},{"dropping-particle":"","family":"Deveci","given":"Muhammet","non-dropping-particle":"","parse-names":false,"suffix":""},{"dropping-particle":"","family":"Pamucar","given":"Dragan","non-dropping-particle":"","parse-names":false,"suffix":""}],"container-title":"Machine Learning with Applications","id":"ITEM-1","issued":{"date-parts":[["2022"]]},"page":"1-13","publisher":"Elsevier Ltd.","title":"Prediction of financial distress of companies with artificial neural networks and decision trees models","type":"article-journal","volume":"10"},"uris":["http://www.mendeley.com/documents/?uuid=b9ea01a8-d41a-4bd7-b724-e80881a95437"]}],"mendeley":{"formattedCitation":"(Aydin et al., 2022)","plainTextFormattedCitation":"(Aydin et al., 2022)","previouslyFormattedCitation":"(Aydin et al., 2022)"},"properties":{"noteIndex":0},"schema":"https://github.com/citation-style-language/schema/raw/master/csl-citation.json"}</w:instrText>
      </w:r>
      <w:r w:rsidR="00CC1AB7" w:rsidRPr="00EF5BE5">
        <w:rPr>
          <w:rFonts w:ascii="Cambria" w:hAnsi="Cambria"/>
          <w:sz w:val="21"/>
          <w:szCs w:val="21"/>
        </w:rPr>
        <w:fldChar w:fldCharType="separate"/>
      </w:r>
      <w:r w:rsidR="00A30917" w:rsidRPr="00EF5BE5">
        <w:rPr>
          <w:rFonts w:ascii="Cambria" w:hAnsi="Cambria"/>
          <w:noProof/>
          <w:sz w:val="21"/>
          <w:szCs w:val="21"/>
        </w:rPr>
        <w:t>(Aydin et al., 2022).</w:t>
      </w:r>
      <w:r w:rsidR="00CC1AB7" w:rsidRPr="00EF5BE5">
        <w:rPr>
          <w:rFonts w:ascii="Cambria" w:hAnsi="Cambria"/>
          <w:sz w:val="21"/>
          <w:szCs w:val="21"/>
        </w:rPr>
        <w:fldChar w:fldCharType="end"/>
      </w:r>
      <w:r w:rsidR="00FE11F9" w:rsidRPr="00EF5BE5">
        <w:rPr>
          <w:rFonts w:ascii="Cambria" w:hAnsi="Cambria"/>
          <w:sz w:val="21"/>
          <w:szCs w:val="21"/>
        </w:rPr>
        <w:t xml:space="preserve"> </w:t>
      </w:r>
      <w:r w:rsidRPr="00EF5BE5">
        <w:rPr>
          <w:rFonts w:ascii="Cambria" w:hAnsi="Cambria"/>
          <w:sz w:val="21"/>
          <w:szCs w:val="21"/>
        </w:rPr>
        <w:t xml:space="preserve">However, because there are several factors of company interests, management does not report the entire company's performance in the financial statements. Therefore, the auditor's role is very important as a liaison between users of financial statements and </w:t>
      </w:r>
      <w:r w:rsidR="00676A60" w:rsidRPr="00EF5BE5">
        <w:rPr>
          <w:rFonts w:ascii="Cambria" w:hAnsi="Cambria"/>
          <w:sz w:val="21"/>
          <w:szCs w:val="21"/>
        </w:rPr>
        <w:t>company</w:t>
      </w:r>
      <w:r w:rsidRPr="00EF5BE5">
        <w:rPr>
          <w:rFonts w:ascii="Cambria" w:hAnsi="Cambria"/>
          <w:sz w:val="21"/>
          <w:szCs w:val="21"/>
        </w:rPr>
        <w:t xml:space="preserve"> management (Sun et al., 2023). </w:t>
      </w:r>
      <w:r w:rsidR="00A30917" w:rsidRPr="00EF5BE5">
        <w:rPr>
          <w:rFonts w:ascii="Cambria" w:hAnsi="Cambria"/>
          <w:sz w:val="21"/>
          <w:szCs w:val="21"/>
        </w:rPr>
        <w:fldChar w:fldCharType="begin" w:fldLock="1"/>
      </w:r>
      <w:r w:rsidR="00A30917" w:rsidRPr="00EF5BE5">
        <w:rPr>
          <w:rFonts w:ascii="Cambria" w:hAnsi="Cambria"/>
          <w:sz w:val="21"/>
          <w:szCs w:val="21"/>
        </w:rPr>
        <w:instrText>ADDIN CSL_CITATION {"citationItems":[{"id":"ITEM-1","itemData":{"DOI":"10.1016/j.crm.2022.100474","ISSN":"22120963","abstract":"The frequency, intensity and duration of extreme weather events have seriously affected human life and production. The electric power sector is the foundation of economic activity as well as a core participant in the adaptation and mitigation of climate change. Therefore, in the context of climate change, it is crucial for the stable operation of the national economy for power sector to cope with different climate change risks and improve their adaptability to climate change. In this paper, listed power companies in China are selected as samples to analyse the impact of climate change risk on the financial performance of the power system's supply and transmission-distribution sides. The empirical results show a significant positive correlation between climate change risks and the financial performance of listed electric power companies. The rainfall index and drought index positively impact the financial performance of listed electric power companies. The cryogenic freezing index has a negative impact on the financial performance of listed electric power companies., which is further analysed and proved that a cryogenic freezing disaster will cause the regional breakdown of the power system. The operating cost ratio and the proportion of clean energy supply play a mediating effect on the correlation between the comprehensive climate risk index and the return on equity of companies. To increase electric power companies' ability to adapt to climate change, climate change risks should be integrated into the risk management framework, and the company's financial performance can be improved by optimizing the energy mix and constructing safe lines. The government can promote the transformation of electric power companies by launching green financial tools.","author":[{"dropping-particle":"","family":"Sun","given":"Yongping","non-dropping-particle":"","parse-names":false,"suffix":""},{"dropping-particle":"","family":"Zou","given":"Ya","non-dropping-particle":"","parse-names":false,"suffix":""},{"dropping-particle":"","family":"Jiang","given":"Jingning","non-dropping-particle":"","parse-names":false,"suffix":""},{"dropping-particle":"","family":"Yang","given":"Ying","non-dropping-particle":"","parse-names":false,"suffix":""}],"container-title":"Climate Risk Management","id":"ITEM-1","issued":{"date-parts":[["2023"]]},"page":"1-15","publisher":"Elsevier B.V.","title":"Climate change risks and financial performance of the electric power sector: Evidence from listed companies in China","type":"article-journal","volume":"39"},"uris":["http://www.mendeley.com/documents/?uuid=09a48638-6234-4adf-bc6f-d3610ec7b170"]}],"mendeley":{"formattedCitation":"(Sun et al., 2023)","plainTextFormattedCitation":"(Sun et al., 2023)","previouslyFormattedCitation":"(Sun et al., 2023)"},"properties":{"noteIndex":0},"schema":"https://github.com/citation-style-language/schema/raw/master/csl-citation.json"}</w:instrText>
      </w:r>
      <w:r w:rsidR="00A30917" w:rsidRPr="00EF5BE5">
        <w:rPr>
          <w:rFonts w:ascii="Cambria" w:hAnsi="Cambria"/>
          <w:sz w:val="21"/>
          <w:szCs w:val="21"/>
        </w:rPr>
        <w:fldChar w:fldCharType="separate"/>
      </w:r>
      <w:proofErr w:type="gramStart"/>
      <w:r w:rsidR="00676A60" w:rsidRPr="00EF5BE5">
        <w:rPr>
          <w:rFonts w:ascii="Cambria" w:hAnsi="Cambria"/>
          <w:noProof/>
          <w:sz w:val="21"/>
          <w:szCs w:val="21"/>
        </w:rPr>
        <w:t>(Sun et al., 2023)</w:t>
      </w:r>
      <w:r w:rsidR="00A30917" w:rsidRPr="00EF5BE5">
        <w:rPr>
          <w:rFonts w:ascii="Cambria" w:hAnsi="Cambria"/>
          <w:sz w:val="21"/>
          <w:szCs w:val="21"/>
        </w:rPr>
        <w:fldChar w:fldCharType="end"/>
      </w:r>
      <w:r w:rsidRPr="00EF5BE5">
        <w:rPr>
          <w:rFonts w:ascii="Cambria" w:hAnsi="Cambria"/>
          <w:sz w:val="21"/>
          <w:szCs w:val="21"/>
        </w:rPr>
        <w:t>.</w:t>
      </w:r>
      <w:proofErr w:type="gramEnd"/>
      <w:r w:rsidRPr="00EF5BE5">
        <w:rPr>
          <w:rFonts w:ascii="Cambria" w:hAnsi="Cambria"/>
          <w:sz w:val="21"/>
          <w:szCs w:val="21"/>
        </w:rPr>
        <w:t xml:space="preserve"> </w:t>
      </w:r>
    </w:p>
    <w:p w14:paraId="7F058DF7" w14:textId="77777777" w:rsidR="00F04CEF" w:rsidRPr="00EF5BE5" w:rsidRDefault="000F4100">
      <w:pPr>
        <w:pStyle w:val="Default"/>
        <w:ind w:firstLine="567"/>
        <w:jc w:val="both"/>
        <w:rPr>
          <w:rFonts w:ascii="Cambria" w:hAnsi="Cambria"/>
          <w:sz w:val="21"/>
          <w:szCs w:val="21"/>
        </w:rPr>
      </w:pPr>
      <w:r w:rsidRPr="00EF5BE5">
        <w:rPr>
          <w:rFonts w:ascii="Cambria" w:hAnsi="Cambria"/>
          <w:sz w:val="21"/>
          <w:szCs w:val="21"/>
        </w:rPr>
        <w:t xml:space="preserve">The auditor is responsible for expressing an opinion following the company's condition </w:t>
      </w:r>
      <w:r w:rsidR="00A45831" w:rsidRPr="00EF5BE5">
        <w:rPr>
          <w:rFonts w:ascii="Cambria" w:hAnsi="Cambria"/>
          <w:sz w:val="21"/>
          <w:szCs w:val="21"/>
          <w:lang w:val="en-US"/>
        </w:rPr>
        <w:fldChar w:fldCharType="begin" w:fldLock="1"/>
      </w:r>
      <w:r w:rsidR="00A45831" w:rsidRPr="00EF5BE5">
        <w:rPr>
          <w:rFonts w:ascii="Cambria" w:hAnsi="Cambria"/>
          <w:sz w:val="21"/>
          <w:szCs w:val="21"/>
          <w:lang w:val="en-US"/>
        </w:rPr>
        <w:instrText>ADDIN CSL_CITATION {"citationItems":[{"id":"ITEM-1","itemData":{"DOI":"10.1016/j.eswa.2022.117981","author":[{"dropping-particle":"","family":"Economics","given":"Actuarial","non-dropping-particle":"","parse-names":false,"suffix":""},{"dropping-particle":"De","family":"Alarc","given":"Pozuelo","non-dropping-particle":"","parse-names":false,"suffix":""},{"dropping-particle":"De","family":"Alarc","given":"Pozuelo","non-dropping-particle":"","parse-names":false,"suffix":""}],"container-title":"Expert Systems with Applications","id":"ITEM-1","issued":{"date-parts":[["2022"]]},"page":"1-13","title":"Detection of shell companies in financial institutions using dynamic social network","type":"article-journal","volume":"207"},"uris":["http://www.mendeley.com/documents/?uuid=14cdad1f-f27b-421b-81e2-aa249f6aadd3"]}],"mendeley":{"formattedCitation":"(Economics et al., 2022)","plainTextFormattedCitation":"(Economics et al., 2022)","previouslyFormattedCitation":"(Economics et al., 2022)"},"properties":{"noteIndex":0},"schema":"https://github.com/citation-style-language/schema/raw/master/csl-citation.json"}</w:instrText>
      </w:r>
      <w:r w:rsidR="00A45831" w:rsidRPr="00EF5BE5">
        <w:rPr>
          <w:rFonts w:ascii="Cambria" w:hAnsi="Cambria"/>
          <w:sz w:val="21"/>
          <w:szCs w:val="21"/>
          <w:lang w:val="en-US"/>
        </w:rPr>
        <w:fldChar w:fldCharType="separate"/>
      </w:r>
      <w:r w:rsidR="00A45831" w:rsidRPr="00EF5BE5">
        <w:rPr>
          <w:rFonts w:ascii="Cambria" w:hAnsi="Cambria"/>
          <w:noProof/>
          <w:sz w:val="21"/>
          <w:szCs w:val="21"/>
          <w:lang w:val="en-US"/>
        </w:rPr>
        <w:t>(Economics et al., 2022)</w:t>
      </w:r>
      <w:r w:rsidR="00A45831" w:rsidRPr="00EF5BE5">
        <w:rPr>
          <w:rFonts w:ascii="Cambria" w:hAnsi="Cambria"/>
          <w:sz w:val="21"/>
          <w:szCs w:val="21"/>
          <w:lang w:val="en-US"/>
        </w:rPr>
        <w:fldChar w:fldCharType="end"/>
      </w:r>
      <w:r w:rsidR="00CC1AB7" w:rsidRPr="00EF5BE5">
        <w:rPr>
          <w:rFonts w:ascii="Cambria" w:hAnsi="Cambria"/>
          <w:sz w:val="21"/>
          <w:szCs w:val="21"/>
          <w:lang w:val="en-US"/>
        </w:rPr>
        <w:t xml:space="preserve">. </w:t>
      </w:r>
      <w:r w:rsidRPr="00EF5BE5">
        <w:rPr>
          <w:rFonts w:ascii="Cambria" w:hAnsi="Cambria"/>
          <w:sz w:val="21"/>
          <w:szCs w:val="21"/>
        </w:rPr>
        <w:t xml:space="preserve">One of the responsibilities is to describe the company's condition through </w:t>
      </w:r>
      <w:r w:rsidRPr="00EF5BE5">
        <w:rPr>
          <w:rFonts w:ascii="Cambria" w:hAnsi="Cambria"/>
          <w:iCs/>
          <w:sz w:val="21"/>
          <w:szCs w:val="21"/>
        </w:rPr>
        <w:t xml:space="preserve">a going </w:t>
      </w:r>
      <w:r w:rsidR="00A45831" w:rsidRPr="00EF5BE5">
        <w:rPr>
          <w:rFonts w:ascii="Cambria" w:hAnsi="Cambria"/>
          <w:iCs/>
          <w:sz w:val="21"/>
          <w:szCs w:val="21"/>
          <w:lang w:val="en-US"/>
        </w:rPr>
        <w:t xml:space="preserve">concern </w:t>
      </w:r>
      <w:r w:rsidRPr="00EF5BE5">
        <w:rPr>
          <w:rFonts w:ascii="Cambria" w:hAnsi="Cambria"/>
          <w:sz w:val="21"/>
          <w:szCs w:val="21"/>
        </w:rPr>
        <w:t xml:space="preserve">audit opinion. </w:t>
      </w:r>
      <w:r w:rsidR="00A45831" w:rsidRPr="00EF5BE5">
        <w:rPr>
          <w:rFonts w:ascii="Cambria" w:hAnsi="Cambria"/>
          <w:iCs/>
          <w:sz w:val="21"/>
          <w:szCs w:val="21"/>
          <w:lang w:val="en-US"/>
        </w:rPr>
        <w:fldChar w:fldCharType="begin" w:fldLock="1"/>
      </w:r>
      <w:r w:rsidR="00A45831" w:rsidRPr="00EF5BE5">
        <w:rPr>
          <w:rFonts w:ascii="Cambria" w:hAnsi="Cambria"/>
          <w:iCs/>
          <w:sz w:val="21"/>
          <w:szCs w:val="21"/>
          <w:lang w:val="en-US"/>
        </w:rPr>
        <w:instrText>ADDIN CSL_CITATION {"citationItems":[{"id":"ITEM-1","itemData":{"DOI":"10.1016/j.adiac.2021.100549","ISSN":"08826110","abstract":"I examine how the appearance of managerial overconfidence and managerial ability affect 1) auditors' decisions to issue a going concern opinion and 2) auditor dismissal rates after issuing a going concern opinion. Managerial attributes are likely to have an influence on auditors' decisions because auditors obtain and evaluate information about client management's remedy plans when there is substantial doubt about the entity's ability to continue as a going concern. While prior literature on managerial overconfidence classifies all managers who demonstrate overconfident behaviors in one group, I argue that the literature needs to take managerial ability into consideration when measuring overconfidence. I find that auditors are more likely to issue a going concern opinion to clients with seemingly overconfident managers only when the management who appears overconfident is also incompetent. I also find that auditors are more likely to be dismissed after issuance of a going concern opinion when the client company has seemingly overconfident management. Finally, I find that the association between managerial overconfidence and auditor dismissal subsequent to issuance of a going concern opinion is stronger when management is relatively more powerful than the company's audit committee.","author":[{"dropping-particle":"","family":"Kim","given":"Mindy (Hyo Jung)","non-dropping-particle":"","parse-names":false,"suffix":""}],"container-title":"Advances in Accounting","id":"ITEM-1","issue":"July","issued":{"date-parts":[["2021"]]},"page":"1-15","publisher":"Elsevier Ltd","title":"Effects of managerial overconfidence and ability on going-concern decisions and auditor turnover","type":"article-journal","volume":"54"},"uris":["http://www.mendeley.com/documents/?uuid=175e94f1-27a5-4959-aecb-886300a15199"]}],"mendeley":{"formattedCitation":"(Kim, 2021)","plainTextFormattedCitation":"(Kim, 2021)","previouslyFormattedCitation":"(Kim, 2021)"},"properties":{"noteIndex":0},"schema":"https://github.com/citation-style-language/schema/raw/master/csl-citation.json"}</w:instrText>
      </w:r>
      <w:r w:rsidR="00A45831" w:rsidRPr="00EF5BE5">
        <w:rPr>
          <w:rFonts w:ascii="Cambria" w:hAnsi="Cambria"/>
          <w:iCs/>
          <w:sz w:val="21"/>
          <w:szCs w:val="21"/>
          <w:lang w:val="en-US"/>
        </w:rPr>
        <w:fldChar w:fldCharType="separate"/>
      </w:r>
      <w:proofErr w:type="gramStart"/>
      <w:r w:rsidR="00A45831" w:rsidRPr="00EF5BE5">
        <w:rPr>
          <w:rFonts w:ascii="Cambria" w:hAnsi="Cambria"/>
          <w:iCs/>
          <w:noProof/>
          <w:sz w:val="21"/>
          <w:szCs w:val="21"/>
          <w:lang w:val="en-US"/>
        </w:rPr>
        <w:t>(Kim, 2021)</w:t>
      </w:r>
      <w:r w:rsidR="00A45831" w:rsidRPr="00EF5BE5">
        <w:rPr>
          <w:rFonts w:ascii="Cambria" w:hAnsi="Cambria"/>
          <w:iCs/>
          <w:sz w:val="21"/>
          <w:szCs w:val="21"/>
          <w:lang w:val="en-US"/>
        </w:rPr>
        <w:fldChar w:fldCharType="end"/>
      </w:r>
      <w:r w:rsidRPr="00EF5BE5">
        <w:rPr>
          <w:rFonts w:ascii="Cambria" w:hAnsi="Cambria"/>
          <w:sz w:val="21"/>
          <w:szCs w:val="21"/>
        </w:rPr>
        <w:t>.</w:t>
      </w:r>
      <w:proofErr w:type="gramEnd"/>
      <w:r w:rsidRPr="00EF5BE5">
        <w:rPr>
          <w:rFonts w:ascii="Cambria" w:hAnsi="Cambria"/>
          <w:sz w:val="21"/>
          <w:szCs w:val="21"/>
        </w:rPr>
        <w:t xml:space="preserve"> The company is declared a </w:t>
      </w:r>
      <w:r w:rsidRPr="00EF5BE5">
        <w:rPr>
          <w:rFonts w:ascii="Cambria" w:hAnsi="Cambria"/>
          <w:iCs/>
          <w:sz w:val="21"/>
          <w:szCs w:val="21"/>
        </w:rPr>
        <w:t xml:space="preserve">going concern </w:t>
      </w:r>
      <w:r w:rsidRPr="00EF5BE5">
        <w:rPr>
          <w:rFonts w:ascii="Cambria" w:hAnsi="Cambria"/>
          <w:sz w:val="21"/>
          <w:szCs w:val="21"/>
        </w:rPr>
        <w:t xml:space="preserve">if there is conflicting evidence regarding the company's inability to continue. Suppose there is a material uncertainty that raises significant doubts about the continuity of the business, and the management plan needs to be improved. In that case, the auditor may include a paragraph emphasizing a matter with a written representation in the </w:t>
      </w:r>
      <w:r w:rsidR="00A45831" w:rsidRPr="00EF5BE5">
        <w:rPr>
          <w:rFonts w:ascii="Cambria" w:hAnsi="Cambria"/>
          <w:sz w:val="21"/>
          <w:szCs w:val="21"/>
          <w:lang w:val="en-US"/>
        </w:rPr>
        <w:t>independent</w:t>
      </w:r>
      <w:r w:rsidRPr="00EF5BE5">
        <w:rPr>
          <w:rFonts w:ascii="Cambria" w:hAnsi="Cambria"/>
          <w:sz w:val="21"/>
          <w:szCs w:val="21"/>
        </w:rPr>
        <w:t xml:space="preserve"> auditor's report. </w:t>
      </w:r>
      <w:r w:rsidR="00C935F5" w:rsidRPr="00EF5BE5">
        <w:rPr>
          <w:rFonts w:ascii="Cambria" w:hAnsi="Cambria"/>
          <w:sz w:val="21"/>
          <w:szCs w:val="21"/>
          <w:lang w:val="en-US"/>
        </w:rPr>
        <w:fldChar w:fldCharType="begin" w:fldLock="1"/>
      </w:r>
      <w:r w:rsidR="00C935F5" w:rsidRPr="00EF5BE5">
        <w:rPr>
          <w:rFonts w:ascii="Cambria" w:hAnsi="Cambria"/>
          <w:sz w:val="21"/>
          <w:szCs w:val="21"/>
          <w:lang w:val="en-US"/>
        </w:rPr>
        <w:instrText>ADDIN CSL_CITATION {"citationItems":[{"id":"ITEM-1","itemData":{"DOI":"10.1016/j.jaccpubpol.2019.106682","ISSN":"18732070","abstract":"Accounting standards now require management (as preparers of the financial statements) to assess and disclose going concern problems to stakeholders. However, important questions exist about managers’ ability and willingness to provide credible going concern assessments given their role as financial statement preparers and incentives to avoid self-reporting problems. The objective of this study is to investigate the effects of problem severity and recovery strategy on managers’ going concern disclosure judgments and decisions. We conduct an experiment with 84 experienced managers involved with financial reporting and find they are most likely to recommend going concern disclosure when financial distress is high and the recovery plan focuses on debt and equity. The results also suggest that managers have higher “substantial doubt” thresholds than auditors, and their perceptions regarding the fairness of the going concern standard also influence their decisions about disclosures of going concern issues.","author":[{"dropping-particle":"","family":"Bierstaker","given":"James L.","non-dropping-particle":"","parse-names":false,"suffix":""},{"dropping-particle":"","family":"Todd DeZoort","given":"F.","non-dropping-particle":"","parse-names":false,"suffix":""}],"container-title":"Journal of Accounting and Public Policy","id":"ITEM-1","issue":"5","issued":{"date-parts":[["2019"]]},"page":"1-12","publisher":"Elsevier Inc.","title":"The effects of problem severity and recovery strategy on managers’ going concern judgments and decisions","type":"article-journal","volume":"38"},"uris":["http://www.mendeley.com/documents/?uuid=95a18019-29d4-4921-a941-eb1c00122437"]}],"mendeley":{"formattedCitation":"(Bierstaker &amp; Todd DeZoort, 2019)","plainTextFormattedCitation":"(Bierstaker &amp; Todd DeZoort, 2019)","previouslyFormattedCitation":"(Bierstaker &amp; Todd DeZoort, 2019)"},"properties":{"noteIndex":0},"schema":"https://github.com/citation-style-language/schema/raw/master/csl-citation.json"}</w:instrText>
      </w:r>
      <w:r w:rsidR="00C935F5" w:rsidRPr="00EF5BE5">
        <w:rPr>
          <w:rFonts w:ascii="Cambria" w:hAnsi="Cambria"/>
          <w:sz w:val="21"/>
          <w:szCs w:val="21"/>
          <w:lang w:val="en-US"/>
        </w:rPr>
        <w:fldChar w:fldCharType="separate"/>
      </w:r>
      <w:proofErr w:type="gramStart"/>
      <w:r w:rsidR="00A45831" w:rsidRPr="00EF5BE5">
        <w:rPr>
          <w:rFonts w:ascii="Cambria" w:hAnsi="Cambria"/>
          <w:noProof/>
          <w:sz w:val="21"/>
          <w:szCs w:val="21"/>
          <w:lang w:val="en-US"/>
        </w:rPr>
        <w:t>(Bierstaker &amp; Todd DeZoort, 2019)</w:t>
      </w:r>
      <w:r w:rsidR="00C935F5" w:rsidRPr="00EF5BE5">
        <w:rPr>
          <w:rFonts w:ascii="Cambria" w:hAnsi="Cambria"/>
          <w:sz w:val="21"/>
          <w:szCs w:val="21"/>
          <w:lang w:val="en-US"/>
        </w:rPr>
        <w:fldChar w:fldCharType="end"/>
      </w:r>
      <w:r w:rsidRPr="00EF5BE5">
        <w:rPr>
          <w:rFonts w:ascii="Cambria" w:hAnsi="Cambria"/>
          <w:sz w:val="21"/>
          <w:szCs w:val="21"/>
        </w:rPr>
        <w:t>.</w:t>
      </w:r>
      <w:proofErr w:type="gramEnd"/>
      <w:r w:rsidRPr="00EF5BE5">
        <w:rPr>
          <w:rFonts w:ascii="Cambria" w:hAnsi="Cambria"/>
          <w:sz w:val="21"/>
          <w:szCs w:val="21"/>
        </w:rPr>
        <w:t xml:space="preserve"> After getting a </w:t>
      </w:r>
      <w:r w:rsidRPr="00EF5BE5">
        <w:rPr>
          <w:rFonts w:ascii="Cambria" w:hAnsi="Cambria"/>
          <w:iCs/>
          <w:sz w:val="21"/>
          <w:szCs w:val="21"/>
        </w:rPr>
        <w:t xml:space="preserve">going concern </w:t>
      </w:r>
      <w:r w:rsidRPr="00EF5BE5">
        <w:rPr>
          <w:rFonts w:ascii="Cambria" w:hAnsi="Cambria"/>
          <w:sz w:val="21"/>
          <w:szCs w:val="21"/>
        </w:rPr>
        <w:t>opinion</w:t>
      </w:r>
      <w:r w:rsidR="00006177" w:rsidRPr="00EF5BE5">
        <w:rPr>
          <w:rFonts w:ascii="Cambria" w:hAnsi="Cambria"/>
          <w:sz w:val="21"/>
          <w:szCs w:val="21"/>
        </w:rPr>
        <w:t>, there are two possibilities</w:t>
      </w:r>
      <w:r w:rsidR="00006177" w:rsidRPr="00EF5BE5">
        <w:rPr>
          <w:rFonts w:ascii="Cambria" w:hAnsi="Cambria"/>
          <w:sz w:val="21"/>
          <w:szCs w:val="21"/>
          <w:lang w:val="en-US"/>
        </w:rPr>
        <w:t xml:space="preserve">. Namely, the </w:t>
      </w:r>
      <w:r w:rsidRPr="00EF5BE5">
        <w:rPr>
          <w:rFonts w:ascii="Cambria" w:hAnsi="Cambria"/>
          <w:sz w:val="21"/>
          <w:szCs w:val="21"/>
        </w:rPr>
        <w:t xml:space="preserve">company can improve its financial position and continue its business or </w:t>
      </w:r>
      <w:r w:rsidRPr="00EF5BE5">
        <w:rPr>
          <w:rFonts w:ascii="Cambria" w:hAnsi="Cambria"/>
          <w:iCs/>
          <w:sz w:val="21"/>
          <w:szCs w:val="21"/>
        </w:rPr>
        <w:t xml:space="preserve">go </w:t>
      </w:r>
      <w:r w:rsidR="00A45831" w:rsidRPr="00EF5BE5">
        <w:rPr>
          <w:rFonts w:ascii="Cambria" w:hAnsi="Cambria"/>
          <w:sz w:val="21"/>
          <w:szCs w:val="21"/>
          <w:lang w:val="en-US"/>
        </w:rPr>
        <w:t>bankrupt</w:t>
      </w:r>
      <w:r w:rsidR="00FE11F9" w:rsidRPr="00EF5BE5">
        <w:rPr>
          <w:rFonts w:ascii="Cambria" w:hAnsi="Cambria"/>
          <w:sz w:val="21"/>
          <w:szCs w:val="21"/>
          <w:lang w:val="en-US"/>
        </w:rPr>
        <w:t xml:space="preserve"> </w:t>
      </w:r>
      <w:r w:rsidR="00A45831" w:rsidRPr="00EF5BE5">
        <w:rPr>
          <w:rFonts w:ascii="Cambria" w:hAnsi="Cambria"/>
          <w:sz w:val="21"/>
          <w:szCs w:val="21"/>
          <w:lang w:val="en-US"/>
        </w:rPr>
        <w:fldChar w:fldCharType="begin" w:fldLock="1"/>
      </w:r>
      <w:r w:rsidR="00A45831" w:rsidRPr="00EF5BE5">
        <w:rPr>
          <w:rFonts w:ascii="Cambria" w:hAnsi="Cambria"/>
          <w:sz w:val="21"/>
          <w:szCs w:val="21"/>
          <w:lang w:val="en-US"/>
        </w:rPr>
        <w:instrText>ADDIN CSL_CITATION {"citationItems":[{"id":"ITEM-1","itemData":{"DOI":"10.1016/j.heliyon.2023.e15138","ISSN":"24058440","abstract":"A going-concern report (GCr) in the audit opinion adds value and ensures that the firm's sustainability is secured. This study sheds light on this relationship of listed infrastructure, utility, and transportation firms in Indonesia as the most affected firms by Covid-19. Data were collected from published audited annual reports and extracted from 73 firms as a sample. Logistic regression was employed to test the hypotheses. The results show the importance of leverage, audit quality, prior opinions, and dividend policy in ensuring corporate GC. In contrast, audit committee and institutional holder as corporate governance indicators are unrelated to GCr. Beyond its contribution to the literature, this study offers valuable feedback for regulatory bodies to consider the enforcement of corporate governance implementation and assists investors in making better-informed decisions. Furthermore, due to a pandemic crisis, a postponed dividend payment has not caused the firm to accept a GCr.","author":[{"dropping-particle":"","family":"Fidiana","given":"Fidiana","non-dropping-particle":"","parse-names":false,"suffix":""},{"dropping-particle":"","family":"Yani","given":"Prawita","non-dropping-particle":"","parse-names":false,"suffix":""},{"dropping-particle":"","family":"Suryaningrum","given":"Diah Hari","non-dropping-particle":"","parse-names":false,"suffix":""}],"container-title":"Heliyon","id":"ITEM-1","issue":"4","issued":{"date-parts":[["2023"]]},"page":"1-19","publisher":"Elsevier Ltd","title":"Corporate going-concern report in early pandemic situation: Evidence from Indonesia","type":"article-journal","volume":"9"},"uris":["http://www.mendeley.com/documents/?uuid=9c080fca-18b3-4a8b-bb4c-be785604e056"]}],"mendeley":{"formattedCitation":"(Fidiana et al., 2023)","plainTextFormattedCitation":"(Fidiana et al., 2023)","previouslyFormattedCitation":"(Fidiana et al., 2023)"},"properties":{"noteIndex":0},"schema":"https://github.com/citation-style-language/schema/raw/master/csl-citation.json"}</w:instrText>
      </w:r>
      <w:r w:rsidR="00A45831" w:rsidRPr="00EF5BE5">
        <w:rPr>
          <w:rFonts w:ascii="Cambria" w:hAnsi="Cambria"/>
          <w:sz w:val="21"/>
          <w:szCs w:val="21"/>
          <w:lang w:val="en-US"/>
        </w:rPr>
        <w:fldChar w:fldCharType="separate"/>
      </w:r>
      <w:r w:rsidR="00A45831" w:rsidRPr="00EF5BE5">
        <w:rPr>
          <w:rFonts w:ascii="Cambria" w:hAnsi="Cambria"/>
          <w:noProof/>
          <w:sz w:val="21"/>
          <w:szCs w:val="21"/>
          <w:lang w:val="en-US"/>
        </w:rPr>
        <w:t>(Fidiana et al., 2023).</w:t>
      </w:r>
      <w:r w:rsidR="00A45831" w:rsidRPr="00EF5BE5">
        <w:rPr>
          <w:rFonts w:ascii="Cambria" w:hAnsi="Cambria"/>
          <w:sz w:val="21"/>
          <w:szCs w:val="21"/>
          <w:lang w:val="en-US"/>
        </w:rPr>
        <w:fldChar w:fldCharType="end"/>
      </w:r>
    </w:p>
    <w:p w14:paraId="13244A46" w14:textId="377F45E1" w:rsidR="00F04CEF" w:rsidRPr="00EF5BE5" w:rsidRDefault="000F4100">
      <w:pPr>
        <w:pStyle w:val="Default"/>
        <w:ind w:firstLine="567"/>
        <w:jc w:val="both"/>
        <w:rPr>
          <w:rFonts w:ascii="Cambria" w:hAnsi="Cambria"/>
          <w:sz w:val="21"/>
          <w:szCs w:val="21"/>
        </w:rPr>
      </w:pPr>
      <w:r w:rsidRPr="00EF5BE5">
        <w:rPr>
          <w:rFonts w:ascii="Cambria" w:hAnsi="Cambria"/>
          <w:sz w:val="21"/>
          <w:szCs w:val="21"/>
        </w:rPr>
        <w:t xml:space="preserve">The Covid-19 pandemic that has emerged since 2019 has had an impact on worsening economic conditions around the world, including </w:t>
      </w:r>
      <w:r w:rsidR="005F2E42">
        <w:rPr>
          <w:rFonts w:ascii="Cambria" w:hAnsi="Cambria"/>
          <w:sz w:val="21"/>
          <w:szCs w:val="21"/>
          <w:lang w:val="en-US"/>
        </w:rPr>
        <w:t xml:space="preserve">in Indonesia </w:t>
      </w:r>
      <w:r w:rsidR="00865DF2" w:rsidRPr="00EF5BE5">
        <w:rPr>
          <w:rFonts w:ascii="Cambria" w:hAnsi="Cambria"/>
          <w:sz w:val="21"/>
          <w:szCs w:val="21"/>
          <w:lang w:val="en-US"/>
        </w:rPr>
        <w:fldChar w:fldCharType="begin" w:fldLock="1"/>
      </w:r>
      <w:r w:rsidR="00865DF2" w:rsidRPr="00EF5BE5">
        <w:rPr>
          <w:rFonts w:ascii="Cambria" w:hAnsi="Cambria"/>
          <w:sz w:val="21"/>
          <w:szCs w:val="21"/>
          <w:lang w:val="en-US"/>
        </w:rPr>
        <w:instrText>ADDIN CSL_CITATION {"citationItems":[{"id":"ITEM-1","itemData":{"DOI":"10.1016/j.eap.2023.02.007","ISSN":"03135926","author":[{"dropping-particle":"","family":"Prabheesh","given":"K.P.","non-dropping-particle":"","parse-names":false,"suffix":""},{"dropping-particle":"","family":"Sasongko","given":"Aryo","non-dropping-particle":"","parse-names":false,"suffix":""},{"dropping-particle":"","family":"Indawan","given":"Fiskara","non-dropping-particle":"","parse-names":false,"suffix":""}],"container-title":"Economic Analysis and Policy","id":"ITEM-1","issued":{"date-parts":[["2023"]]},"page":"243-255","publisher":"Elsevier B.V.","title":"Did the policy responses influence credit and business cycle co-movement during the COVID-19 crisis? Evidence from Indonesia","type":"article-journal","volume":"78"},"uris":["http://www.mendeley.com/documents/?uuid=ff152457-8d37-448a-9c58-4509c455dc37"]}],"mendeley":{"formattedCitation":"(Prabheesh et al., 2023)","plainTextFormattedCitation":"(Prabheesh et al., 2023)","previouslyFormattedCitation":"(Prabheesh et al., 2023)"},"properties":{"noteIndex":0},"schema":"https://github.com/citation-style-language/schema/raw/master/csl-citation.json"}</w:instrText>
      </w:r>
      <w:r w:rsidR="00865DF2" w:rsidRPr="00EF5BE5">
        <w:rPr>
          <w:rFonts w:ascii="Cambria" w:hAnsi="Cambria"/>
          <w:sz w:val="21"/>
          <w:szCs w:val="21"/>
          <w:lang w:val="en-US"/>
        </w:rPr>
        <w:fldChar w:fldCharType="separate"/>
      </w:r>
      <w:r w:rsidR="00C935F5" w:rsidRPr="00EF5BE5">
        <w:rPr>
          <w:rFonts w:ascii="Cambria" w:hAnsi="Cambria"/>
          <w:noProof/>
          <w:sz w:val="21"/>
          <w:szCs w:val="21"/>
          <w:lang w:val="en-US"/>
        </w:rPr>
        <w:t>(Prabheesh et al., 2023)</w:t>
      </w:r>
      <w:r w:rsidR="00865DF2" w:rsidRPr="00EF5BE5">
        <w:rPr>
          <w:rFonts w:ascii="Cambria" w:hAnsi="Cambria"/>
          <w:sz w:val="21"/>
          <w:szCs w:val="21"/>
          <w:lang w:val="en-US"/>
        </w:rPr>
        <w:fldChar w:fldCharType="end"/>
      </w:r>
      <w:r w:rsidRPr="00EF5BE5">
        <w:rPr>
          <w:rFonts w:ascii="Cambria" w:hAnsi="Cambria"/>
          <w:sz w:val="21"/>
          <w:szCs w:val="21"/>
        </w:rPr>
        <w:t>. Data on the movement of the Composite Stock Price Index from December 30, 2019, to December 30, 2020, shows negative movements in almost all economic sectors in Indonesia except for the mining sector (BEI, 2020). The Covid-19 pandemic caused a negative movement. One of the industries affected by Covid-19 is manufacturing. According to data from the Central Bureau of Statistics</w:t>
      </w:r>
      <w:r w:rsidR="00C15760">
        <w:rPr>
          <w:rFonts w:ascii="Cambria" w:hAnsi="Cambria"/>
          <w:sz w:val="21"/>
          <w:szCs w:val="21"/>
          <w:lang w:val="en-US"/>
        </w:rPr>
        <w:t xml:space="preserve"> (BPS, 2021)</w:t>
      </w:r>
      <w:r w:rsidRPr="00EF5BE5">
        <w:rPr>
          <w:rFonts w:ascii="Cambria" w:hAnsi="Cambria"/>
          <w:sz w:val="21"/>
          <w:szCs w:val="21"/>
        </w:rPr>
        <w:t>, economic growth in the first quarter of 2020 was 2.97%</w:t>
      </w:r>
      <w:r w:rsidR="00FE11F9" w:rsidRPr="00EF5BE5">
        <w:rPr>
          <w:rFonts w:ascii="Cambria" w:hAnsi="Cambria"/>
          <w:sz w:val="21"/>
          <w:szCs w:val="21"/>
          <w:lang w:val="en-US"/>
        </w:rPr>
        <w:t>. T</w:t>
      </w:r>
      <w:r w:rsidRPr="00EF5BE5">
        <w:rPr>
          <w:rFonts w:ascii="Cambria" w:hAnsi="Cambria"/>
          <w:sz w:val="21"/>
          <w:szCs w:val="21"/>
        </w:rPr>
        <w:t xml:space="preserve">his figure was much corrected compared to the same quarter in 2019 of 5.02%, even in the second quarter of 2020 to minus 5.32% and 3.49% in Q3. Manufacturing performance also declined significantly, with a decrease in capacity of up to 50%, except for medical devices and the medical industry. In the current economic environment affected by the Covid-19 pandemic, many businesses are experiencing significant revenue, profitability and </w:t>
      </w:r>
      <w:r w:rsidRPr="00EF5BE5">
        <w:rPr>
          <w:rFonts w:ascii="Cambria" w:hAnsi="Cambria"/>
          <w:iCs/>
          <w:sz w:val="21"/>
          <w:szCs w:val="21"/>
        </w:rPr>
        <w:t>leverage</w:t>
      </w:r>
      <w:r w:rsidRPr="00EF5BE5">
        <w:rPr>
          <w:rFonts w:ascii="Cambria" w:hAnsi="Cambria"/>
          <w:sz w:val="21"/>
          <w:szCs w:val="21"/>
        </w:rPr>
        <w:t xml:space="preserve"> declines, which may raise questions about the company's ability to continue operating. One of the companies affected by Covid that received a </w:t>
      </w:r>
      <w:r w:rsidRPr="00EF5BE5">
        <w:rPr>
          <w:rFonts w:ascii="Cambria" w:hAnsi="Cambria"/>
          <w:iCs/>
          <w:sz w:val="21"/>
          <w:szCs w:val="21"/>
        </w:rPr>
        <w:t xml:space="preserve">going concern </w:t>
      </w:r>
      <w:r w:rsidRPr="00EF5BE5">
        <w:rPr>
          <w:rFonts w:ascii="Cambria" w:hAnsi="Cambria"/>
          <w:sz w:val="21"/>
          <w:szCs w:val="21"/>
        </w:rPr>
        <w:t xml:space="preserve">audit opinion was PT Langgeng Makmur Industri Tbk. Independent auditors who have audited the financial statements of PT Langgeng Makmur Industri Tbk provide a </w:t>
      </w:r>
      <w:r w:rsidRPr="00EF5BE5">
        <w:rPr>
          <w:rFonts w:ascii="Cambria" w:hAnsi="Cambria"/>
          <w:iCs/>
          <w:sz w:val="21"/>
          <w:szCs w:val="21"/>
        </w:rPr>
        <w:t xml:space="preserve">going concern </w:t>
      </w:r>
      <w:r w:rsidRPr="00EF5BE5">
        <w:rPr>
          <w:rFonts w:ascii="Cambria" w:hAnsi="Cambria"/>
          <w:sz w:val="21"/>
          <w:szCs w:val="21"/>
        </w:rPr>
        <w:t xml:space="preserve">audit opinion on the entity because the company's financial statements show that </w:t>
      </w:r>
      <w:r w:rsidRPr="00EF5BE5">
        <w:rPr>
          <w:rFonts w:ascii="Cambria" w:hAnsi="Cambria"/>
          <w:sz w:val="21"/>
          <w:szCs w:val="21"/>
        </w:rPr>
        <w:lastRenderedPageBreak/>
        <w:t xml:space="preserve">the company has a net loss of Rp 41,331,000,000. The company has posted a deficit of Rp 254,831,000,000, thus raising serious doubts about its ability to run its business sustainably. The company affected by Covid-19 and received another </w:t>
      </w:r>
      <w:r w:rsidRPr="00EF5BE5">
        <w:rPr>
          <w:rFonts w:ascii="Cambria" w:hAnsi="Cambria"/>
          <w:iCs/>
          <w:sz w:val="21"/>
          <w:szCs w:val="21"/>
        </w:rPr>
        <w:t xml:space="preserve">going concern </w:t>
      </w:r>
      <w:r w:rsidRPr="00EF5BE5">
        <w:rPr>
          <w:rFonts w:ascii="Cambria" w:hAnsi="Cambria"/>
          <w:sz w:val="21"/>
          <w:szCs w:val="21"/>
        </w:rPr>
        <w:t xml:space="preserve">audit opinion was PT Prima Alloy Tbk. The company, engaged in the automotive parts industry, is facing uncertainties due to Covid-19, including distribution disruptions due to the implementation of </w:t>
      </w:r>
      <w:r w:rsidRPr="00EF5BE5">
        <w:rPr>
          <w:rFonts w:ascii="Cambria" w:hAnsi="Cambria"/>
          <w:iCs/>
          <w:sz w:val="21"/>
          <w:szCs w:val="21"/>
        </w:rPr>
        <w:t xml:space="preserve">lockdowns </w:t>
      </w:r>
      <w:r w:rsidRPr="00EF5BE5">
        <w:rPr>
          <w:rFonts w:ascii="Cambria" w:hAnsi="Cambria"/>
          <w:sz w:val="21"/>
          <w:szCs w:val="21"/>
        </w:rPr>
        <w:t>in export destination countries, so total sales in 2019 decreased by 40% compared to the previous year. In 2019, there was a significant disruption in production factors, which greatly affected the smooth running of production and sales, so the company suffered losses</w:t>
      </w:r>
      <w:r w:rsidR="00F62E93" w:rsidRPr="00EF5BE5">
        <w:rPr>
          <w:rFonts w:ascii="Cambria" w:hAnsi="Cambria"/>
          <w:sz w:val="21"/>
          <w:szCs w:val="21"/>
          <w:lang w:val="en-US"/>
        </w:rPr>
        <w:t xml:space="preserve"> </w:t>
      </w:r>
      <w:r w:rsidR="00F62E93" w:rsidRPr="00EF5BE5">
        <w:rPr>
          <w:rFonts w:ascii="Cambria" w:hAnsi="Cambria"/>
          <w:sz w:val="21"/>
          <w:szCs w:val="21"/>
        </w:rPr>
        <w:t>in 2019</w:t>
      </w:r>
      <w:r w:rsidRPr="00EF5BE5">
        <w:rPr>
          <w:rFonts w:ascii="Cambria" w:hAnsi="Cambria"/>
          <w:sz w:val="21"/>
          <w:szCs w:val="21"/>
        </w:rPr>
        <w:t xml:space="preserve">. </w:t>
      </w:r>
    </w:p>
    <w:p w14:paraId="7242178C" w14:textId="77777777" w:rsidR="00F04CEF" w:rsidRDefault="000F4100">
      <w:pPr>
        <w:pStyle w:val="Default"/>
        <w:ind w:firstLine="567"/>
        <w:jc w:val="both"/>
        <w:rPr>
          <w:rFonts w:ascii="Cambria" w:hAnsi="Cambria"/>
          <w:sz w:val="21"/>
          <w:szCs w:val="21"/>
        </w:rPr>
      </w:pPr>
      <w:r w:rsidRPr="003142D4">
        <w:rPr>
          <w:rFonts w:ascii="Cambria" w:hAnsi="Cambria"/>
          <w:sz w:val="21"/>
          <w:szCs w:val="21"/>
        </w:rPr>
        <w:t xml:space="preserve">Companies with </w:t>
      </w:r>
      <w:r w:rsidR="00CB18EE">
        <w:rPr>
          <w:rFonts w:ascii="Cambria" w:hAnsi="Cambria"/>
          <w:sz w:val="21"/>
          <w:szCs w:val="21"/>
        </w:rPr>
        <w:t xml:space="preserve">relatively low </w:t>
      </w:r>
      <w:r w:rsidRPr="003142D4">
        <w:rPr>
          <w:rFonts w:ascii="Cambria" w:hAnsi="Cambria"/>
          <w:sz w:val="21"/>
          <w:szCs w:val="21"/>
        </w:rPr>
        <w:t xml:space="preserve">profits </w:t>
      </w:r>
      <w:r w:rsidR="00CB18EE">
        <w:rPr>
          <w:rFonts w:ascii="Cambria" w:hAnsi="Cambria"/>
          <w:sz w:val="21"/>
          <w:szCs w:val="21"/>
        </w:rPr>
        <w:t xml:space="preserve">can cause </w:t>
      </w:r>
      <w:r w:rsidR="00865DF2">
        <w:rPr>
          <w:rFonts w:ascii="Cambria" w:hAnsi="Cambria"/>
          <w:sz w:val="21"/>
          <w:szCs w:val="21"/>
          <w:lang w:val="en-US"/>
        </w:rPr>
        <w:t>financial</w:t>
      </w:r>
      <w:r w:rsidRPr="003142D4">
        <w:rPr>
          <w:rFonts w:ascii="Cambria" w:hAnsi="Cambria"/>
          <w:sz w:val="21"/>
          <w:szCs w:val="21"/>
        </w:rPr>
        <w:t xml:space="preserve"> limitations </w:t>
      </w:r>
      <w:r w:rsidR="00064B80">
        <w:rPr>
          <w:rFonts w:ascii="Cambria" w:hAnsi="Cambria"/>
          <w:sz w:val="21"/>
          <w:szCs w:val="21"/>
          <w:lang w:val="en-US"/>
        </w:rPr>
        <w:fldChar w:fldCharType="begin" w:fldLock="1"/>
      </w:r>
      <w:r w:rsidR="00064B80">
        <w:rPr>
          <w:rFonts w:ascii="Cambria" w:hAnsi="Cambria"/>
          <w:sz w:val="21"/>
          <w:szCs w:val="21"/>
          <w:lang w:val="en-US"/>
        </w:rPr>
        <w:instrText>ADDIN CSL_CITATION {"citationItems":[{"id":"ITEM-1","itemData":{"DOI":"10.5430/ijba.v8n6p46","ISSN":"1923-4007","abstract":"Although the cash flow statement has been required in public financial reports since 1988 in the United States (and since 1994 according to International Financial Reporting Standards), these important cash flow data are still often overlooked in standard financial analyses. Accounting net income measures economic performance which does not necessarily match up with the timing of cash flow. Many profitable businesses have been killed by cash flow problems, often in the start-up phase. A business has three types of cash flows: operating, investing, and financing. A key measure of cash flow health is free cash flow, the amount of operating cash flow generated in excess of the cash needed for important spending such as for capital expenditures. Managers must pay particular attention to the difference in timing between when cash is collected from customers from the sale of inventory and when cash must be paid to suppliers for the purchase of that inventory. A significant discrepancy between those numbers indicates a potential cash flow problem. Managers and owners of a business that is burning through cash spend much of their time worrying about cash flow survival and are therefore distracted from making the tactical and strategic decisions important to the long-run success of their business.","author":[{"dropping-particle":"","family":"Stice","given":"Derrald","non-dropping-particle":"","parse-names":false,"suffix":""},{"dropping-particle":"","family":"Stice","given":"Earl K.","non-dropping-particle":"","parse-names":false,"suffix":""},{"dropping-particle":"","family":"Stice","given":"James D.","non-dropping-particle":"","parse-names":false,"suffix":""}],"container-title":"International Journal of Business Administration","id":"ITEM-1","issue":"6","issued":{"date-parts":[["2017"]]},"page":"46-54","title":"Cash Flow Problems Can Kill Profitable Companies","type":"article-journal","volume":"8"},"uris":["http://www.mendeley.com/documents/?uuid=5a88b1b7-53b9-4fcb-8404-c53911947430"]}],"mendeley":{"formattedCitation":"(Stice et al., 2017)","plainTextFormattedCitation":"(Stice et al., 2017)","previouslyFormattedCitation":"(Stice et al., 2017)"},"properties":{"noteIndex":0},"schema":"https://github.com/citation-style-language/schema/raw/master/csl-citation.json"}</w:instrText>
      </w:r>
      <w:r w:rsidR="00064B80">
        <w:rPr>
          <w:rFonts w:ascii="Cambria" w:hAnsi="Cambria"/>
          <w:sz w:val="21"/>
          <w:szCs w:val="21"/>
          <w:lang w:val="en-US"/>
        </w:rPr>
        <w:fldChar w:fldCharType="separate"/>
      </w:r>
      <w:r w:rsidR="00865DF2" w:rsidRPr="00865DF2">
        <w:rPr>
          <w:rFonts w:ascii="Cambria" w:hAnsi="Cambria"/>
          <w:noProof/>
          <w:sz w:val="21"/>
          <w:szCs w:val="21"/>
          <w:lang w:val="en-US"/>
        </w:rPr>
        <w:t>(Stice et al., 2017)</w:t>
      </w:r>
      <w:r w:rsidR="00064B80">
        <w:rPr>
          <w:rFonts w:ascii="Cambria" w:hAnsi="Cambria"/>
          <w:sz w:val="21"/>
          <w:szCs w:val="21"/>
          <w:lang w:val="en-US"/>
        </w:rPr>
        <w:fldChar w:fldCharType="end"/>
      </w:r>
      <w:r w:rsidRPr="003142D4">
        <w:rPr>
          <w:rFonts w:ascii="Cambria" w:hAnsi="Cambria"/>
          <w:sz w:val="21"/>
          <w:szCs w:val="21"/>
        </w:rPr>
        <w:t>. Profitability is the company's ability to generate profits. The profitability ratio describes the company's ability to earn profits through all existing capabilities and sources, such as sales activities, cash, capital, and the number of employees or branches</w:t>
      </w:r>
      <w:r w:rsidR="00064B80">
        <w:rPr>
          <w:rFonts w:ascii="Cambria" w:hAnsi="Cambria"/>
          <w:sz w:val="21"/>
          <w:szCs w:val="21"/>
        </w:rPr>
        <w:t xml:space="preserve"> </w:t>
      </w:r>
      <w:r w:rsidR="005C0B26">
        <w:rPr>
          <w:rFonts w:ascii="Cambria" w:hAnsi="Cambria"/>
          <w:sz w:val="21"/>
          <w:szCs w:val="21"/>
        </w:rPr>
        <w:fldChar w:fldCharType="begin" w:fldLock="1"/>
      </w:r>
      <w:r w:rsidR="005C0B26">
        <w:rPr>
          <w:rFonts w:ascii="Cambria" w:hAnsi="Cambria"/>
          <w:sz w:val="21"/>
          <w:szCs w:val="21"/>
        </w:rPr>
        <w:instrText>ADDIN CSL_CITATION {"citationItems":[{"id":"ITEM-1","itemData":{"DOI":"10.1007/s10551-017-3732-y","ISBN":"0123456789","ISSN":"15730697","abstract":"The impact of socially responsible corporate behavior on economic performance is a major preoccupation of managers today. This article explores the links between narrowly defined constructs: stakeholder orientation, environmental proactivity and profitability, from the perspectives of stakeholder theory and resource-based theory. We collected data on the food and beverage, and household and personal products industries. Using structural equation modeling, this paper makes two contributions. We found a negative link between companies simply having a higher stakeholder orientation and profitability. Importantly, however, environmental proactivity not only had a positive impact on profitability, but also appeared to mediate the relationship between stakeholder orientation and profitability. In other words, if a company is more environmentally proactive, it will be more attentive to a broad array of stakeholders, and this will in turn contribute positively to profitability.","author":[{"dropping-particle":"","family":"Brulhart","given":"Franck","non-dropping-particle":"","parse-names":false,"suffix":""},{"dropping-particle":"","family":"Gherra","given":"Sandrine","non-dropping-particle":"","parse-names":false,"suffix":""},{"dropping-particle":"V.","family":"Quelin","given":"Bertrand","non-dropping-particle":"","parse-names":false,"suffix":""}],"container-title":"Journal of Business Ethics","id":"ITEM-1","issue":"1","issued":{"date-parts":[["2019"]]},"page":"25-46","publisher":"Springer Netherlands","title":"Do Stakeholder Orientation and Environmental Proactivity Impact Firm Profitability?","type":"article-journal","volume":"158"},"uris":["http://www.mendeley.com/documents/?uuid=81d1c924-e0c3-4b81-b06d-4f307ea39b97"]}],"mendeley":{"formattedCitation":"(Brulhart et al., 2019)","plainTextFormattedCitation":"(Brulhart et al., 2019)","previouslyFormattedCitation":"(Brulhart et al., 2019)"},"properties":{"noteIndex":0},"schema":"https://github.com/citation-style-language/schema/raw/master/csl-citation.json"}</w:instrText>
      </w:r>
      <w:r w:rsidR="005C0B26">
        <w:rPr>
          <w:rFonts w:ascii="Cambria" w:hAnsi="Cambria"/>
          <w:sz w:val="21"/>
          <w:szCs w:val="21"/>
        </w:rPr>
        <w:fldChar w:fldCharType="separate"/>
      </w:r>
      <w:r w:rsidR="00064B80" w:rsidRPr="00064B80">
        <w:rPr>
          <w:rFonts w:ascii="Cambria" w:hAnsi="Cambria"/>
          <w:noProof/>
          <w:sz w:val="21"/>
          <w:szCs w:val="21"/>
        </w:rPr>
        <w:t>(Brulhart et al., 2019).</w:t>
      </w:r>
      <w:r w:rsidR="005C0B26">
        <w:rPr>
          <w:rFonts w:ascii="Cambria" w:hAnsi="Cambria"/>
          <w:sz w:val="21"/>
          <w:szCs w:val="21"/>
        </w:rPr>
        <w:fldChar w:fldCharType="end"/>
      </w:r>
      <w:r w:rsidR="00D40B81">
        <w:rPr>
          <w:rFonts w:ascii="Cambria" w:hAnsi="Cambria"/>
          <w:sz w:val="21"/>
          <w:szCs w:val="21"/>
          <w:lang w:val="en-US"/>
        </w:rPr>
        <w:t xml:space="preserve"> </w:t>
      </w:r>
      <w:r w:rsidRPr="003142D4">
        <w:rPr>
          <w:rFonts w:ascii="Cambria" w:hAnsi="Cambria"/>
          <w:sz w:val="21"/>
          <w:szCs w:val="21"/>
        </w:rPr>
        <w:t xml:space="preserve">Profit is a company's financial success, so a company that shows high profitability shows that it can maintain its </w:t>
      </w:r>
      <w:r w:rsidR="005C0B26">
        <w:rPr>
          <w:rFonts w:ascii="Cambria" w:hAnsi="Cambria"/>
          <w:sz w:val="21"/>
          <w:szCs w:val="21"/>
          <w:lang w:val="en-US"/>
        </w:rPr>
        <w:t>business</w:t>
      </w:r>
      <w:r w:rsidRPr="003142D4">
        <w:rPr>
          <w:rFonts w:ascii="Cambria" w:hAnsi="Cambria"/>
          <w:sz w:val="21"/>
          <w:szCs w:val="21"/>
        </w:rPr>
        <w:t xml:space="preserve"> survival. </w:t>
      </w:r>
      <w:r w:rsidR="00766F62">
        <w:rPr>
          <w:rFonts w:ascii="Cambria" w:hAnsi="Cambria"/>
          <w:sz w:val="21"/>
          <w:szCs w:val="21"/>
          <w:lang w:val="en-US"/>
        </w:rPr>
        <w:fldChar w:fldCharType="begin" w:fldLock="1"/>
      </w:r>
      <w:r w:rsidR="00766F62">
        <w:rPr>
          <w:rFonts w:ascii="Cambria" w:hAnsi="Cambria"/>
          <w:sz w:val="21"/>
          <w:szCs w:val="21"/>
          <w:lang w:val="en-US"/>
        </w:rPr>
        <w:instrText>ADDIN CSL_CITATION {"citationItems":[{"id":"ITEM-1","itemData":{"DOI":"10.1186/s43093-023-00196-2","ISBN":"4309302300","ISSN":"2314-7210","author":[{"dropping-particle":"","family":"Abdellatif","given":"Raghda","non-dropping-particle":"","parse-names":false,"suffix":""},{"dropping-particle":"","family":"Elsayed","given":"Abdelkhalik","non-dropping-particle":"","parse-names":false,"suffix":""}],"container-title":"Future Business Journal","id":"ITEM-1","issue":"19","issued":{"date-parts":[["2023"]]},"page":"1-17","publisher":"Springer Berlin Heidelberg","title":"The effect of investment in the brand value chain on profitability and market value of the firm : lesson of success taken from Amazon","type":"article-journal","volume":"9"},"uris":["http://www.mendeley.com/documents/?uuid=92063cef-9cdb-4e42-9707-3a0ee222c935"]}],"mendeley":{"formattedCitation":"(Abdellatif &amp; Elsayed, 2023)","plainTextFormattedCitation":"(Abdellatif &amp; Elsayed, 2023)","previouslyFormattedCitation":"(Abdellatif &amp; Elsayed, 2023)"},"properties":{"noteIndex":0},"schema":"https://github.com/citation-style-language/schema/raw/master/csl-citation.json"}</w:instrText>
      </w:r>
      <w:r w:rsidR="00766F62">
        <w:rPr>
          <w:rFonts w:ascii="Cambria" w:hAnsi="Cambria"/>
          <w:sz w:val="21"/>
          <w:szCs w:val="21"/>
          <w:lang w:val="en-US"/>
        </w:rPr>
        <w:fldChar w:fldCharType="separate"/>
      </w:r>
      <w:r w:rsidR="005C0B26" w:rsidRPr="005C0B26">
        <w:rPr>
          <w:rFonts w:ascii="Cambria" w:hAnsi="Cambria"/>
          <w:noProof/>
          <w:sz w:val="21"/>
          <w:szCs w:val="21"/>
          <w:lang w:val="en-US"/>
        </w:rPr>
        <w:t>(Abdellatif &amp; Elsayed, 2023).</w:t>
      </w:r>
      <w:r w:rsidR="00766F62">
        <w:rPr>
          <w:rFonts w:ascii="Cambria" w:hAnsi="Cambria"/>
          <w:sz w:val="21"/>
          <w:szCs w:val="21"/>
          <w:lang w:val="en-US"/>
        </w:rPr>
        <w:fldChar w:fldCharType="end"/>
      </w:r>
    </w:p>
    <w:p w14:paraId="6C8E57EF" w14:textId="77777777" w:rsidR="00F04CEF" w:rsidRDefault="000F4100">
      <w:pPr>
        <w:pStyle w:val="Default"/>
        <w:ind w:firstLine="567"/>
        <w:jc w:val="both"/>
        <w:rPr>
          <w:rFonts w:ascii="Cambria" w:hAnsi="Cambria"/>
          <w:sz w:val="21"/>
          <w:szCs w:val="21"/>
        </w:rPr>
      </w:pPr>
      <w:r w:rsidRPr="001065B5">
        <w:rPr>
          <w:rFonts w:ascii="Cambria" w:hAnsi="Cambria"/>
          <w:sz w:val="21"/>
          <w:szCs w:val="21"/>
        </w:rPr>
        <w:t xml:space="preserve">Companies that have a relatively high portion of debt can result in </w:t>
      </w:r>
      <w:r w:rsidR="00766F62" w:rsidRPr="001065B5">
        <w:rPr>
          <w:rFonts w:ascii="Cambria" w:hAnsi="Cambria"/>
          <w:sz w:val="21"/>
          <w:szCs w:val="21"/>
        </w:rPr>
        <w:t>financial limitations</w:t>
      </w:r>
      <w:r w:rsidR="00D40B81">
        <w:rPr>
          <w:rFonts w:ascii="Cambria" w:hAnsi="Cambria"/>
          <w:sz w:val="21"/>
          <w:szCs w:val="21"/>
          <w:lang w:val="en-US"/>
        </w:rPr>
        <w:t xml:space="preserve"> </w:t>
      </w:r>
      <w:r w:rsidR="009113F3" w:rsidRPr="001065B5">
        <w:rPr>
          <w:rFonts w:ascii="Cambria" w:hAnsi="Cambria"/>
          <w:sz w:val="21"/>
          <w:szCs w:val="21"/>
        </w:rPr>
        <w:fldChar w:fldCharType="begin" w:fldLock="1"/>
      </w:r>
      <w:r w:rsidR="009113F3" w:rsidRPr="001065B5">
        <w:rPr>
          <w:rFonts w:ascii="Cambria" w:hAnsi="Cambria"/>
          <w:sz w:val="21"/>
          <w:szCs w:val="21"/>
        </w:rPr>
        <w:instrText>ADDIN CSL_CITATION {"citationItems":[{"id":"ITEM-1","itemData":{"author":[{"dropping-particle":"","family":"Ilyukhin Evgeny","given":"","non-dropping-particle":"","parse-names":false,"suffix":""}],"id":"ITEM-1","issue":"2","issued":{"date-parts":[["2010"]]},"page":"24-36","title":"THE IMPACT OF FINANCIAL LEVERAGE ON FIRM PERFORMANCE: EVIDENCE FROM RUSSIA","type":"article-journal","volume":"9"},"uris":["http://www.mendeley.com/documents/?uuid=93e783ad-8d2b-406c-9bfb-308206536894"]}],"mendeley":{"formattedCitation":"(Ilyukhin Evgeny, 2010)","plainTextFormattedCitation":"(Ilyukhin Evgeny, 2010)","previouslyFormattedCitation":"(Ilyukhin Evgeny, 2010)"},"properties":{"noteIndex":0},"schema":"https://github.com/citation-style-language/schema/raw/master/csl-citation.json"}</w:instrText>
      </w:r>
      <w:r w:rsidR="009113F3" w:rsidRPr="001065B5">
        <w:rPr>
          <w:rFonts w:ascii="Cambria" w:hAnsi="Cambria"/>
          <w:sz w:val="21"/>
          <w:szCs w:val="21"/>
        </w:rPr>
        <w:fldChar w:fldCharType="separate"/>
      </w:r>
      <w:r w:rsidR="00766F62" w:rsidRPr="001065B5">
        <w:rPr>
          <w:rFonts w:ascii="Cambria" w:hAnsi="Cambria"/>
          <w:noProof/>
          <w:sz w:val="21"/>
          <w:szCs w:val="21"/>
        </w:rPr>
        <w:t>(Ilyukhin Evgeny, 2010)</w:t>
      </w:r>
      <w:r w:rsidR="009113F3" w:rsidRPr="001065B5">
        <w:rPr>
          <w:rFonts w:ascii="Cambria" w:hAnsi="Cambria"/>
          <w:sz w:val="21"/>
          <w:szCs w:val="21"/>
        </w:rPr>
        <w:fldChar w:fldCharType="end"/>
      </w:r>
      <w:r w:rsidRPr="001065B5">
        <w:rPr>
          <w:rFonts w:ascii="Cambria" w:hAnsi="Cambria"/>
          <w:sz w:val="21"/>
          <w:szCs w:val="21"/>
        </w:rPr>
        <w:t xml:space="preserve">. </w:t>
      </w:r>
      <w:r w:rsidRPr="001065B5">
        <w:rPr>
          <w:rFonts w:ascii="Cambria" w:hAnsi="Cambria"/>
          <w:iCs/>
          <w:sz w:val="21"/>
          <w:szCs w:val="21"/>
        </w:rPr>
        <w:t xml:space="preserve">Leverage </w:t>
      </w:r>
      <w:r w:rsidRPr="001065B5">
        <w:rPr>
          <w:rFonts w:ascii="Cambria" w:hAnsi="Cambria"/>
          <w:sz w:val="21"/>
          <w:szCs w:val="21"/>
        </w:rPr>
        <w:t xml:space="preserve">can assess </w:t>
      </w:r>
      <w:r w:rsidR="009113F3" w:rsidRPr="001065B5">
        <w:rPr>
          <w:rFonts w:ascii="Cambria" w:hAnsi="Cambria"/>
          <w:sz w:val="21"/>
          <w:szCs w:val="21"/>
          <w:lang w:val="en-US"/>
        </w:rPr>
        <w:t>management</w:t>
      </w:r>
      <w:r w:rsidRPr="001065B5">
        <w:rPr>
          <w:rFonts w:ascii="Cambria" w:hAnsi="Cambria"/>
          <w:sz w:val="21"/>
          <w:szCs w:val="21"/>
        </w:rPr>
        <w:t xml:space="preserve"> performance </w:t>
      </w:r>
      <w:r w:rsidR="00C502EE" w:rsidRPr="001065B5">
        <w:rPr>
          <w:rFonts w:ascii="Cambria" w:hAnsi="Cambria"/>
          <w:sz w:val="21"/>
          <w:szCs w:val="21"/>
          <w:lang w:val="en-US"/>
        </w:rPr>
        <w:fldChar w:fldCharType="begin" w:fldLock="1"/>
      </w:r>
      <w:r w:rsidR="00C502EE" w:rsidRPr="001065B5">
        <w:rPr>
          <w:rFonts w:ascii="Cambria" w:hAnsi="Cambria"/>
          <w:sz w:val="21"/>
          <w:szCs w:val="21"/>
          <w:lang w:val="en-US"/>
        </w:rPr>
        <w:instrText>ADDIN CSL_CITATION {"citationItems":[{"id":"ITEM-1","itemData":{"DOI":"10.33215/sjom.v1i2.13","abstract":"The aim of this research is to identify the relationship between financial leverage and the performance of Textile Composite Companies of Pakistan. Pakistan Textile Composite Companies which are listed in PSX (100-index) are selected.5-year data is collected from 2011-2015 and top 16 companies are selected as a sample. Using descriptive statistics, correlation analysis, and a regression model to identify the results. Results show that financial leverage has a negative and significant effect on firm ROE and financial leverage has a positive and significant effect on firm ROA. Further study indicates that the high-interest rate and more amount of debt decrease the value of equity and has a negative impact on firm performance. On the other hand, the amount of debt has a positive impact on firm ROA. Results show that financial leverage has a positive impact on firm performance if the amount of debts do not exceed the amount of equity.","author":[{"dropping-particle":"","family":"Iqbal","given":"Umer","non-dropping-particle":"","parse-names":false,"suffix":""},{"dropping-particle":"","family":"Usman","given":"Muhammad","non-dropping-particle":"","parse-names":false,"suffix":""}],"container-title":"SEISENSE Journal of Management","id":"ITEM-1","issue":"2","issued":{"date-parts":[["2018"]]},"page":"70-78","title":"Impact of Financial Leverage on Firm Performance","type":"article-journal","volume":"1"},"uris":["http://www.mendeley.com/documents/?uuid=49208831-73d8-4a6a-889e-c2a746c8e096"]}],"mendeley":{"formattedCitation":"(Iqbal &amp; Usman, 2018)","plainTextFormattedCitation":"(Iqbal &amp; Usman, 2018)","previouslyFormattedCitation":"(Iqbal &amp; Usman, 2018)"},"properties":{"noteIndex":0},"schema":"https://github.com/citation-style-language/schema/raw/master/csl-citation.json"}</w:instrText>
      </w:r>
      <w:r w:rsidR="00C502EE" w:rsidRPr="001065B5">
        <w:rPr>
          <w:rFonts w:ascii="Cambria" w:hAnsi="Cambria"/>
          <w:sz w:val="21"/>
          <w:szCs w:val="21"/>
          <w:lang w:val="en-US"/>
        </w:rPr>
        <w:fldChar w:fldCharType="separate"/>
      </w:r>
      <w:r w:rsidR="009113F3" w:rsidRPr="001065B5">
        <w:rPr>
          <w:rFonts w:ascii="Cambria" w:hAnsi="Cambria"/>
          <w:noProof/>
          <w:sz w:val="21"/>
          <w:szCs w:val="21"/>
          <w:lang w:val="en-US"/>
        </w:rPr>
        <w:t>(Iqbal &amp; Usman, 2018)</w:t>
      </w:r>
      <w:r w:rsidR="00C502EE" w:rsidRPr="001065B5">
        <w:rPr>
          <w:rFonts w:ascii="Cambria" w:hAnsi="Cambria"/>
          <w:sz w:val="21"/>
          <w:szCs w:val="21"/>
          <w:lang w:val="en-US"/>
        </w:rPr>
        <w:fldChar w:fldCharType="end"/>
      </w:r>
      <w:r w:rsidRPr="001065B5">
        <w:rPr>
          <w:rFonts w:ascii="Cambria" w:hAnsi="Cambria"/>
          <w:sz w:val="21"/>
          <w:szCs w:val="21"/>
        </w:rPr>
        <w:t xml:space="preserve">. </w:t>
      </w:r>
      <w:r w:rsidRPr="001065B5">
        <w:rPr>
          <w:rFonts w:ascii="Cambria" w:hAnsi="Cambria"/>
          <w:iCs/>
          <w:sz w:val="21"/>
          <w:szCs w:val="21"/>
        </w:rPr>
        <w:t xml:space="preserve">Leverage </w:t>
      </w:r>
      <w:r w:rsidRPr="001065B5">
        <w:rPr>
          <w:rFonts w:ascii="Cambria" w:hAnsi="Cambria"/>
          <w:sz w:val="21"/>
          <w:szCs w:val="21"/>
        </w:rPr>
        <w:t xml:space="preserve">is the company's ability to pay </w:t>
      </w:r>
      <w:r w:rsidR="00C502EE" w:rsidRPr="001065B5">
        <w:rPr>
          <w:rFonts w:ascii="Cambria" w:hAnsi="Cambria"/>
          <w:sz w:val="21"/>
          <w:szCs w:val="21"/>
          <w:lang w:val="en-US"/>
        </w:rPr>
        <w:t>its</w:t>
      </w:r>
      <w:r w:rsidRPr="001065B5">
        <w:rPr>
          <w:rFonts w:ascii="Cambria" w:hAnsi="Cambria"/>
          <w:sz w:val="21"/>
          <w:szCs w:val="21"/>
        </w:rPr>
        <w:t xml:space="preserve"> short-term and long-term obligations. </w:t>
      </w:r>
      <w:r w:rsidR="00C957E3" w:rsidRPr="001065B5">
        <w:rPr>
          <w:rFonts w:ascii="Cambria" w:hAnsi="Cambria"/>
          <w:sz w:val="21"/>
          <w:szCs w:val="21"/>
          <w:lang w:val="en-US"/>
        </w:rPr>
        <w:fldChar w:fldCharType="begin" w:fldLock="1"/>
      </w:r>
      <w:r w:rsidR="00C957E3" w:rsidRPr="001065B5">
        <w:rPr>
          <w:rFonts w:ascii="Cambria" w:hAnsi="Cambria"/>
          <w:sz w:val="21"/>
          <w:szCs w:val="21"/>
          <w:lang w:val="en-US"/>
        </w:rPr>
        <w:instrText>ADDIN CSL_CITATION {"citationItems":[{"id":"ITEM-1","itemData":{"DOI":"10.1007/s11156-013-0385-5","ISSN":"15737179","abstract":"From an agency perspective, leverage may have a positive effect on firm performance by limiting managers’ ability to allocate resources to unproductive uses, as well as increasing pressure on them to perform well. Consequently, we might expect leverage to have a positive impact on acquisition performance. However, the increased risks associated with higher leverage, combined with the other risks inherent in an acquisition, could also cause managers to take actions to reduce risk even if doing so is contrary to value maximization. High debt levels might also limit managerial discretion over how resources are allocated during the acquisition process, which can have a negative impact on performance. We investigate the effect of leverage on post-acquisition stock performance and find that post-acquisition performance is decreasing in leverage brought by the target firm and in additional leverage taken on to execute the acquisition. This negative performance is clustered among acquirers who are already financially constrained. Our results are robust to various returns measurement methodologies and to the inclusion of several controls known to predict future returns. Our results also represent viable investment strategies, and suggest that the market underestimates difficulties that arise from acquisition-related increases in leverage.","author":[{"dropping-particle":"","family":"Harrison","given":"Jeffrey S.","non-dropping-particle":"","parse-names":false,"suffix":""},{"dropping-particle":"","family":"Hart","given":"Matthew","non-dropping-particle":"","parse-names":false,"suffix":""},{"dropping-particle":"","family":"Oler","given":"Derek K.","non-dropping-particle":"","parse-names":false,"suffix":""}],"container-title":"Review of Quantitative Finance and Accounting","id":"ITEM-1","issue":"3","issued":{"date-parts":[["2014"]]},"page":"571-603","title":"Leverage and acquisition performance","type":"article-journal","volume":"43"},"uris":["http://www.mendeley.com/documents/?uuid=9f918414-a3d6-4d2e-b469-34c1439289cd"]}],"mendeley":{"formattedCitation":"(Harrison et al., 2014)","plainTextFormattedCitation":"(Harrison et al., 2014)","previouslyFormattedCitation":"(Harrison et al., 2014)"},"properties":{"noteIndex":0},"schema":"https://github.com/citation-style-language/schema/raw/master/csl-citation.json"}</w:instrText>
      </w:r>
      <w:r w:rsidR="00C957E3" w:rsidRPr="001065B5">
        <w:rPr>
          <w:rFonts w:ascii="Cambria" w:hAnsi="Cambria"/>
          <w:sz w:val="21"/>
          <w:szCs w:val="21"/>
          <w:lang w:val="en-US"/>
        </w:rPr>
        <w:fldChar w:fldCharType="separate"/>
      </w:r>
      <w:r w:rsidR="00C502EE" w:rsidRPr="001065B5">
        <w:rPr>
          <w:rFonts w:ascii="Cambria" w:hAnsi="Cambria"/>
          <w:noProof/>
          <w:sz w:val="21"/>
          <w:szCs w:val="21"/>
          <w:lang w:val="en-US"/>
        </w:rPr>
        <w:t>(Harrison et al., 2014)</w:t>
      </w:r>
      <w:r w:rsidR="00C957E3" w:rsidRPr="001065B5">
        <w:rPr>
          <w:rFonts w:ascii="Cambria" w:hAnsi="Cambria"/>
          <w:sz w:val="21"/>
          <w:szCs w:val="21"/>
          <w:lang w:val="en-US"/>
        </w:rPr>
        <w:fldChar w:fldCharType="end"/>
      </w:r>
      <w:r w:rsidRPr="001065B5">
        <w:rPr>
          <w:rFonts w:ascii="Cambria" w:hAnsi="Cambria"/>
          <w:sz w:val="21"/>
          <w:szCs w:val="21"/>
        </w:rPr>
        <w:t xml:space="preserve">. The higher the </w:t>
      </w:r>
      <w:r w:rsidRPr="001065B5">
        <w:rPr>
          <w:rFonts w:ascii="Cambria" w:hAnsi="Cambria"/>
          <w:iCs/>
          <w:sz w:val="21"/>
          <w:szCs w:val="21"/>
        </w:rPr>
        <w:t xml:space="preserve">leverage </w:t>
      </w:r>
      <w:r w:rsidRPr="001065B5">
        <w:rPr>
          <w:rFonts w:ascii="Cambria" w:hAnsi="Cambria"/>
          <w:sz w:val="21"/>
          <w:szCs w:val="21"/>
        </w:rPr>
        <w:t>ratio</w:t>
      </w:r>
      <w:r w:rsidRPr="001065B5">
        <w:rPr>
          <w:rFonts w:ascii="Cambria" w:hAnsi="Cambria"/>
          <w:iCs/>
          <w:sz w:val="21"/>
          <w:szCs w:val="21"/>
        </w:rPr>
        <w:t xml:space="preserve">, </w:t>
      </w:r>
      <w:r w:rsidRPr="001065B5">
        <w:rPr>
          <w:rFonts w:ascii="Cambria" w:hAnsi="Cambria"/>
          <w:sz w:val="21"/>
          <w:szCs w:val="21"/>
        </w:rPr>
        <w:t xml:space="preserve">the more it shows the company's poor financial performance and can create uncertainty about </w:t>
      </w:r>
      <w:r w:rsidR="00C957E3" w:rsidRPr="001065B5">
        <w:rPr>
          <w:rFonts w:ascii="Cambria" w:hAnsi="Cambria"/>
          <w:sz w:val="21"/>
          <w:szCs w:val="21"/>
          <w:lang w:val="en-US"/>
        </w:rPr>
        <w:t>its</w:t>
      </w:r>
      <w:r w:rsidRPr="001065B5">
        <w:rPr>
          <w:rFonts w:ascii="Cambria" w:hAnsi="Cambria"/>
          <w:sz w:val="21"/>
          <w:szCs w:val="21"/>
        </w:rPr>
        <w:t xml:space="preserve"> survival. </w:t>
      </w:r>
      <w:r w:rsidR="008C696A" w:rsidRPr="001065B5">
        <w:rPr>
          <w:rFonts w:ascii="Cambria" w:hAnsi="Cambria"/>
          <w:sz w:val="21"/>
          <w:szCs w:val="21"/>
          <w:lang w:val="en-US"/>
        </w:rPr>
        <w:fldChar w:fldCharType="begin" w:fldLock="1"/>
      </w:r>
      <w:r w:rsidR="008C696A" w:rsidRPr="001065B5">
        <w:rPr>
          <w:rFonts w:ascii="Cambria" w:hAnsi="Cambria"/>
          <w:sz w:val="21"/>
          <w:szCs w:val="21"/>
          <w:lang w:val="en-US"/>
        </w:rPr>
        <w:instrText>ADDIN CSL_CITATION {"citationItems":[{"id":"ITEM-1","itemData":{"DOI":"10.1007/s10644-021-09321-z","ISBN":"0123456789","ISSN":"15740277","abstract":"The purpose of this study was to measure the impact of financial leverage on the performance of 424 Pakistani nonfinancial listed companies over the 2001–2017 period. Three measures of financial leverage, i.e., short-term debt (STDL), long-term debt (LTDL), and total debt (TLEVR), were applied to examine their impact on performance, i.e., sustainable growth (SGR), Tobin’s Q, return on assets (ROA), return on equity (ROE), and return on sales (ROS). Robust results obtained using the generalized method of moments (GMM) report a significant negative impact of financial leverage on performance. The results also confirm an inverted U-shaped relationship between financial leverage and performance, indicating that an increase in the financial leverage of Pakistani listed companies increases their performance up to a certain level, and after that, a further increase in financial leverage decreases their performance. The results further suggest that STDL is a main contributing source of debt that causes a higher risk of refinancing for companies and thus negatively affects performance. This study’s findings are useful for academics, management, policymakers, and regulators to understand the importance of financial leverage and to choose between STDL and LTDL to fund financial needs.","author":[{"dropping-particle":"","family":"Akhtar","given":"Muhammad","non-dropping-particle":"","parse-names":false,"suffix":""},{"dropping-particle":"","family":"Yusheng","given":"Kong","non-dropping-particle":"","parse-names":false,"suffix":""},{"dropping-particle":"","family":"Haris","given":"Muhammad","non-dropping-particle":"","parse-names":false,"suffix":""},{"dropping-particle":"","family":"Ain","given":"Qurat Ul","non-dropping-particle":"","parse-names":false,"suffix":""},{"dropping-particle":"","family":"Javaid","given":"Hafiz Mustansar","non-dropping-particle":"","parse-names":false,"suffix":""}],"container-title":"Economic Change and Restructuring","id":"ITEM-1","issue":"2","issued":{"date-parts":[["2022"]]},"number-of-pages":"737-774","publisher":"Springer US","title":"Impact of financial leverage on sustainable growth, market performance, and profitability","type":"book","volume":"55"},"uris":["http://www.mendeley.com/documents/?uuid=a0d4942e-9b53-43a6-8e16-75062785f855"]}],"mendeley":{"formattedCitation":"(Akhtar et al., 2022)","plainTextFormattedCitation":"(Akhtar et al., 2022)","previouslyFormattedCitation":"(Akhtar et al., 2022)"},"properties":{"noteIndex":0},"schema":"https://github.com/citation-style-language/schema/raw/master/csl-citation.json"}</w:instrText>
      </w:r>
      <w:r w:rsidR="008C696A" w:rsidRPr="001065B5">
        <w:rPr>
          <w:rFonts w:ascii="Cambria" w:hAnsi="Cambria"/>
          <w:sz w:val="21"/>
          <w:szCs w:val="21"/>
          <w:lang w:val="en-US"/>
        </w:rPr>
        <w:fldChar w:fldCharType="separate"/>
      </w:r>
      <w:r w:rsidR="00C957E3" w:rsidRPr="001065B5">
        <w:rPr>
          <w:rFonts w:ascii="Cambria" w:hAnsi="Cambria"/>
          <w:noProof/>
          <w:sz w:val="21"/>
          <w:szCs w:val="21"/>
          <w:lang w:val="en-US"/>
        </w:rPr>
        <w:t>(Akhtar et al., 2022)</w:t>
      </w:r>
      <w:r w:rsidR="008C696A" w:rsidRPr="001065B5">
        <w:rPr>
          <w:rFonts w:ascii="Cambria" w:hAnsi="Cambria"/>
          <w:sz w:val="21"/>
          <w:szCs w:val="21"/>
          <w:lang w:val="en-US"/>
        </w:rPr>
        <w:fldChar w:fldCharType="end"/>
      </w:r>
      <w:r w:rsidRPr="001065B5">
        <w:rPr>
          <w:rFonts w:ascii="Cambria" w:hAnsi="Cambria"/>
          <w:sz w:val="21"/>
          <w:szCs w:val="21"/>
        </w:rPr>
        <w:t xml:space="preserve">. </w:t>
      </w:r>
    </w:p>
    <w:p w14:paraId="2BD05241" w14:textId="77777777" w:rsidR="00F04CEF" w:rsidRDefault="000F4100">
      <w:pPr>
        <w:pStyle w:val="Default"/>
        <w:ind w:firstLine="567"/>
        <w:jc w:val="both"/>
        <w:rPr>
          <w:rFonts w:ascii="Cambria" w:hAnsi="Cambria"/>
          <w:sz w:val="21"/>
          <w:szCs w:val="21"/>
        </w:rPr>
      </w:pPr>
      <w:r w:rsidRPr="001065B5">
        <w:rPr>
          <w:rFonts w:ascii="Cambria" w:hAnsi="Cambria"/>
          <w:sz w:val="21"/>
          <w:szCs w:val="21"/>
        </w:rPr>
        <w:t xml:space="preserve">Good company growth can be judged by the increase in sales each </w:t>
      </w:r>
      <w:r w:rsidR="008C696A" w:rsidRPr="001065B5">
        <w:rPr>
          <w:rFonts w:ascii="Cambria" w:hAnsi="Cambria"/>
          <w:sz w:val="21"/>
          <w:szCs w:val="21"/>
        </w:rPr>
        <w:t xml:space="preserve">year. </w:t>
      </w:r>
      <w:r w:rsidR="005B0F0D" w:rsidRPr="001065B5">
        <w:rPr>
          <w:rFonts w:ascii="Cambria" w:hAnsi="Cambria"/>
          <w:sz w:val="21"/>
          <w:szCs w:val="21"/>
        </w:rPr>
        <w:fldChar w:fldCharType="begin" w:fldLock="1"/>
      </w:r>
      <w:r w:rsidR="005B0F0D" w:rsidRPr="001065B5">
        <w:rPr>
          <w:rFonts w:ascii="Cambria" w:hAnsi="Cambria"/>
          <w:sz w:val="21"/>
          <w:szCs w:val="21"/>
        </w:rPr>
        <w:instrText>ADDIN CSL_CITATION {"citationItems":[{"id":"ITEM-1","itemData":{"DOI":"10.1186/s43093-021-00093-6","ISSN":"2314-7210","author":[{"dropping-particle":"","family":"Guluma","given":"Tolossa Fufa","non-dropping-particle":"","parse-names":false,"suffix":""}],"container-title":"Future Business Journal","id":"ITEM-1","issue":"1","issued":{"date-parts":[["2021"]]},"page":"1-18","publisher":"Springer Berlin Heidelberg","title":"The impact of corporate governance measures on firm performance : the influences of managerial overconfidence","type":"article-journal","volume":"7"},"uris":["http://www.mendeley.com/documents/?uuid=aa2a22d1-c5b6-464e-8372-c344c1687ca2"]}],"mendeley":{"formattedCitation":"(Guluma, 2021)","plainTextFormattedCitation":"(Guluma, 2021)","previouslyFormattedCitation":"(Guluma, 2021)"},"properties":{"noteIndex":0},"schema":"https://github.com/citation-style-language/schema/raw/master/csl-citation.json"}</w:instrText>
      </w:r>
      <w:r w:rsidR="005B0F0D" w:rsidRPr="001065B5">
        <w:rPr>
          <w:rFonts w:ascii="Cambria" w:hAnsi="Cambria"/>
          <w:sz w:val="21"/>
          <w:szCs w:val="21"/>
        </w:rPr>
        <w:fldChar w:fldCharType="separate"/>
      </w:r>
      <w:r w:rsidR="008C696A" w:rsidRPr="001065B5">
        <w:rPr>
          <w:rFonts w:ascii="Cambria" w:hAnsi="Cambria"/>
          <w:noProof/>
          <w:sz w:val="21"/>
          <w:szCs w:val="21"/>
        </w:rPr>
        <w:t>(Guluma, 2021)</w:t>
      </w:r>
      <w:r w:rsidR="005B0F0D" w:rsidRPr="001065B5">
        <w:rPr>
          <w:rFonts w:ascii="Cambria" w:hAnsi="Cambria"/>
          <w:sz w:val="21"/>
          <w:szCs w:val="21"/>
        </w:rPr>
        <w:fldChar w:fldCharType="end"/>
      </w:r>
      <w:r w:rsidRPr="001065B5">
        <w:rPr>
          <w:rFonts w:ascii="Cambria" w:hAnsi="Cambria"/>
          <w:sz w:val="21"/>
          <w:szCs w:val="21"/>
        </w:rPr>
        <w:t xml:space="preserve">. A company is experiencing growth in a better direction if there is a consistent increase in its main operating activities. </w:t>
      </w:r>
      <w:r w:rsidRPr="001065B5">
        <w:rPr>
          <w:rFonts w:ascii="Cambria" w:hAnsi="Cambria"/>
          <w:color w:val="000000" w:themeColor="text1"/>
          <w:sz w:val="21"/>
          <w:szCs w:val="21"/>
        </w:rPr>
        <w:t xml:space="preserve">Companies with high-profit growth tend to present financial reports fairly so that the potential for the company to get an unqualified opinion is </w:t>
      </w:r>
      <w:r w:rsidR="005B0F0D" w:rsidRPr="001065B5">
        <w:rPr>
          <w:rFonts w:ascii="Cambria" w:hAnsi="Cambria"/>
          <w:color w:val="000000" w:themeColor="text1"/>
          <w:sz w:val="21"/>
          <w:szCs w:val="21"/>
          <w:lang w:val="en-US"/>
        </w:rPr>
        <w:t xml:space="preserve">greater. </w:t>
      </w:r>
      <w:r w:rsidR="00477A70" w:rsidRPr="001065B5">
        <w:rPr>
          <w:rFonts w:ascii="Cambria" w:hAnsi="Cambria"/>
          <w:color w:val="000000" w:themeColor="text1"/>
          <w:sz w:val="21"/>
          <w:szCs w:val="21"/>
          <w:lang w:val="en-US"/>
        </w:rPr>
        <w:fldChar w:fldCharType="begin" w:fldLock="1"/>
      </w:r>
      <w:r w:rsidR="00477A70" w:rsidRPr="001065B5">
        <w:rPr>
          <w:rFonts w:ascii="Cambria" w:hAnsi="Cambria"/>
          <w:color w:val="000000" w:themeColor="text1"/>
          <w:sz w:val="21"/>
          <w:szCs w:val="21"/>
          <w:lang w:val="en-US"/>
        </w:rPr>
        <w:instrText>ADDIN CSL_CITATION {"citationItems":[{"id":"ITEM-1","itemData":{"DOI":"10.1509/jmkg.73.3.52","author":[{"dropping-particle":"","family":"Brakus","given":"J Josko","non-dropping-particle":"","parse-names":false,"suffix":""}],"container-title":"Journal of Marketing","id":"ITEM-1","issued":{"date-parts":[["2014"]]},"page":"52-66","title":"Brand Experience : What Is It ? How Is It Measured ? Does It Affect Loyalty ?","type":"article-journal","volume":"73"},"uris":["http://www.mendeley.com/documents/?uuid=02b3c783-16e8-4769-bd47-ed4a9445cd80"]}],"mendeley":{"formattedCitation":"(Brakus, 2014)","plainTextFormattedCitation":"(Brakus, 2014)","previouslyFormattedCitation":"(Brakus, 2014)"},"properties":{"noteIndex":0},"schema":"https://github.com/citation-style-language/schema/raw/master/csl-citation.json"}</w:instrText>
      </w:r>
      <w:r w:rsidR="00477A70" w:rsidRPr="001065B5">
        <w:rPr>
          <w:rFonts w:ascii="Cambria" w:hAnsi="Cambria"/>
          <w:color w:val="000000" w:themeColor="text1"/>
          <w:sz w:val="21"/>
          <w:szCs w:val="21"/>
          <w:lang w:val="en-US"/>
        </w:rPr>
        <w:fldChar w:fldCharType="separate"/>
      </w:r>
      <w:r w:rsidR="005B0F0D" w:rsidRPr="001065B5">
        <w:rPr>
          <w:rFonts w:ascii="Cambria" w:hAnsi="Cambria"/>
          <w:noProof/>
          <w:color w:val="000000" w:themeColor="text1"/>
          <w:sz w:val="21"/>
          <w:szCs w:val="21"/>
          <w:lang w:val="en-US"/>
        </w:rPr>
        <w:t>(Brakus, 2014)</w:t>
      </w:r>
      <w:r w:rsidR="00477A70" w:rsidRPr="001065B5">
        <w:rPr>
          <w:rFonts w:ascii="Cambria" w:hAnsi="Cambria"/>
          <w:color w:val="000000" w:themeColor="text1"/>
          <w:sz w:val="21"/>
          <w:szCs w:val="21"/>
          <w:lang w:val="en-US"/>
        </w:rPr>
        <w:fldChar w:fldCharType="end"/>
      </w:r>
      <w:r w:rsidRPr="001065B5">
        <w:rPr>
          <w:rFonts w:ascii="Cambria" w:hAnsi="Cambria"/>
          <w:color w:val="000000" w:themeColor="text1"/>
          <w:sz w:val="21"/>
          <w:szCs w:val="21"/>
        </w:rPr>
        <w:t xml:space="preserve">. </w:t>
      </w:r>
      <w:r w:rsidRPr="001065B5">
        <w:rPr>
          <w:rFonts w:ascii="Cambria" w:hAnsi="Cambria"/>
          <w:sz w:val="21"/>
          <w:szCs w:val="21"/>
        </w:rPr>
        <w:t xml:space="preserve">Vice versa, if a company has negative profit growth, it will potentially experience bankruptcy, and the ability to maintain its survival is doubtful, so the auditor tends to issue a </w:t>
      </w:r>
      <w:r w:rsidRPr="001065B5">
        <w:rPr>
          <w:rFonts w:ascii="Cambria" w:hAnsi="Cambria"/>
          <w:iCs/>
          <w:sz w:val="21"/>
          <w:szCs w:val="21"/>
        </w:rPr>
        <w:t xml:space="preserve">going </w:t>
      </w:r>
      <w:r w:rsidR="00477A70" w:rsidRPr="001065B5">
        <w:rPr>
          <w:rFonts w:ascii="Cambria" w:hAnsi="Cambria"/>
          <w:iCs/>
          <w:sz w:val="21"/>
          <w:szCs w:val="21"/>
          <w:lang w:val="en-US"/>
        </w:rPr>
        <w:t xml:space="preserve">concern </w:t>
      </w:r>
      <w:r w:rsidRPr="001065B5">
        <w:rPr>
          <w:rFonts w:ascii="Cambria" w:hAnsi="Cambria"/>
          <w:sz w:val="21"/>
          <w:szCs w:val="21"/>
        </w:rPr>
        <w:t>audit opinion</w:t>
      </w:r>
      <w:r w:rsidR="00D40B81">
        <w:rPr>
          <w:rFonts w:ascii="Cambria" w:hAnsi="Cambria"/>
          <w:sz w:val="21"/>
          <w:szCs w:val="21"/>
          <w:lang w:val="en-US"/>
        </w:rPr>
        <w:t xml:space="preserve"> </w:t>
      </w:r>
      <w:r w:rsidR="00184A9A" w:rsidRPr="001065B5">
        <w:rPr>
          <w:rFonts w:ascii="Cambria" w:hAnsi="Cambria"/>
          <w:iCs/>
          <w:sz w:val="21"/>
          <w:szCs w:val="21"/>
          <w:lang w:val="en-US"/>
        </w:rPr>
        <w:fldChar w:fldCharType="begin" w:fldLock="1"/>
      </w:r>
      <w:r w:rsidR="00184A9A" w:rsidRPr="001065B5">
        <w:rPr>
          <w:rFonts w:ascii="Cambria" w:hAnsi="Cambria"/>
          <w:iCs/>
          <w:sz w:val="21"/>
          <w:szCs w:val="21"/>
          <w:lang w:val="en-US"/>
        </w:rPr>
        <w:instrText>ADDIN CSL_CITATION {"citationItems":[{"id":"ITEM-1","itemData":{"DOI":"10.1007/s10551-016-3045-6","ISSN":"15730697","abstract":"We extend research on the effects of local audit office characteristics on audit quality by investigating whether audit offices in highly religious U.S. Metropolitan Statistical Areas (MSAs) exhibit going concern decisions that reflect heightened professional skepticism relative to audit offices in less religious MSAs. Prior research links religiosity to risk aversion and ethical development and suggests audit practice offices in more religious MSAs are more likely to issue going concern opinions because they will assess the effects of mitigating factors in a more skeptical manner. Our results indicate that audit practice offices located in highly religious MSAs are more likely to issue going concern audit opinions, consistent with a more skeptical assessment of mitigating factors. Additional tests provide direct evidence consistent with the argument that these audit offices are more risk averse in issuing going concern opinions. Our findings are relevant to auditors, audit clients, researchers, and regulators.","author":[{"dropping-particle":"","family":"Omer","given":"Thomas C.","non-dropping-particle":"","parse-names":false,"suffix":""},{"dropping-particle":"","family":"Sharp","given":"Nathan Y.","non-dropping-particle":"","parse-names":false,"suffix":""},{"dropping-particle":"","family":"Wang","given":"Dechun","non-dropping-particle":"","parse-names":false,"suffix":""}],"container-title":"Journal of Business Ethics","id":"ITEM-1","issue":"4","issued":{"date-parts":[["2018"]]},"page":"811-831","publisher":"Springer Netherlands","title":"The Impact of Religion on the Going Concern Reporting Decisions of Local Audit Offices","type":"article-journal","volume":"149"},"uris":["http://www.mendeley.com/documents/?uuid=e0502891-d6d4-45cb-a6d6-b3fbe0455168"]}],"mendeley":{"formattedCitation":"(Omer et al., 2018)","plainTextFormattedCitation":"(Omer et al., 2018)","previouslyFormattedCitation":"(Omer et al., 2018)"},"properties":{"noteIndex":0},"schema":"https://github.com/citation-style-language/schema/raw/master/csl-citation.json"}</w:instrText>
      </w:r>
      <w:r w:rsidR="00184A9A" w:rsidRPr="001065B5">
        <w:rPr>
          <w:rFonts w:ascii="Cambria" w:hAnsi="Cambria"/>
          <w:iCs/>
          <w:sz w:val="21"/>
          <w:szCs w:val="21"/>
          <w:lang w:val="en-US"/>
        </w:rPr>
        <w:fldChar w:fldCharType="separate"/>
      </w:r>
      <w:r w:rsidR="00477A70" w:rsidRPr="001065B5">
        <w:rPr>
          <w:rFonts w:ascii="Cambria" w:hAnsi="Cambria"/>
          <w:iCs/>
          <w:noProof/>
          <w:sz w:val="21"/>
          <w:szCs w:val="21"/>
          <w:lang w:val="en-US"/>
        </w:rPr>
        <w:t>(Omer et al., 2018)</w:t>
      </w:r>
      <w:r w:rsidR="00184A9A" w:rsidRPr="001065B5">
        <w:rPr>
          <w:rFonts w:ascii="Cambria" w:hAnsi="Cambria"/>
          <w:iCs/>
          <w:sz w:val="21"/>
          <w:szCs w:val="21"/>
          <w:lang w:val="en-US"/>
        </w:rPr>
        <w:fldChar w:fldCharType="end"/>
      </w:r>
      <w:r w:rsidRPr="003142D4">
        <w:rPr>
          <w:rFonts w:ascii="Cambria" w:hAnsi="Cambria"/>
          <w:i/>
          <w:iCs/>
          <w:sz w:val="21"/>
          <w:szCs w:val="21"/>
        </w:rPr>
        <w:t xml:space="preserve">. </w:t>
      </w:r>
      <w:r w:rsidRPr="003142D4">
        <w:rPr>
          <w:rFonts w:ascii="Cambria" w:hAnsi="Cambria"/>
          <w:i/>
          <w:iCs/>
          <w:sz w:val="21"/>
          <w:szCs w:val="21"/>
        </w:rPr>
        <w:tab/>
      </w:r>
    </w:p>
    <w:p w14:paraId="71F046C6" w14:textId="77777777" w:rsidR="00F04CEF" w:rsidRDefault="000F4100">
      <w:pPr>
        <w:pStyle w:val="Default"/>
        <w:ind w:firstLine="567"/>
        <w:jc w:val="both"/>
        <w:rPr>
          <w:rFonts w:ascii="Cambria" w:hAnsi="Cambria"/>
          <w:sz w:val="21"/>
          <w:szCs w:val="21"/>
        </w:rPr>
      </w:pPr>
      <w:r w:rsidRPr="002E650F">
        <w:rPr>
          <w:rFonts w:ascii="Cambria" w:hAnsi="Cambria"/>
          <w:sz w:val="21"/>
          <w:szCs w:val="21"/>
        </w:rPr>
        <w:t xml:space="preserve">Research on </w:t>
      </w:r>
      <w:r w:rsidRPr="002E650F">
        <w:rPr>
          <w:rFonts w:ascii="Cambria" w:hAnsi="Cambria"/>
          <w:iCs/>
          <w:sz w:val="21"/>
          <w:szCs w:val="21"/>
        </w:rPr>
        <w:t xml:space="preserve">ongoing concern </w:t>
      </w:r>
      <w:r w:rsidRPr="002E650F">
        <w:rPr>
          <w:rFonts w:ascii="Cambria" w:hAnsi="Cambria"/>
          <w:sz w:val="21"/>
          <w:szCs w:val="21"/>
        </w:rPr>
        <w:t xml:space="preserve">audit opinion that has been </w:t>
      </w:r>
      <w:r w:rsidR="00184A9A" w:rsidRPr="002E650F">
        <w:rPr>
          <w:rFonts w:ascii="Cambria" w:hAnsi="Cambria"/>
          <w:sz w:val="21"/>
          <w:szCs w:val="21"/>
        </w:rPr>
        <w:t>done before</w:t>
      </w:r>
      <w:r w:rsidR="00D40B81">
        <w:rPr>
          <w:rFonts w:ascii="Cambria" w:hAnsi="Cambria"/>
          <w:sz w:val="21"/>
          <w:szCs w:val="21"/>
          <w:lang w:val="en-US"/>
        </w:rPr>
        <w:t xml:space="preserve"> is by </w:t>
      </w:r>
      <w:r w:rsidR="00EC3C71" w:rsidRPr="002E650F">
        <w:rPr>
          <w:rFonts w:ascii="Cambria" w:hAnsi="Cambria"/>
          <w:sz w:val="21"/>
          <w:szCs w:val="21"/>
          <w:lang w:val="en-US"/>
        </w:rPr>
        <w:fldChar w:fldCharType="begin" w:fldLock="1"/>
      </w:r>
      <w:r w:rsidR="00EC3C71" w:rsidRPr="002E650F">
        <w:rPr>
          <w:rFonts w:ascii="Cambria" w:hAnsi="Cambria"/>
          <w:sz w:val="21"/>
          <w:szCs w:val="21"/>
          <w:lang w:val="en-US"/>
        </w:rPr>
        <w:instrText>ADDIN CSL_CITATION {"citationItems":[{"id":"ITEM-1","itemData":{"DOI":"10.33395/owner.v5i1.348","ISSN":"2548-7507","abstract":"Audit reports are used by auditors to inform the accuracy of the information in the financial statements. The auditor as an independent party has the competence to provide an opinion on the client's financial condition. If it is estimated that the company cannot continue its activities, it is likely that it will get a going concern audit opinion. Audit opinion can help investors and other stakeholders in assessing the status of the company's business continuity. The important thing from a going concern audit opinion is to provide additional information for investors in making investment decisions. This study analyzes the factors that determine going concern audit opinion on manufacturing companies listed on the Indonesia Stock Exchange. The factors tested in this study are leverage, initial opinion, company growth and company size. The study used a sample of 125 companies for the 2014-2018 period. The results of data analysis were obtained from logistic regression tests. The empirical results show that prior opinion and leverage increase the likelihood of receiving a going concern opinion. Meanwhile, company growth and company size have no effect on going concern audit opinion. Nagelkerke's R Square test shows the ability of the factors in this study to explain 63.1% of going-concern audit opinion, while 36.9% is explained by other factors outside the research model. The findings from this study are expected to help investors and other stakeholders to prevent losses if they invest in companies that have the potential to go bankrupt.","author":[{"dropping-particle":"","family":"Halim","given":"Kusuma Indawati","non-dropping-particle":"","parse-names":false,"suffix":""}],"container-title":"Owner","id":"ITEM-1","issue":"1","issued":{"date-parts":[["2021"]]},"page":"164-173","title":"Pengaruh Leverage, Opini Audit Tahun Sebelumnya, Pertumbuhan Perusahaan, dan Ukuran Perusahaan terhadap Opini Audit Going Concern","type":"article-journal","volume":"5"},"uris":["http://www.mendeley.com/documents/?uuid=11b52732-f267-4860-9e1a-6cbb3385bd8c"]}],"mendeley":{"formattedCitation":"(Halim, 2021)","manualFormatting":"Halim (2021)","plainTextFormattedCitation":"(Halim, 2021)","previouslyFormattedCitation":"(Halim, 2021)"},"properties":{"noteIndex":0},"schema":"https://github.com/citation-style-language/schema/raw/master/csl-citation.json"}</w:instrText>
      </w:r>
      <w:r w:rsidR="00EC3C71" w:rsidRPr="002E650F">
        <w:rPr>
          <w:rFonts w:ascii="Cambria" w:hAnsi="Cambria"/>
          <w:sz w:val="21"/>
          <w:szCs w:val="21"/>
          <w:lang w:val="en-US"/>
        </w:rPr>
        <w:fldChar w:fldCharType="separate"/>
      </w:r>
      <w:r w:rsidR="00184A9A" w:rsidRPr="002E650F">
        <w:rPr>
          <w:rFonts w:ascii="Cambria" w:hAnsi="Cambria"/>
          <w:noProof/>
          <w:sz w:val="21"/>
          <w:szCs w:val="21"/>
          <w:lang w:val="en-US"/>
        </w:rPr>
        <w:t>Halim (2021)</w:t>
      </w:r>
      <w:r w:rsidR="00EC3C71" w:rsidRPr="002E650F">
        <w:rPr>
          <w:rFonts w:ascii="Cambria" w:hAnsi="Cambria"/>
          <w:sz w:val="21"/>
          <w:szCs w:val="21"/>
          <w:lang w:val="en-US"/>
        </w:rPr>
        <w:fldChar w:fldCharType="end"/>
      </w:r>
      <w:r w:rsidR="00D40B81">
        <w:rPr>
          <w:rFonts w:ascii="Cambria" w:hAnsi="Cambria"/>
          <w:sz w:val="21"/>
          <w:szCs w:val="21"/>
          <w:lang w:val="en-US"/>
        </w:rPr>
        <w:t xml:space="preserve"> </w:t>
      </w:r>
      <w:r w:rsidRPr="002E650F">
        <w:rPr>
          <w:rFonts w:ascii="Cambria" w:hAnsi="Cambria"/>
          <w:sz w:val="21"/>
          <w:szCs w:val="21"/>
        </w:rPr>
        <w:t xml:space="preserve">with the results that </w:t>
      </w:r>
      <w:r w:rsidRPr="002E650F">
        <w:rPr>
          <w:rFonts w:ascii="Cambria" w:hAnsi="Cambria"/>
          <w:iCs/>
          <w:sz w:val="21"/>
          <w:szCs w:val="21"/>
        </w:rPr>
        <w:t xml:space="preserve">leverage </w:t>
      </w:r>
      <w:r w:rsidRPr="002E650F">
        <w:rPr>
          <w:rFonts w:ascii="Cambria" w:hAnsi="Cambria"/>
          <w:sz w:val="21"/>
          <w:szCs w:val="21"/>
        </w:rPr>
        <w:t xml:space="preserve">and the previous year's audit opinion have a positive influence on </w:t>
      </w:r>
      <w:r w:rsidRPr="002E650F">
        <w:rPr>
          <w:rFonts w:ascii="Cambria" w:hAnsi="Cambria"/>
          <w:iCs/>
          <w:sz w:val="21"/>
          <w:szCs w:val="21"/>
        </w:rPr>
        <w:t>ongoing concern audit opinion</w:t>
      </w:r>
      <w:r w:rsidRPr="002E650F">
        <w:rPr>
          <w:rFonts w:ascii="Cambria" w:hAnsi="Cambria"/>
          <w:sz w:val="21"/>
          <w:szCs w:val="21"/>
        </w:rPr>
        <w:t xml:space="preserve">, company growth and company size have no effect on </w:t>
      </w:r>
      <w:r w:rsidRPr="002E650F">
        <w:rPr>
          <w:rFonts w:ascii="Cambria" w:hAnsi="Cambria"/>
          <w:iCs/>
          <w:sz w:val="21"/>
          <w:szCs w:val="21"/>
        </w:rPr>
        <w:t xml:space="preserve">going concern </w:t>
      </w:r>
      <w:r w:rsidRPr="002E650F">
        <w:rPr>
          <w:rFonts w:ascii="Cambria" w:hAnsi="Cambria"/>
          <w:sz w:val="21"/>
          <w:szCs w:val="21"/>
        </w:rPr>
        <w:t xml:space="preserve">audit opinion. Research by </w:t>
      </w:r>
      <w:r w:rsidR="00D452EE" w:rsidRPr="002E650F">
        <w:rPr>
          <w:rFonts w:ascii="Cambria" w:hAnsi="Cambria"/>
          <w:sz w:val="21"/>
          <w:szCs w:val="21"/>
        </w:rPr>
        <w:fldChar w:fldCharType="begin" w:fldLock="1"/>
      </w:r>
      <w:r w:rsidR="00D452EE" w:rsidRPr="002E650F">
        <w:rPr>
          <w:rFonts w:ascii="Cambria" w:hAnsi="Cambria"/>
          <w:sz w:val="21"/>
          <w:szCs w:val="21"/>
        </w:rPr>
        <w:instrText>ADDIN CSL_CITATION {"citationItems":[{"id":"ITEM-1","itemData":{"DOI":"10.2991/aer.k.210121.027","abstract":"This study aims to analyze the influence of audit tenure, audit delay, corporate growth, profitability, leverage, and financial distress toward acceptance of going concern audit opinion. The research used manufacturing companies listed on the Indonesia Stock Exchange in 2015-2017 and obtained samples of 34 companies and 102 data to be observed for three years of the research period. This study utilized the statistical analysis technique of logistic regression. The results suggested that the variables of audit tenure, audit delay, corporate growth, and financial distress had no significant effect on the acceptance of going concern audit opinion. Instead, profitability and leverage variables significantly affected the acceptance of going concern audit opinion.","author":[{"dropping-particle":"","family":"Putra","given":"Wahyu Manuhara","non-dropping-particle":"","parse-names":false,"suffix":""},{"dropping-particle":"","family":"Purnamawati","given":"Rita","non-dropping-particle":"","parse-names":false,"suffix":""}],"container-title":"Proceedings of the 4th International Conference on Sustainable Innovation 2020-Accounting and Management (ICoSIAMS 2020)","id":"ITEM-1","issue":"ICoSIAMS 2020","issued":{"date-parts":[["2021"]]},"page":"199-208","title":"The Effect of Audit Tenure, Audit Delay, Company Growth, Profitability, Leverage, and Financial Difficulties on Acceptance of Going Concern Audit Opinions","type":"article-journal","volume":"176"},"uris":["http://www.mendeley.com/documents/?uuid=3f953d55-4b64-495c-9d14-e77ae350d5cf"]}],"mendeley":{"formattedCitation":"(Putra &amp; Purnamawati, 2021)","manualFormatting":"Putra &amp; Purnamawati (2021)","plainTextFormattedCitation":"(Putra &amp; Purnamawati, 2021)","previouslyFormattedCitation":"(Putra &amp; Purnamawati, 2021)"},"properties":{"noteIndex":0},"schema":"https://github.com/citation-style-language/schema/raw/master/csl-citation.json"}</w:instrText>
      </w:r>
      <w:r w:rsidR="00D452EE" w:rsidRPr="002E650F">
        <w:rPr>
          <w:rFonts w:ascii="Cambria" w:hAnsi="Cambria"/>
          <w:sz w:val="21"/>
          <w:szCs w:val="21"/>
        </w:rPr>
        <w:fldChar w:fldCharType="separate"/>
      </w:r>
      <w:r w:rsidR="00EC3C71" w:rsidRPr="002E650F">
        <w:rPr>
          <w:rFonts w:ascii="Cambria" w:hAnsi="Cambria"/>
          <w:noProof/>
          <w:sz w:val="21"/>
          <w:szCs w:val="21"/>
        </w:rPr>
        <w:t xml:space="preserve">Putra &amp; Purnamawati </w:t>
      </w:r>
      <w:r w:rsidR="00EC3C71" w:rsidRPr="002E650F">
        <w:rPr>
          <w:rFonts w:ascii="Cambria" w:hAnsi="Cambria"/>
          <w:noProof/>
          <w:sz w:val="21"/>
          <w:szCs w:val="21"/>
          <w:lang w:val="en-US"/>
        </w:rPr>
        <w:t>(</w:t>
      </w:r>
      <w:r w:rsidR="00EC3C71" w:rsidRPr="002E650F">
        <w:rPr>
          <w:rFonts w:ascii="Cambria" w:hAnsi="Cambria"/>
          <w:noProof/>
          <w:sz w:val="21"/>
          <w:szCs w:val="21"/>
        </w:rPr>
        <w:t>2021)</w:t>
      </w:r>
      <w:r w:rsidR="00D452EE" w:rsidRPr="002E650F">
        <w:rPr>
          <w:rFonts w:ascii="Cambria" w:hAnsi="Cambria"/>
          <w:sz w:val="21"/>
          <w:szCs w:val="21"/>
        </w:rPr>
        <w:fldChar w:fldCharType="end"/>
      </w:r>
      <w:r w:rsidRPr="002E650F">
        <w:rPr>
          <w:rFonts w:ascii="Cambria" w:hAnsi="Cambria"/>
          <w:sz w:val="21"/>
          <w:szCs w:val="21"/>
        </w:rPr>
        <w:t xml:space="preserve">concluded that profitability, </w:t>
      </w:r>
      <w:r w:rsidRPr="002E650F">
        <w:rPr>
          <w:rFonts w:ascii="Cambria" w:hAnsi="Cambria"/>
          <w:iCs/>
          <w:sz w:val="21"/>
          <w:szCs w:val="21"/>
        </w:rPr>
        <w:t xml:space="preserve">leverage </w:t>
      </w:r>
      <w:r w:rsidRPr="002E650F">
        <w:rPr>
          <w:rFonts w:ascii="Cambria" w:hAnsi="Cambria"/>
          <w:sz w:val="21"/>
          <w:szCs w:val="21"/>
        </w:rPr>
        <w:t xml:space="preserve">and company growth significantly affect </w:t>
      </w:r>
      <w:r w:rsidRPr="002E650F">
        <w:rPr>
          <w:rFonts w:ascii="Cambria" w:hAnsi="Cambria"/>
          <w:iCs/>
          <w:sz w:val="21"/>
          <w:szCs w:val="21"/>
        </w:rPr>
        <w:t>going concern audit opinion</w:t>
      </w:r>
      <w:r w:rsidRPr="002E650F">
        <w:rPr>
          <w:rFonts w:ascii="Cambria" w:hAnsi="Cambria"/>
          <w:sz w:val="21"/>
          <w:szCs w:val="21"/>
        </w:rPr>
        <w:t xml:space="preserve">. It is inversely proportional to research from </w:t>
      </w:r>
      <w:r w:rsidR="00575591">
        <w:rPr>
          <w:rFonts w:ascii="Cambria" w:hAnsi="Cambria"/>
          <w:sz w:val="21"/>
          <w:szCs w:val="21"/>
        </w:rPr>
        <w:fldChar w:fldCharType="begin" w:fldLock="1"/>
      </w:r>
      <w:r w:rsidR="00575591">
        <w:rPr>
          <w:rFonts w:ascii="Cambria" w:hAnsi="Cambria"/>
          <w:sz w:val="21"/>
          <w:szCs w:val="21"/>
        </w:rPr>
        <w:instrText>ADDIN CSL_CITATION {"citationItems":[{"id":"ITEM-1","itemData":{"DOI":"10.22225/jraw.2.2.3364.70-74","ISSN":"2686-486X","abstract":"Penelitian ini adalah penelitian kuantitatif bertujuan untuk membuktikan secara empiris pengaruh Profitabilitas, Ukuran Perusahaan, Pertumbuhan Perusahaan dan Leverage terhadap Penerimaan Opini Audit Going Concern (Pada Perusahaan Manufaktur Sektor Industri Barang Konsumsi Di BEI Periode 2017-2019). Penelitian ini menggunakan data sekunder dengan metode Analisis Regresi Logistik. Hasil dari penelitian ini yaitu profitabilitas dan ukuran perusahaan tidak berpengaruh terhadap opini audit going concern. Pertumbuhan pertumbuhan perusahaan berpengaruh negatif terhadap penerimaan opini audit going concern. Sedangkan leverage berpengaruh positif terhadap penerimaan opini audit going concern\r  ","author":[{"dropping-particle":"","family":"Yanti","given":"Ni Kadek Suartika","non-dropping-particle":"","parse-names":false,"suffix":""},{"dropping-particle":"","family":"Datrini","given":"Luh Kade","non-dropping-particle":"","parse-names":false,"suffix":""},{"dropping-particle":"","family":"Larasdiputra","given":"Gde Deny","non-dropping-particle":"","parse-names":false,"suffix":""}],"container-title":"Jurnal Riset Akuntansi Warmadewa","id":"ITEM-1","issue":"2","issued":{"date-parts":[["2021"]]},"page":"70-74","title":"Pengaruh Profitabilitas, Ukuran Perusahaan, Pertumbuhan Perusahaan Dan Leverage Terhadap Penerimaan Opini Audit Going Concern (Pada Perusahaan Manufaktur Sektor Industri Barang Konsumsi di BEI Periode 2017-2019)","type":"article-journal","volume":"2"},"uris":["http://www.mendeley.com/documents/?uuid=e12440cf-2f85-4f24-a7e0-eb7cee5d6e3d"]}],"mendeley":{"formattedCitation":"(Yanti et al., 2021)","manualFormatting":"Yanti et al. (2021)","plainTextFormattedCitation":"(Yanti et al., 2021)","previouslyFormattedCitation":"(Yanti et al., 2021)"},"properties":{"noteIndex":0},"schema":"https://github.com/citation-style-language/schema/raw/master/csl-citation.json"}</w:instrText>
      </w:r>
      <w:r w:rsidR="00575591">
        <w:rPr>
          <w:rFonts w:ascii="Cambria" w:hAnsi="Cambria"/>
          <w:sz w:val="21"/>
          <w:szCs w:val="21"/>
        </w:rPr>
        <w:fldChar w:fldCharType="separate"/>
      </w:r>
      <w:r w:rsidR="00D452EE" w:rsidRPr="002E650F">
        <w:rPr>
          <w:rFonts w:ascii="Cambria" w:hAnsi="Cambria"/>
          <w:noProof/>
          <w:sz w:val="21"/>
          <w:szCs w:val="21"/>
        </w:rPr>
        <w:t xml:space="preserve">Yanti et al. </w:t>
      </w:r>
      <w:r w:rsidR="00D452EE" w:rsidRPr="002E650F">
        <w:rPr>
          <w:rFonts w:ascii="Cambria" w:hAnsi="Cambria"/>
          <w:noProof/>
          <w:sz w:val="21"/>
          <w:szCs w:val="21"/>
          <w:lang w:val="en-US"/>
        </w:rPr>
        <w:t>(</w:t>
      </w:r>
      <w:r w:rsidR="00D452EE" w:rsidRPr="002E650F">
        <w:rPr>
          <w:rFonts w:ascii="Cambria" w:hAnsi="Cambria"/>
          <w:noProof/>
          <w:sz w:val="21"/>
          <w:szCs w:val="21"/>
        </w:rPr>
        <w:t>2021)</w:t>
      </w:r>
      <w:r w:rsidR="00575591">
        <w:rPr>
          <w:rFonts w:ascii="Cambria" w:hAnsi="Cambria"/>
          <w:sz w:val="21"/>
          <w:szCs w:val="21"/>
        </w:rPr>
        <w:fldChar w:fldCharType="end"/>
      </w:r>
      <w:r w:rsidRPr="002E650F">
        <w:rPr>
          <w:rFonts w:ascii="Cambria" w:hAnsi="Cambria"/>
          <w:sz w:val="21"/>
          <w:szCs w:val="21"/>
        </w:rPr>
        <w:t xml:space="preserve">with the results that profitability has no effect on </w:t>
      </w:r>
      <w:r w:rsidRPr="002E650F">
        <w:rPr>
          <w:rFonts w:ascii="Cambria" w:hAnsi="Cambria"/>
          <w:iCs/>
          <w:sz w:val="21"/>
          <w:szCs w:val="21"/>
        </w:rPr>
        <w:t xml:space="preserve">going concern audit </w:t>
      </w:r>
      <w:r w:rsidRPr="002E650F">
        <w:rPr>
          <w:rFonts w:ascii="Cambria" w:hAnsi="Cambria"/>
          <w:sz w:val="21"/>
          <w:szCs w:val="21"/>
        </w:rPr>
        <w:t xml:space="preserve">opinion acceptance, company size has no effect on </w:t>
      </w:r>
      <w:r w:rsidRPr="002E650F">
        <w:rPr>
          <w:rFonts w:ascii="Cambria" w:hAnsi="Cambria"/>
          <w:iCs/>
          <w:sz w:val="21"/>
          <w:szCs w:val="21"/>
        </w:rPr>
        <w:t xml:space="preserve">going concerned </w:t>
      </w:r>
      <w:r w:rsidRPr="002E650F">
        <w:rPr>
          <w:rFonts w:ascii="Cambria" w:hAnsi="Cambria"/>
          <w:sz w:val="21"/>
          <w:szCs w:val="21"/>
        </w:rPr>
        <w:t>audit opinion acceptance</w:t>
      </w:r>
      <w:r w:rsidRPr="002E650F">
        <w:rPr>
          <w:rFonts w:ascii="Cambria" w:hAnsi="Cambria"/>
          <w:iCs/>
          <w:sz w:val="21"/>
          <w:szCs w:val="21"/>
        </w:rPr>
        <w:t xml:space="preserve">, </w:t>
      </w:r>
      <w:r w:rsidRPr="002E650F">
        <w:rPr>
          <w:rFonts w:ascii="Cambria" w:hAnsi="Cambria"/>
          <w:sz w:val="21"/>
          <w:szCs w:val="21"/>
        </w:rPr>
        <w:t xml:space="preserve">company growth has a negative effect on </w:t>
      </w:r>
      <w:r w:rsidRPr="002E650F">
        <w:rPr>
          <w:rFonts w:ascii="Cambria" w:hAnsi="Cambria"/>
          <w:iCs/>
          <w:sz w:val="21"/>
          <w:szCs w:val="21"/>
        </w:rPr>
        <w:t xml:space="preserve">going concern audit opinion acceptance, </w:t>
      </w:r>
      <w:r w:rsidRPr="002E650F">
        <w:rPr>
          <w:rFonts w:ascii="Cambria" w:hAnsi="Cambria"/>
          <w:sz w:val="21"/>
          <w:szCs w:val="21"/>
        </w:rPr>
        <w:t xml:space="preserve">and </w:t>
      </w:r>
      <w:r w:rsidRPr="002E650F">
        <w:rPr>
          <w:rFonts w:ascii="Cambria" w:hAnsi="Cambria"/>
          <w:iCs/>
          <w:sz w:val="21"/>
          <w:szCs w:val="21"/>
        </w:rPr>
        <w:t xml:space="preserve">leverage has a </w:t>
      </w:r>
      <w:r w:rsidRPr="002E650F">
        <w:rPr>
          <w:rFonts w:ascii="Cambria" w:hAnsi="Cambria"/>
          <w:sz w:val="21"/>
          <w:szCs w:val="21"/>
        </w:rPr>
        <w:t xml:space="preserve">positive effect on going </w:t>
      </w:r>
      <w:r w:rsidRPr="002E650F">
        <w:rPr>
          <w:rFonts w:ascii="Cambria" w:hAnsi="Cambria"/>
          <w:iCs/>
          <w:sz w:val="21"/>
          <w:szCs w:val="21"/>
        </w:rPr>
        <w:t>concern audit opinion acceptance</w:t>
      </w:r>
      <w:r w:rsidRPr="002E650F">
        <w:rPr>
          <w:rFonts w:ascii="Cambria" w:hAnsi="Cambria"/>
          <w:sz w:val="21"/>
          <w:szCs w:val="21"/>
        </w:rPr>
        <w:t>.</w:t>
      </w:r>
    </w:p>
    <w:p w14:paraId="29D81EDB" w14:textId="77777777" w:rsidR="00F04CEF" w:rsidRDefault="000F4100">
      <w:pPr>
        <w:pStyle w:val="Default"/>
        <w:ind w:firstLine="284"/>
        <w:jc w:val="both"/>
        <w:rPr>
          <w:rFonts w:ascii="Cambria" w:hAnsi="Cambria"/>
          <w:sz w:val="21"/>
          <w:szCs w:val="21"/>
          <w:lang w:val="en-US"/>
        </w:rPr>
      </w:pPr>
      <w:r w:rsidRPr="003142D4">
        <w:rPr>
          <w:rFonts w:ascii="Cambria" w:hAnsi="Cambria"/>
          <w:sz w:val="21"/>
          <w:szCs w:val="21"/>
        </w:rPr>
        <w:t xml:space="preserve">In this study, researchers used manufacturing companies listed on the Indonesia Stock Exchange (IDX) from 2019 to 2020 as research objects. Manufacturing companies are a sector that is important for a country's economic and industrial development. In Indonesia, there are more manufacturing companies listed on the IDX than companies in other sectors, and it is one of the sectors affected by uncertainty due to Covid-19. Therefore, information about manufacturing companies will be very useful for users of financial statements. Therefore, </w:t>
      </w:r>
      <w:r w:rsidR="00620E2F" w:rsidRPr="00620E2F">
        <w:rPr>
          <w:rFonts w:ascii="Cambria" w:hAnsi="Cambria"/>
          <w:sz w:val="21"/>
          <w:szCs w:val="21"/>
        </w:rPr>
        <w:t>this study aim</w:t>
      </w:r>
      <w:r w:rsidR="00D40B81">
        <w:rPr>
          <w:rFonts w:ascii="Cambria" w:hAnsi="Cambria"/>
          <w:sz w:val="21"/>
          <w:szCs w:val="21"/>
          <w:lang w:val="en-US"/>
        </w:rPr>
        <w:t>ed</w:t>
      </w:r>
      <w:r w:rsidR="00620E2F" w:rsidRPr="00620E2F">
        <w:rPr>
          <w:rFonts w:ascii="Cambria" w:hAnsi="Cambria"/>
          <w:sz w:val="21"/>
          <w:szCs w:val="21"/>
        </w:rPr>
        <w:t xml:space="preserve"> to determine the effect of profitability, </w:t>
      </w:r>
      <w:r w:rsidR="00620E2F" w:rsidRPr="00620E2F">
        <w:rPr>
          <w:rFonts w:ascii="Cambria" w:hAnsi="Cambria"/>
          <w:iCs/>
          <w:sz w:val="21"/>
          <w:szCs w:val="21"/>
        </w:rPr>
        <w:t xml:space="preserve">leverage and </w:t>
      </w:r>
      <w:r w:rsidR="00620E2F" w:rsidRPr="00620E2F">
        <w:rPr>
          <w:rFonts w:ascii="Cambria" w:hAnsi="Cambria"/>
          <w:sz w:val="21"/>
          <w:szCs w:val="21"/>
        </w:rPr>
        <w:t>company growth on</w:t>
      </w:r>
      <w:r w:rsidR="00620E2F" w:rsidRPr="00620E2F">
        <w:rPr>
          <w:rFonts w:ascii="Cambria" w:hAnsi="Cambria"/>
          <w:iCs/>
          <w:sz w:val="21"/>
          <w:szCs w:val="21"/>
        </w:rPr>
        <w:t xml:space="preserve">going concern </w:t>
      </w:r>
      <w:r w:rsidR="00620E2F" w:rsidRPr="00620E2F">
        <w:rPr>
          <w:rFonts w:ascii="Cambria" w:hAnsi="Cambria"/>
          <w:sz w:val="21"/>
          <w:szCs w:val="21"/>
        </w:rPr>
        <w:t>audit opinion acceptance before and during the Covid-19 pandemic</w:t>
      </w:r>
      <w:r w:rsidR="00620E2F" w:rsidRPr="00620E2F">
        <w:rPr>
          <w:rFonts w:ascii="Cambria" w:hAnsi="Cambria"/>
          <w:iCs/>
          <w:sz w:val="21"/>
          <w:szCs w:val="21"/>
        </w:rPr>
        <w:t>.</w:t>
      </w:r>
    </w:p>
    <w:p w14:paraId="63247406" w14:textId="77777777" w:rsidR="00F04CEF" w:rsidRDefault="000F4100">
      <w:pPr>
        <w:pStyle w:val="07HEADA"/>
      </w:pPr>
      <w:r>
        <w:t>RESEARCH METHOD</w:t>
      </w:r>
    </w:p>
    <w:p w14:paraId="0883FA6D" w14:textId="77777777" w:rsidR="00F04CEF" w:rsidRPr="00E216ED" w:rsidRDefault="000F4100">
      <w:pPr>
        <w:spacing w:after="0" w:line="240" w:lineRule="auto"/>
        <w:ind w:firstLine="567"/>
        <w:jc w:val="both"/>
        <w:rPr>
          <w:rFonts w:ascii="Cambria" w:hAnsi="Cambria"/>
          <w:sz w:val="21"/>
          <w:szCs w:val="21"/>
        </w:rPr>
      </w:pPr>
      <w:r w:rsidRPr="003142D4">
        <w:rPr>
          <w:rFonts w:ascii="Cambria" w:hAnsi="Cambria"/>
          <w:sz w:val="21"/>
          <w:szCs w:val="21"/>
        </w:rPr>
        <w:t xml:space="preserve">The type of data </w:t>
      </w:r>
      <w:r w:rsidRPr="00326EFF">
        <w:rPr>
          <w:rFonts w:ascii="Cambria" w:hAnsi="Cambria"/>
          <w:sz w:val="21"/>
          <w:szCs w:val="21"/>
        </w:rPr>
        <w:t>used is quantitative</w:t>
      </w:r>
      <w:r w:rsidRPr="003142D4">
        <w:rPr>
          <w:rFonts w:ascii="Cambria" w:hAnsi="Cambria"/>
          <w:sz w:val="21"/>
          <w:szCs w:val="21"/>
        </w:rPr>
        <w:t xml:space="preserve"> data. The data used in this study include annual reports, audited financial statements, and independent auditor reports of manufacturing companies listed on the Indonesia Stock Exchange (IDX). The data source used </w:t>
      </w:r>
      <w:r w:rsidR="00FF5F16">
        <w:rPr>
          <w:rFonts w:ascii="Cambria" w:hAnsi="Cambria"/>
          <w:sz w:val="21"/>
          <w:szCs w:val="21"/>
        </w:rPr>
        <w:t>was</w:t>
      </w:r>
      <w:r w:rsidRPr="003142D4">
        <w:rPr>
          <w:rFonts w:ascii="Cambria" w:hAnsi="Cambria"/>
          <w:sz w:val="21"/>
          <w:szCs w:val="21"/>
        </w:rPr>
        <w:t xml:space="preserve"> secondary data. Secondary data has been collected by data collection agencies and published </w:t>
      </w:r>
      <w:r w:rsidR="00575591">
        <w:rPr>
          <w:rFonts w:ascii="Cambria" w:hAnsi="Cambria"/>
          <w:sz w:val="21"/>
          <w:szCs w:val="21"/>
        </w:rPr>
        <w:t xml:space="preserve">to the user community. </w:t>
      </w:r>
      <w:r w:rsidR="0030771C">
        <w:rPr>
          <w:rFonts w:ascii="Cambria" w:hAnsi="Cambria"/>
          <w:sz w:val="21"/>
          <w:szCs w:val="21"/>
        </w:rPr>
        <w:fldChar w:fldCharType="begin" w:fldLock="1"/>
      </w:r>
      <w:r w:rsidR="0030771C">
        <w:rPr>
          <w:rFonts w:ascii="Cambria" w:hAnsi="Cambria"/>
          <w:sz w:val="21"/>
          <w:szCs w:val="21"/>
        </w:rPr>
        <w:instrText>ADDIN CSL_CITATION {"citationItems":[{"id":"ITEM-1","itemData":{"DOI":"10.6004/jadpro.2019.10.4.7","ISSN":"21500878","abstract":"In secondary data analysis (SDA) studies, investigators use data col-ry data researchers, SDA investigators must be knowledgeable about their research area to identify datasets that are a good fit for an SDA. Several sources of datasets may be useful for SDA, and examples of some of these will be discussed. Advanced practice providers must be aware of possible advantages, such as economic savings, the ability to examine clinically significant research questions in large datasets that may have been collected over time (longitudinal data), generating new hypotheses or clarifying research questions, and avoiding over-burdening sensitive populations or investigating sensitive areas. When reading an SDA report, the reader should be able to determine that the authors identified the limitation or disadvantages of their research. For example, a primary dataset cannot \"fit\" an SDA researcher's study exactly, SDAs are inherently limited by the inability to definitively examine causality given their retrospective nature, and data may be too old to address current issues.","container-title":"Journal of the Advanced Practitioner in Oncology","id":"ITEM-1","issue":"4","issued":{"date-parts":[["2019"]]},"page":"395-400","title":"Secondary Analysis Research","type":"article-journal","volume":"10"},"uris":["http://www.mendeley.com/documents/?uuid=8d508cd2-3490-4035-b858-4172fe81692f"]}],"mendeley":{"formattedCitation":"(“Secondary Analysis Research,” 2019)","plainTextFormattedCitation":"(“Secondary Analysis Research,” 2019)","previouslyFormattedCitation":"(“Secondary Analysis Research,” 2019)"},"properties":{"noteIndex":0},"schema":"https://github.com/citation-style-language/schema/raw/master/csl-citation.json"}</w:instrText>
      </w:r>
      <w:r w:rsidR="0030771C">
        <w:rPr>
          <w:rFonts w:ascii="Cambria" w:hAnsi="Cambria"/>
          <w:sz w:val="21"/>
          <w:szCs w:val="21"/>
        </w:rPr>
        <w:fldChar w:fldCharType="separate"/>
      </w:r>
      <w:r w:rsidR="009E17AF" w:rsidRPr="009E17AF">
        <w:rPr>
          <w:rFonts w:ascii="Cambria" w:hAnsi="Cambria"/>
          <w:noProof/>
          <w:sz w:val="21"/>
          <w:szCs w:val="21"/>
        </w:rPr>
        <w:t>("Secondary Analysis Research," 2019)</w:t>
      </w:r>
      <w:r w:rsidR="0030771C">
        <w:rPr>
          <w:rFonts w:ascii="Cambria" w:hAnsi="Cambria"/>
          <w:sz w:val="21"/>
          <w:szCs w:val="21"/>
        </w:rPr>
        <w:fldChar w:fldCharType="end"/>
      </w:r>
      <w:r w:rsidRPr="003142D4">
        <w:rPr>
          <w:rFonts w:ascii="Cambria" w:hAnsi="Cambria"/>
          <w:sz w:val="21"/>
          <w:szCs w:val="21"/>
        </w:rPr>
        <w:t xml:space="preserve">. Data sources </w:t>
      </w:r>
      <w:r w:rsidR="00FF5F16">
        <w:rPr>
          <w:rFonts w:ascii="Cambria" w:hAnsi="Cambria"/>
          <w:sz w:val="21"/>
          <w:szCs w:val="21"/>
        </w:rPr>
        <w:t>we</w:t>
      </w:r>
      <w:r w:rsidRPr="003142D4">
        <w:rPr>
          <w:rFonts w:ascii="Cambria" w:hAnsi="Cambria"/>
          <w:sz w:val="21"/>
          <w:szCs w:val="21"/>
        </w:rPr>
        <w:t xml:space="preserve">re obtained from the official </w:t>
      </w:r>
      <w:r w:rsidRPr="00E216ED">
        <w:rPr>
          <w:rFonts w:ascii="Cambria" w:hAnsi="Cambria"/>
          <w:sz w:val="21"/>
          <w:szCs w:val="21"/>
        </w:rPr>
        <w:lastRenderedPageBreak/>
        <w:t xml:space="preserve">website of the Indonesia Stock Exchange </w:t>
      </w:r>
      <w:r w:rsidR="0074664A" w:rsidRPr="00E216ED">
        <w:rPr>
          <w:rFonts w:ascii="Cambria" w:hAnsi="Cambria"/>
          <w:sz w:val="21"/>
          <w:szCs w:val="21"/>
        </w:rPr>
        <w:fldChar w:fldCharType="begin" w:fldLock="1"/>
      </w:r>
      <w:r w:rsidR="0074664A" w:rsidRPr="00E216ED">
        <w:rPr>
          <w:rFonts w:ascii="Cambria" w:hAnsi="Cambria"/>
          <w:sz w:val="21"/>
          <w:szCs w:val="21"/>
        </w:rPr>
        <w:instrText>ADDIN CSL_CITATION {"citationItems":[{"id":"ITEM-1","itemData":{"author":[{"dropping-particle":"","family":"Idx.co.id","given":"","non-dropping-particle":"","parse-names":false,"suffix":""}],"id":"ITEM-1","issued":{"date-parts":[["2021"]]},"title":"Bursa Efek Indonesia","type":"webpage"},"uris":["http://www.mendeley.com/documents/?uuid=846f6c54-915e-421c-8772-1d2547762702","http://www.mendeley.com/documents/?uuid=e4b0abc1-facc-4d5a-b5fe-d56982c72bca"]}],"mendeley":{"formattedCitation":"(Idx.co.id, 2021)","plainTextFormattedCitation":"(Idx.co.id, 2021)","previouslyFormattedCitation":"(Idx.co.id, 2021)"},"properties":{"noteIndex":0},"schema":"https://github.com/citation-style-language/schema/raw/master/csl-citation.json"}</w:instrText>
      </w:r>
      <w:r w:rsidR="0074664A" w:rsidRPr="00E216ED">
        <w:rPr>
          <w:rFonts w:ascii="Cambria" w:hAnsi="Cambria"/>
          <w:sz w:val="21"/>
          <w:szCs w:val="21"/>
        </w:rPr>
        <w:fldChar w:fldCharType="separate"/>
      </w:r>
      <w:r w:rsidRPr="00E216ED">
        <w:rPr>
          <w:rFonts w:ascii="Cambria" w:hAnsi="Cambria"/>
          <w:noProof/>
          <w:sz w:val="21"/>
          <w:szCs w:val="21"/>
        </w:rPr>
        <w:t>(Idx.co.id, 2021)</w:t>
      </w:r>
      <w:r w:rsidR="0074664A" w:rsidRPr="00E216ED">
        <w:rPr>
          <w:rFonts w:ascii="Cambria" w:hAnsi="Cambria"/>
          <w:sz w:val="21"/>
          <w:szCs w:val="21"/>
        </w:rPr>
        <w:fldChar w:fldCharType="end"/>
      </w:r>
      <w:r w:rsidRPr="00E216ED">
        <w:rPr>
          <w:rFonts w:ascii="Cambria" w:hAnsi="Cambria"/>
          <w:sz w:val="21"/>
          <w:szCs w:val="21"/>
        </w:rPr>
        <w:t xml:space="preserve">. The data collection method used in this research </w:t>
      </w:r>
      <w:r w:rsidR="00FF5F16" w:rsidRPr="00E216ED">
        <w:rPr>
          <w:rFonts w:ascii="Cambria" w:hAnsi="Cambria"/>
          <w:sz w:val="21"/>
          <w:szCs w:val="21"/>
        </w:rPr>
        <w:t>was</w:t>
      </w:r>
      <w:r w:rsidRPr="00E216ED">
        <w:rPr>
          <w:rFonts w:ascii="Cambria" w:hAnsi="Cambria"/>
          <w:sz w:val="21"/>
          <w:szCs w:val="21"/>
        </w:rPr>
        <w:t xml:space="preserve"> the documentation method. With this method, researchers collect</w:t>
      </w:r>
      <w:r w:rsidR="00FF5F16" w:rsidRPr="00E216ED">
        <w:rPr>
          <w:rFonts w:ascii="Cambria" w:hAnsi="Cambria"/>
          <w:sz w:val="21"/>
          <w:szCs w:val="21"/>
        </w:rPr>
        <w:t>ed</w:t>
      </w:r>
      <w:r w:rsidRPr="00E216ED">
        <w:rPr>
          <w:rFonts w:ascii="Cambria" w:hAnsi="Cambria"/>
          <w:sz w:val="21"/>
          <w:szCs w:val="21"/>
        </w:rPr>
        <w:t xml:space="preserve"> secondary data from printed sources, whereas other parties had previously collected the data through Internet intermediaries. With this method, researchers </w:t>
      </w:r>
      <w:r w:rsidR="00FF5F16" w:rsidRPr="00E216ED">
        <w:rPr>
          <w:rFonts w:ascii="Cambria" w:hAnsi="Cambria"/>
          <w:sz w:val="21"/>
          <w:szCs w:val="21"/>
        </w:rPr>
        <w:t>could</w:t>
      </w:r>
      <w:r w:rsidRPr="00E216ED">
        <w:rPr>
          <w:rFonts w:ascii="Cambria" w:hAnsi="Cambria"/>
          <w:sz w:val="21"/>
          <w:szCs w:val="21"/>
        </w:rPr>
        <w:t xml:space="preserve"> determine the </w:t>
      </w:r>
      <w:r w:rsidRPr="00E216ED">
        <w:rPr>
          <w:rFonts w:ascii="Cambria" w:hAnsi="Cambria"/>
          <w:iCs/>
          <w:sz w:val="21"/>
          <w:szCs w:val="21"/>
        </w:rPr>
        <w:t xml:space="preserve">return on asset </w:t>
      </w:r>
      <w:r w:rsidRPr="00E216ED">
        <w:rPr>
          <w:rFonts w:ascii="Cambria" w:hAnsi="Cambria"/>
          <w:sz w:val="21"/>
          <w:szCs w:val="21"/>
        </w:rPr>
        <w:t>ratio</w:t>
      </w:r>
      <w:r w:rsidRPr="00E216ED">
        <w:rPr>
          <w:rFonts w:ascii="Cambria" w:hAnsi="Cambria"/>
          <w:iCs/>
          <w:sz w:val="21"/>
          <w:szCs w:val="21"/>
        </w:rPr>
        <w:t xml:space="preserve">, debt to equity ratio, </w:t>
      </w:r>
      <w:r w:rsidRPr="00E216ED">
        <w:rPr>
          <w:rFonts w:ascii="Cambria" w:hAnsi="Cambria"/>
          <w:sz w:val="21"/>
          <w:szCs w:val="21"/>
        </w:rPr>
        <w:t>and sales increase ratio.</w:t>
      </w:r>
    </w:p>
    <w:p w14:paraId="4A2ADED2" w14:textId="77777777" w:rsidR="00F04CEF" w:rsidRPr="00E216ED" w:rsidRDefault="000F4100">
      <w:pPr>
        <w:spacing w:after="0" w:line="240" w:lineRule="auto"/>
        <w:ind w:firstLine="567"/>
        <w:jc w:val="both"/>
        <w:rPr>
          <w:rFonts w:ascii="Cambria" w:hAnsi="Cambria" w:cs="Cambria"/>
          <w:color w:val="000000"/>
          <w:sz w:val="21"/>
          <w:szCs w:val="21"/>
        </w:rPr>
      </w:pPr>
      <w:r w:rsidRPr="00E216ED">
        <w:rPr>
          <w:rFonts w:ascii="Cambria" w:hAnsi="Cambria"/>
          <w:color w:val="000000"/>
          <w:sz w:val="21"/>
          <w:szCs w:val="21"/>
        </w:rPr>
        <w:t xml:space="preserve">The </w:t>
      </w:r>
      <w:proofErr w:type="gramStart"/>
      <w:r w:rsidRPr="00E216ED">
        <w:rPr>
          <w:rFonts w:ascii="Cambria" w:hAnsi="Cambria"/>
          <w:color w:val="000000"/>
          <w:sz w:val="21"/>
          <w:szCs w:val="21"/>
        </w:rPr>
        <w:t>population in this study are</w:t>
      </w:r>
      <w:proofErr w:type="gramEnd"/>
      <w:r w:rsidRPr="00E216ED">
        <w:rPr>
          <w:rFonts w:ascii="Cambria" w:hAnsi="Cambria"/>
          <w:color w:val="000000"/>
          <w:sz w:val="21"/>
          <w:szCs w:val="21"/>
        </w:rPr>
        <w:t xml:space="preserve"> manufacturing companies listed on the Indonesia Stock Exchange (BEI) in 2019-2020. The samples taken were </w:t>
      </w:r>
      <w:proofErr w:type="gramStart"/>
      <w:r w:rsidRPr="00E216ED">
        <w:rPr>
          <w:rFonts w:ascii="Cambria" w:hAnsi="Cambria"/>
          <w:color w:val="000000"/>
          <w:sz w:val="21"/>
          <w:szCs w:val="21"/>
        </w:rPr>
        <w:t>Manufacturing</w:t>
      </w:r>
      <w:proofErr w:type="gramEnd"/>
      <w:r w:rsidRPr="00E216ED">
        <w:rPr>
          <w:rFonts w:ascii="Cambria" w:hAnsi="Cambria"/>
          <w:color w:val="000000"/>
          <w:sz w:val="21"/>
          <w:szCs w:val="21"/>
        </w:rPr>
        <w:t xml:space="preserve"> companies listed on the Indonesia Stock Exchange which were selected using purposive sampling, a sampling technique with certain criteria. </w:t>
      </w:r>
      <w:r w:rsidRPr="00E216ED">
        <w:rPr>
          <w:rFonts w:ascii="Cambria" w:hAnsi="Cambria"/>
          <w:sz w:val="21"/>
          <w:szCs w:val="21"/>
        </w:rPr>
        <w:t xml:space="preserve">Sample selection using purposive sampling with the following criteria: </w:t>
      </w:r>
      <w:r w:rsidR="00E354DB" w:rsidRPr="00E216ED">
        <w:rPr>
          <w:rFonts w:ascii="Cambria" w:hAnsi="Cambria" w:cs="Cambria"/>
          <w:color w:val="000000"/>
          <w:sz w:val="21"/>
          <w:szCs w:val="21"/>
        </w:rPr>
        <w:t xml:space="preserve">a) </w:t>
      </w:r>
      <w:r w:rsidRPr="00E216ED">
        <w:rPr>
          <w:rFonts w:ascii="Cambria" w:hAnsi="Cambria"/>
          <w:color w:val="000000"/>
          <w:sz w:val="21"/>
          <w:szCs w:val="21"/>
          <w:lang w:eastAsia="en-ID"/>
        </w:rPr>
        <w:t xml:space="preserve">Manufacturing companies not listed on the Indonesia Stock Exchange (IDX) during the study year. b) The </w:t>
      </w:r>
      <w:r w:rsidRPr="00E216ED">
        <w:rPr>
          <w:rFonts w:ascii="Cambria" w:hAnsi="Cambria"/>
          <w:sz w:val="21"/>
          <w:szCs w:val="21"/>
        </w:rPr>
        <w:t xml:space="preserve">company presents complete data, where the company publishes annual reports, audited financial reports and </w:t>
      </w:r>
      <w:r w:rsidR="00E354DB" w:rsidRPr="00E216ED">
        <w:rPr>
          <w:rFonts w:ascii="Cambria" w:hAnsi="Cambria"/>
          <w:sz w:val="21"/>
          <w:szCs w:val="21"/>
        </w:rPr>
        <w:t>independent</w:t>
      </w:r>
      <w:r w:rsidRPr="00E216ED">
        <w:rPr>
          <w:rFonts w:ascii="Cambria" w:hAnsi="Cambria"/>
          <w:sz w:val="21"/>
          <w:szCs w:val="21"/>
        </w:rPr>
        <w:t xml:space="preserve"> auditor reports </w:t>
      </w:r>
      <w:r w:rsidR="00E354DB" w:rsidRPr="00E216ED">
        <w:rPr>
          <w:rFonts w:ascii="Cambria" w:hAnsi="Cambria"/>
          <w:sz w:val="21"/>
          <w:szCs w:val="21"/>
        </w:rPr>
        <w:t xml:space="preserve">during the study period. c) </w:t>
      </w:r>
      <w:r w:rsidRPr="00E216ED">
        <w:rPr>
          <w:rFonts w:ascii="Cambria" w:hAnsi="Cambria"/>
          <w:color w:val="000000"/>
          <w:sz w:val="21"/>
          <w:szCs w:val="21"/>
          <w:lang w:eastAsia="en-ID"/>
        </w:rPr>
        <w:t>The company publishes financial reports ending December 31 and uses rupiah currency.</w:t>
      </w:r>
    </w:p>
    <w:p w14:paraId="69B2F31B" w14:textId="77777777" w:rsidR="00F04CEF" w:rsidRPr="00E216ED" w:rsidRDefault="000F4100">
      <w:pPr>
        <w:spacing w:after="0" w:line="240" w:lineRule="auto"/>
        <w:ind w:firstLine="567"/>
        <w:jc w:val="both"/>
        <w:rPr>
          <w:rFonts w:ascii="Cambria" w:hAnsi="Cambria" w:cs="Cambria"/>
          <w:color w:val="000000"/>
          <w:sz w:val="21"/>
          <w:szCs w:val="21"/>
        </w:rPr>
      </w:pPr>
      <w:r w:rsidRPr="00E216ED">
        <w:rPr>
          <w:rFonts w:ascii="Cambria" w:hAnsi="Cambria" w:cs="Times New Roman"/>
          <w:color w:val="000000"/>
          <w:sz w:val="21"/>
          <w:szCs w:val="21"/>
          <w:lang w:eastAsia="en-ID"/>
        </w:rPr>
        <w:t>Based on the above criteria, 119 manufacturing companies listed on the Indonesia Stock Exchange meet the requirements in the study for 2 years of financial report publication (2019-2020), so the total data used is 238 research data.</w:t>
      </w:r>
    </w:p>
    <w:p w14:paraId="534C1E3B" w14:textId="77777777" w:rsidR="00070170" w:rsidRDefault="00070170">
      <w:pPr>
        <w:spacing w:after="0" w:line="278" w:lineRule="auto"/>
        <w:ind w:firstLine="567"/>
        <w:jc w:val="center"/>
        <w:rPr>
          <w:rFonts w:ascii="Cambria" w:hAnsi="Cambria" w:cs="Times New Roman"/>
          <w:bCs/>
          <w:color w:val="000000"/>
          <w:sz w:val="20"/>
          <w:szCs w:val="20"/>
          <w:lang w:eastAsia="en-ID"/>
        </w:rPr>
      </w:pPr>
    </w:p>
    <w:p w14:paraId="11254454" w14:textId="10B4E8FD" w:rsidR="00F04CEF" w:rsidRPr="00070170" w:rsidRDefault="00070170">
      <w:pPr>
        <w:spacing w:after="0" w:line="278" w:lineRule="auto"/>
        <w:ind w:firstLine="567"/>
        <w:jc w:val="center"/>
        <w:rPr>
          <w:rFonts w:ascii="Cambria" w:hAnsi="Cambria" w:cs="Cambria"/>
          <w:b/>
          <w:color w:val="000000"/>
          <w:sz w:val="20"/>
          <w:szCs w:val="20"/>
        </w:rPr>
      </w:pPr>
      <w:proofErr w:type="gramStart"/>
      <w:r w:rsidRPr="00070170">
        <w:rPr>
          <w:rFonts w:ascii="Cambria" w:hAnsi="Cambria" w:cs="Times New Roman"/>
          <w:b/>
          <w:bCs/>
          <w:color w:val="000000"/>
          <w:sz w:val="20"/>
          <w:szCs w:val="20"/>
          <w:lang w:eastAsia="en-ID"/>
        </w:rPr>
        <w:t>Table 1.</w:t>
      </w:r>
      <w:proofErr w:type="gramEnd"/>
      <w:r w:rsidR="000F4100" w:rsidRPr="00070170">
        <w:rPr>
          <w:rFonts w:ascii="Cambria" w:hAnsi="Cambria" w:cs="Times New Roman"/>
          <w:b/>
          <w:bCs/>
          <w:color w:val="000000"/>
          <w:sz w:val="20"/>
          <w:szCs w:val="20"/>
          <w:lang w:eastAsia="en-ID"/>
        </w:rPr>
        <w:t xml:space="preserve"> </w:t>
      </w:r>
      <w:r w:rsidR="003142D4" w:rsidRPr="00070170">
        <w:rPr>
          <w:rFonts w:ascii="Cambria" w:hAnsi="Cambria" w:cs="Times New Roman"/>
          <w:b/>
          <w:bCs/>
          <w:color w:val="000000"/>
          <w:sz w:val="20"/>
          <w:szCs w:val="20"/>
          <w:lang w:eastAsia="en-ID"/>
        </w:rPr>
        <w:t>Sample Selection Process Based on Criteria</w:t>
      </w:r>
    </w:p>
    <w:tbl>
      <w:tblPr>
        <w:tblStyle w:val="TableGrid"/>
        <w:tblW w:w="878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544"/>
        <w:gridCol w:w="3119"/>
        <w:gridCol w:w="2126"/>
      </w:tblGrid>
      <w:tr w:rsidR="00E73D9F" w14:paraId="3AEE64D3" w14:textId="77777777" w:rsidTr="00070170">
        <w:trPr>
          <w:trHeight w:val="49"/>
        </w:trPr>
        <w:tc>
          <w:tcPr>
            <w:tcW w:w="3544" w:type="dxa"/>
          </w:tcPr>
          <w:p w14:paraId="5DBB051C" w14:textId="77777777" w:rsidR="00F04CEF" w:rsidRPr="00070170" w:rsidRDefault="000F4100">
            <w:pPr>
              <w:spacing w:after="0" w:line="240" w:lineRule="auto"/>
              <w:ind w:right="248"/>
              <w:jc w:val="center"/>
              <w:rPr>
                <w:rFonts w:ascii="Cambria" w:hAnsi="Cambria" w:cs="Times New Roman"/>
                <w:b/>
                <w:bCs/>
                <w:color w:val="000000"/>
                <w:sz w:val="20"/>
                <w:szCs w:val="20"/>
                <w:lang w:eastAsia="en-ID"/>
              </w:rPr>
            </w:pPr>
            <w:r w:rsidRPr="00070170">
              <w:rPr>
                <w:rFonts w:ascii="Cambria" w:hAnsi="Cambria" w:cs="Times New Roman"/>
                <w:b/>
                <w:bCs/>
                <w:color w:val="000000"/>
                <w:sz w:val="20"/>
                <w:szCs w:val="20"/>
                <w:lang w:eastAsia="en-ID"/>
              </w:rPr>
              <w:t>Criteria</w:t>
            </w:r>
          </w:p>
        </w:tc>
        <w:tc>
          <w:tcPr>
            <w:tcW w:w="3119" w:type="dxa"/>
          </w:tcPr>
          <w:p w14:paraId="6ABFDEA8" w14:textId="77777777" w:rsidR="00F04CEF" w:rsidRPr="00070170" w:rsidRDefault="000F4100">
            <w:pPr>
              <w:spacing w:after="0" w:line="240" w:lineRule="auto"/>
              <w:ind w:right="248"/>
              <w:jc w:val="center"/>
              <w:rPr>
                <w:rFonts w:ascii="Cambria" w:hAnsi="Cambria" w:cs="Times New Roman"/>
                <w:b/>
                <w:bCs/>
                <w:color w:val="000000"/>
                <w:sz w:val="20"/>
                <w:szCs w:val="20"/>
                <w:lang w:eastAsia="en-ID"/>
              </w:rPr>
            </w:pPr>
            <w:r w:rsidRPr="00070170">
              <w:rPr>
                <w:rFonts w:ascii="Cambria" w:hAnsi="Cambria" w:cs="Times New Roman"/>
                <w:b/>
                <w:bCs/>
                <w:color w:val="000000"/>
                <w:sz w:val="20"/>
                <w:szCs w:val="20"/>
                <w:lang w:eastAsia="en-ID"/>
              </w:rPr>
              <w:t xml:space="preserve">    Does not meet the criteria</w:t>
            </w:r>
          </w:p>
        </w:tc>
        <w:tc>
          <w:tcPr>
            <w:tcW w:w="2126" w:type="dxa"/>
          </w:tcPr>
          <w:p w14:paraId="5DCDCAEA" w14:textId="77777777" w:rsidR="00F04CEF" w:rsidRPr="00070170" w:rsidRDefault="000F4100">
            <w:pPr>
              <w:spacing w:after="0" w:line="240" w:lineRule="auto"/>
              <w:ind w:right="248"/>
              <w:jc w:val="center"/>
              <w:rPr>
                <w:rFonts w:ascii="Cambria" w:hAnsi="Cambria" w:cs="Times New Roman"/>
                <w:b/>
                <w:bCs/>
                <w:color w:val="000000"/>
                <w:sz w:val="20"/>
                <w:szCs w:val="20"/>
                <w:lang w:eastAsia="en-ID"/>
              </w:rPr>
            </w:pPr>
            <w:r w:rsidRPr="00070170">
              <w:rPr>
                <w:rFonts w:ascii="Cambria" w:hAnsi="Cambria" w:cs="Times New Roman"/>
                <w:b/>
                <w:bCs/>
                <w:color w:val="000000"/>
                <w:sz w:val="20"/>
                <w:szCs w:val="20"/>
                <w:lang w:eastAsia="en-ID"/>
              </w:rPr>
              <w:t>Total</w:t>
            </w:r>
          </w:p>
        </w:tc>
      </w:tr>
      <w:tr w:rsidR="00E73D9F" w14:paraId="467990F0" w14:textId="77777777" w:rsidTr="00070170">
        <w:trPr>
          <w:trHeight w:val="420"/>
        </w:trPr>
        <w:tc>
          <w:tcPr>
            <w:tcW w:w="3544" w:type="dxa"/>
            <w:tcBorders>
              <w:bottom w:val="nil"/>
            </w:tcBorders>
          </w:tcPr>
          <w:p w14:paraId="669EC91E" w14:textId="77777777" w:rsidR="00F04CEF" w:rsidRDefault="000F4100">
            <w:pPr>
              <w:spacing w:after="0" w:line="240" w:lineRule="auto"/>
              <w:ind w:right="248"/>
              <w:rPr>
                <w:rFonts w:ascii="Cambria" w:hAnsi="Cambria" w:cs="Times New Roman"/>
                <w:bCs/>
                <w:color w:val="000000"/>
                <w:sz w:val="20"/>
                <w:szCs w:val="20"/>
                <w:lang w:eastAsia="en-ID"/>
              </w:rPr>
            </w:pPr>
            <w:r w:rsidRPr="005A4BDE">
              <w:rPr>
                <w:rFonts w:ascii="Cambria" w:hAnsi="Cambria" w:cs="Times New Roman"/>
                <w:bCs/>
                <w:color w:val="000000"/>
                <w:sz w:val="20"/>
                <w:szCs w:val="20"/>
                <w:lang w:eastAsia="en-ID"/>
              </w:rPr>
              <w:t>Population: Manufacturing companies listed on the IDX</w:t>
            </w:r>
          </w:p>
        </w:tc>
        <w:tc>
          <w:tcPr>
            <w:tcW w:w="3119" w:type="dxa"/>
            <w:tcBorders>
              <w:bottom w:val="nil"/>
            </w:tcBorders>
          </w:tcPr>
          <w:p w14:paraId="74967543" w14:textId="77777777" w:rsidR="00E354DB" w:rsidRPr="005A4BDE" w:rsidRDefault="00E354DB" w:rsidP="008E6DD7">
            <w:pPr>
              <w:spacing w:after="0" w:line="240" w:lineRule="auto"/>
              <w:ind w:right="248"/>
              <w:jc w:val="center"/>
              <w:rPr>
                <w:rFonts w:ascii="Cambria" w:hAnsi="Cambria" w:cs="Times New Roman"/>
                <w:bCs/>
                <w:color w:val="000000"/>
                <w:sz w:val="20"/>
                <w:szCs w:val="20"/>
                <w:lang w:eastAsia="en-ID"/>
              </w:rPr>
            </w:pPr>
          </w:p>
        </w:tc>
        <w:tc>
          <w:tcPr>
            <w:tcW w:w="2126" w:type="dxa"/>
            <w:tcBorders>
              <w:bottom w:val="nil"/>
            </w:tcBorders>
          </w:tcPr>
          <w:p w14:paraId="4B1D84B9" w14:textId="77777777" w:rsidR="00F04CEF" w:rsidRDefault="000F4100">
            <w:pPr>
              <w:spacing w:after="0" w:line="240" w:lineRule="auto"/>
              <w:ind w:right="248"/>
              <w:jc w:val="center"/>
              <w:rPr>
                <w:rFonts w:ascii="Cambria" w:hAnsi="Cambria" w:cs="Times New Roman"/>
                <w:bCs/>
                <w:color w:val="000000"/>
                <w:sz w:val="20"/>
                <w:szCs w:val="20"/>
                <w:lang w:eastAsia="en-ID"/>
              </w:rPr>
            </w:pPr>
            <w:r w:rsidRPr="005A4BDE">
              <w:rPr>
                <w:rFonts w:ascii="Cambria" w:hAnsi="Cambria" w:cs="Times New Roman"/>
                <w:bCs/>
                <w:color w:val="000000"/>
                <w:sz w:val="20"/>
                <w:szCs w:val="20"/>
                <w:lang w:eastAsia="en-ID"/>
              </w:rPr>
              <w:t>218</w:t>
            </w:r>
          </w:p>
        </w:tc>
      </w:tr>
      <w:tr w:rsidR="00E73D9F" w14:paraId="01507035" w14:textId="77777777" w:rsidTr="00070170">
        <w:trPr>
          <w:trHeight w:val="49"/>
        </w:trPr>
        <w:tc>
          <w:tcPr>
            <w:tcW w:w="3544" w:type="dxa"/>
            <w:tcBorders>
              <w:top w:val="nil"/>
              <w:bottom w:val="nil"/>
            </w:tcBorders>
          </w:tcPr>
          <w:p w14:paraId="40BA17F6" w14:textId="77777777" w:rsidR="00F04CEF" w:rsidRDefault="000F4100">
            <w:pPr>
              <w:spacing w:after="0" w:line="240" w:lineRule="auto"/>
              <w:ind w:right="248"/>
              <w:rPr>
                <w:rFonts w:ascii="Cambria" w:hAnsi="Cambria" w:cs="Times New Roman"/>
                <w:bCs/>
                <w:color w:val="000000"/>
                <w:sz w:val="20"/>
                <w:szCs w:val="20"/>
                <w:lang w:eastAsia="en-ID"/>
              </w:rPr>
            </w:pPr>
            <w:r w:rsidRPr="005A4BDE">
              <w:rPr>
                <w:rFonts w:ascii="Cambria" w:hAnsi="Cambria" w:cs="Times New Roman"/>
                <w:bCs/>
                <w:color w:val="000000"/>
                <w:sz w:val="20"/>
                <w:szCs w:val="20"/>
                <w:lang w:eastAsia="en-ID"/>
              </w:rPr>
              <w:t>Sampling-based on criteria (</w:t>
            </w:r>
            <w:r w:rsidRPr="005A4BDE">
              <w:rPr>
                <w:rFonts w:ascii="Cambria" w:hAnsi="Cambria" w:cs="Times New Roman"/>
                <w:bCs/>
                <w:i/>
                <w:iCs/>
                <w:color w:val="000000"/>
                <w:sz w:val="20"/>
                <w:szCs w:val="20"/>
                <w:lang w:eastAsia="en-ID"/>
              </w:rPr>
              <w:t>purpo</w:t>
            </w:r>
            <w:r w:rsidR="00FF5F16">
              <w:rPr>
                <w:rFonts w:ascii="Cambria" w:hAnsi="Cambria" w:cs="Times New Roman"/>
                <w:bCs/>
                <w:i/>
                <w:iCs/>
                <w:color w:val="000000"/>
                <w:sz w:val="20"/>
                <w:szCs w:val="20"/>
                <w:lang w:eastAsia="en-ID"/>
              </w:rPr>
              <w:t>si</w:t>
            </w:r>
            <w:r w:rsidRPr="005A4BDE">
              <w:rPr>
                <w:rFonts w:ascii="Cambria" w:hAnsi="Cambria" w:cs="Times New Roman"/>
                <w:bCs/>
                <w:i/>
                <w:iCs/>
                <w:color w:val="000000"/>
                <w:sz w:val="20"/>
                <w:szCs w:val="20"/>
                <w:lang w:eastAsia="en-ID"/>
              </w:rPr>
              <w:t>ve sampling</w:t>
            </w:r>
            <w:r w:rsidRPr="005A4BDE">
              <w:rPr>
                <w:rFonts w:ascii="Cambria" w:hAnsi="Cambria" w:cs="Times New Roman"/>
                <w:bCs/>
                <w:color w:val="000000"/>
                <w:sz w:val="20"/>
                <w:szCs w:val="20"/>
                <w:lang w:eastAsia="en-ID"/>
              </w:rPr>
              <w:t>)</w:t>
            </w:r>
          </w:p>
        </w:tc>
        <w:tc>
          <w:tcPr>
            <w:tcW w:w="3119" w:type="dxa"/>
            <w:tcBorders>
              <w:top w:val="nil"/>
              <w:bottom w:val="nil"/>
            </w:tcBorders>
          </w:tcPr>
          <w:p w14:paraId="3E360ADD" w14:textId="77777777" w:rsidR="00E354DB" w:rsidRPr="005A4BDE" w:rsidRDefault="00E354DB" w:rsidP="008E6DD7">
            <w:pPr>
              <w:spacing w:after="0" w:line="240" w:lineRule="auto"/>
              <w:ind w:right="248"/>
              <w:jc w:val="center"/>
              <w:rPr>
                <w:rFonts w:ascii="Cambria" w:hAnsi="Cambria" w:cs="Times New Roman"/>
                <w:bCs/>
                <w:color w:val="000000"/>
                <w:sz w:val="20"/>
                <w:szCs w:val="20"/>
                <w:lang w:eastAsia="en-ID"/>
              </w:rPr>
            </w:pPr>
          </w:p>
        </w:tc>
        <w:tc>
          <w:tcPr>
            <w:tcW w:w="2126" w:type="dxa"/>
            <w:tcBorders>
              <w:top w:val="nil"/>
              <w:bottom w:val="nil"/>
            </w:tcBorders>
          </w:tcPr>
          <w:p w14:paraId="3A4B999A" w14:textId="77777777" w:rsidR="00E354DB" w:rsidRPr="005A4BDE" w:rsidRDefault="00E354DB" w:rsidP="008E6DD7">
            <w:pPr>
              <w:spacing w:after="0" w:line="240" w:lineRule="auto"/>
              <w:ind w:right="248"/>
              <w:jc w:val="center"/>
              <w:rPr>
                <w:rFonts w:ascii="Cambria" w:hAnsi="Cambria" w:cs="Times New Roman"/>
                <w:bCs/>
                <w:color w:val="000000"/>
                <w:sz w:val="20"/>
                <w:szCs w:val="20"/>
                <w:lang w:eastAsia="en-ID"/>
              </w:rPr>
            </w:pPr>
          </w:p>
        </w:tc>
      </w:tr>
      <w:tr w:rsidR="00E73D9F" w14:paraId="43365E77" w14:textId="77777777" w:rsidTr="00070170">
        <w:trPr>
          <w:trHeight w:val="575"/>
        </w:trPr>
        <w:tc>
          <w:tcPr>
            <w:tcW w:w="3544" w:type="dxa"/>
            <w:tcBorders>
              <w:top w:val="nil"/>
              <w:bottom w:val="nil"/>
            </w:tcBorders>
          </w:tcPr>
          <w:p w14:paraId="05ED4AC5" w14:textId="77777777" w:rsidR="00F04CEF" w:rsidRDefault="000F4100">
            <w:pPr>
              <w:spacing w:after="0" w:line="240" w:lineRule="auto"/>
              <w:ind w:right="248"/>
              <w:rPr>
                <w:rFonts w:ascii="Cambria" w:hAnsi="Cambria" w:cs="Times New Roman"/>
                <w:color w:val="000000"/>
                <w:sz w:val="20"/>
                <w:szCs w:val="20"/>
                <w:lang w:eastAsia="en-ID"/>
              </w:rPr>
            </w:pPr>
            <w:r w:rsidRPr="005A4BDE">
              <w:rPr>
                <w:rFonts w:ascii="Cambria" w:hAnsi="Cambria" w:cs="Times New Roman"/>
                <w:color w:val="000000"/>
                <w:sz w:val="20"/>
                <w:szCs w:val="20"/>
                <w:lang w:eastAsia="en-ID"/>
              </w:rPr>
              <w:t>Companies that are not listed during the study year</w:t>
            </w:r>
          </w:p>
        </w:tc>
        <w:tc>
          <w:tcPr>
            <w:tcW w:w="3119" w:type="dxa"/>
            <w:tcBorders>
              <w:top w:val="nil"/>
              <w:bottom w:val="nil"/>
            </w:tcBorders>
          </w:tcPr>
          <w:p w14:paraId="7B5A0CCE" w14:textId="77777777" w:rsidR="00F04CEF" w:rsidRDefault="000F4100">
            <w:pPr>
              <w:spacing w:after="0" w:line="240" w:lineRule="auto"/>
              <w:ind w:right="248"/>
              <w:jc w:val="center"/>
              <w:rPr>
                <w:rFonts w:ascii="Cambria" w:hAnsi="Cambria" w:cs="Times New Roman"/>
                <w:color w:val="000000"/>
                <w:sz w:val="20"/>
                <w:szCs w:val="20"/>
                <w:lang w:eastAsia="en-ID"/>
              </w:rPr>
            </w:pPr>
            <w:r w:rsidRPr="005A4BDE">
              <w:rPr>
                <w:rFonts w:ascii="Cambria" w:hAnsi="Cambria" w:cs="Times New Roman"/>
                <w:color w:val="000000"/>
                <w:sz w:val="20"/>
                <w:szCs w:val="20"/>
                <w:lang w:eastAsia="en-ID"/>
              </w:rPr>
              <w:t>(41)</w:t>
            </w:r>
          </w:p>
        </w:tc>
        <w:tc>
          <w:tcPr>
            <w:tcW w:w="2126" w:type="dxa"/>
            <w:tcBorders>
              <w:top w:val="nil"/>
              <w:bottom w:val="nil"/>
            </w:tcBorders>
          </w:tcPr>
          <w:p w14:paraId="48AA2ABD" w14:textId="77777777" w:rsidR="00F04CEF" w:rsidRDefault="000F4100">
            <w:pPr>
              <w:spacing w:after="0" w:line="240" w:lineRule="auto"/>
              <w:ind w:right="248"/>
              <w:jc w:val="center"/>
              <w:rPr>
                <w:rFonts w:ascii="Cambria" w:hAnsi="Cambria" w:cs="Times New Roman"/>
                <w:color w:val="000000"/>
                <w:sz w:val="20"/>
                <w:szCs w:val="20"/>
                <w:lang w:eastAsia="en-ID"/>
              </w:rPr>
            </w:pPr>
            <w:r w:rsidRPr="005A4BDE">
              <w:rPr>
                <w:rFonts w:ascii="Cambria" w:hAnsi="Cambria" w:cs="Times New Roman"/>
                <w:color w:val="000000"/>
                <w:sz w:val="20"/>
                <w:szCs w:val="20"/>
                <w:lang w:eastAsia="en-ID"/>
              </w:rPr>
              <w:t>177</w:t>
            </w:r>
          </w:p>
        </w:tc>
      </w:tr>
      <w:tr w:rsidR="00E73D9F" w14:paraId="6BC5FC3B" w14:textId="77777777" w:rsidTr="00070170">
        <w:trPr>
          <w:trHeight w:val="727"/>
        </w:trPr>
        <w:tc>
          <w:tcPr>
            <w:tcW w:w="3544" w:type="dxa"/>
            <w:tcBorders>
              <w:top w:val="nil"/>
              <w:bottom w:val="nil"/>
            </w:tcBorders>
          </w:tcPr>
          <w:p w14:paraId="17D2D1DA" w14:textId="77777777" w:rsidR="00F04CEF" w:rsidRDefault="000F4100">
            <w:pPr>
              <w:spacing w:after="0" w:line="240" w:lineRule="auto"/>
              <w:ind w:right="248"/>
              <w:rPr>
                <w:rFonts w:ascii="Cambria" w:hAnsi="Cambria" w:cs="Times New Roman"/>
                <w:color w:val="000000"/>
                <w:sz w:val="20"/>
                <w:szCs w:val="20"/>
                <w:lang w:eastAsia="en-ID"/>
              </w:rPr>
            </w:pPr>
            <w:r w:rsidRPr="005A4BDE">
              <w:rPr>
                <w:rFonts w:ascii="Cambria" w:hAnsi="Cambria" w:cs="Times New Roman"/>
                <w:sz w:val="20"/>
                <w:szCs w:val="20"/>
              </w:rPr>
              <w:t>Companies that did not report financial statements during the study period</w:t>
            </w:r>
          </w:p>
        </w:tc>
        <w:tc>
          <w:tcPr>
            <w:tcW w:w="3119" w:type="dxa"/>
            <w:tcBorders>
              <w:top w:val="nil"/>
              <w:bottom w:val="nil"/>
            </w:tcBorders>
          </w:tcPr>
          <w:p w14:paraId="0DC94AC6" w14:textId="77777777" w:rsidR="00F04CEF" w:rsidRDefault="000F4100">
            <w:pPr>
              <w:spacing w:after="0" w:line="240" w:lineRule="auto"/>
              <w:ind w:right="248"/>
              <w:jc w:val="center"/>
              <w:rPr>
                <w:rFonts w:ascii="Cambria" w:hAnsi="Cambria" w:cs="Times New Roman"/>
                <w:color w:val="000000"/>
                <w:sz w:val="20"/>
                <w:szCs w:val="20"/>
                <w:lang w:eastAsia="en-ID"/>
              </w:rPr>
            </w:pPr>
            <w:r w:rsidRPr="005A4BDE">
              <w:rPr>
                <w:rFonts w:ascii="Cambria" w:hAnsi="Cambria" w:cs="Times New Roman"/>
                <w:color w:val="000000"/>
                <w:sz w:val="20"/>
                <w:szCs w:val="20"/>
                <w:lang w:eastAsia="en-ID"/>
              </w:rPr>
              <w:t>(23)</w:t>
            </w:r>
          </w:p>
        </w:tc>
        <w:tc>
          <w:tcPr>
            <w:tcW w:w="2126" w:type="dxa"/>
            <w:tcBorders>
              <w:top w:val="nil"/>
              <w:bottom w:val="nil"/>
            </w:tcBorders>
          </w:tcPr>
          <w:p w14:paraId="7E4658B4" w14:textId="77777777" w:rsidR="00F04CEF" w:rsidRDefault="000F4100">
            <w:pPr>
              <w:spacing w:after="0" w:line="240" w:lineRule="auto"/>
              <w:ind w:right="248"/>
              <w:jc w:val="center"/>
              <w:rPr>
                <w:rFonts w:ascii="Cambria" w:hAnsi="Cambria" w:cs="Times New Roman"/>
                <w:color w:val="000000"/>
                <w:sz w:val="20"/>
                <w:szCs w:val="20"/>
                <w:lang w:eastAsia="en-ID"/>
              </w:rPr>
            </w:pPr>
            <w:r w:rsidRPr="005A4BDE">
              <w:rPr>
                <w:rFonts w:ascii="Cambria" w:hAnsi="Cambria" w:cs="Times New Roman"/>
                <w:color w:val="000000"/>
                <w:sz w:val="20"/>
                <w:szCs w:val="20"/>
                <w:lang w:eastAsia="en-ID"/>
              </w:rPr>
              <w:t>155</w:t>
            </w:r>
          </w:p>
        </w:tc>
      </w:tr>
      <w:tr w:rsidR="00E73D9F" w14:paraId="1EECE449" w14:textId="77777777" w:rsidTr="006B3C58">
        <w:trPr>
          <w:trHeight w:val="677"/>
        </w:trPr>
        <w:tc>
          <w:tcPr>
            <w:tcW w:w="3544" w:type="dxa"/>
            <w:tcBorders>
              <w:top w:val="nil"/>
              <w:bottom w:val="nil"/>
            </w:tcBorders>
          </w:tcPr>
          <w:p w14:paraId="256A539A" w14:textId="77777777" w:rsidR="00F04CEF" w:rsidRDefault="000F4100">
            <w:pPr>
              <w:spacing w:after="0" w:line="240" w:lineRule="auto"/>
              <w:ind w:right="248"/>
              <w:rPr>
                <w:rFonts w:ascii="Cambria" w:hAnsi="Cambria" w:cs="Times New Roman"/>
                <w:color w:val="000000"/>
                <w:sz w:val="20"/>
                <w:szCs w:val="20"/>
                <w:lang w:eastAsia="en-ID"/>
              </w:rPr>
            </w:pPr>
            <w:r w:rsidRPr="005A4BDE">
              <w:rPr>
                <w:rFonts w:ascii="Cambria" w:hAnsi="Cambria" w:cs="Times New Roman"/>
                <w:color w:val="000000"/>
                <w:sz w:val="20"/>
                <w:szCs w:val="20"/>
                <w:lang w:eastAsia="en-ID"/>
              </w:rPr>
              <w:t>The company publishes financial statements that end on December 31 and uses the rupiah currency.</w:t>
            </w:r>
          </w:p>
        </w:tc>
        <w:tc>
          <w:tcPr>
            <w:tcW w:w="3119" w:type="dxa"/>
            <w:tcBorders>
              <w:top w:val="nil"/>
              <w:bottom w:val="nil"/>
            </w:tcBorders>
          </w:tcPr>
          <w:p w14:paraId="7B1611A2" w14:textId="77777777" w:rsidR="00F04CEF" w:rsidRDefault="000F4100">
            <w:pPr>
              <w:spacing w:after="0" w:line="240" w:lineRule="auto"/>
              <w:ind w:right="248"/>
              <w:jc w:val="center"/>
              <w:rPr>
                <w:rFonts w:ascii="Cambria" w:hAnsi="Cambria" w:cs="Times New Roman"/>
                <w:color w:val="000000"/>
                <w:sz w:val="20"/>
                <w:szCs w:val="20"/>
                <w:lang w:eastAsia="en-ID"/>
              </w:rPr>
            </w:pPr>
            <w:r w:rsidRPr="005A4BDE">
              <w:rPr>
                <w:rFonts w:ascii="Cambria" w:hAnsi="Cambria" w:cs="Times New Roman"/>
                <w:color w:val="000000"/>
                <w:sz w:val="20"/>
                <w:szCs w:val="20"/>
                <w:lang w:eastAsia="en-ID"/>
              </w:rPr>
              <w:t>(36)</w:t>
            </w:r>
          </w:p>
        </w:tc>
        <w:tc>
          <w:tcPr>
            <w:tcW w:w="2126" w:type="dxa"/>
            <w:tcBorders>
              <w:top w:val="nil"/>
              <w:bottom w:val="nil"/>
            </w:tcBorders>
          </w:tcPr>
          <w:p w14:paraId="18AF7A20" w14:textId="77777777" w:rsidR="00F04CEF" w:rsidRDefault="000F4100">
            <w:pPr>
              <w:spacing w:after="0" w:line="240" w:lineRule="auto"/>
              <w:ind w:right="248"/>
              <w:jc w:val="center"/>
              <w:rPr>
                <w:rFonts w:ascii="Cambria" w:hAnsi="Cambria" w:cs="Times New Roman"/>
                <w:color w:val="000000"/>
                <w:sz w:val="20"/>
                <w:szCs w:val="20"/>
                <w:lang w:eastAsia="en-ID"/>
              </w:rPr>
            </w:pPr>
            <w:r w:rsidRPr="005A4BDE">
              <w:rPr>
                <w:rFonts w:ascii="Cambria" w:hAnsi="Cambria" w:cs="Times New Roman"/>
                <w:color w:val="000000"/>
                <w:sz w:val="20"/>
                <w:szCs w:val="20"/>
                <w:lang w:eastAsia="en-ID"/>
              </w:rPr>
              <w:t>119</w:t>
            </w:r>
          </w:p>
        </w:tc>
      </w:tr>
      <w:tr w:rsidR="00E73D9F" w14:paraId="68E3E4D9" w14:textId="77777777" w:rsidTr="00070170">
        <w:trPr>
          <w:trHeight w:val="187"/>
        </w:trPr>
        <w:tc>
          <w:tcPr>
            <w:tcW w:w="3544" w:type="dxa"/>
            <w:tcBorders>
              <w:top w:val="nil"/>
              <w:bottom w:val="nil"/>
            </w:tcBorders>
          </w:tcPr>
          <w:p w14:paraId="00FE8304" w14:textId="77777777" w:rsidR="00F04CEF" w:rsidRDefault="000F4100">
            <w:pPr>
              <w:spacing w:after="0" w:line="240" w:lineRule="auto"/>
              <w:ind w:right="248"/>
              <w:rPr>
                <w:rFonts w:ascii="Cambria" w:hAnsi="Cambria" w:cs="Times New Roman"/>
                <w:bCs/>
                <w:color w:val="000000"/>
                <w:sz w:val="20"/>
                <w:szCs w:val="20"/>
                <w:lang w:eastAsia="en-ID"/>
              </w:rPr>
            </w:pPr>
            <w:r w:rsidRPr="005A4BDE">
              <w:rPr>
                <w:rFonts w:ascii="Cambria" w:hAnsi="Cambria" w:cs="Times New Roman"/>
                <w:bCs/>
                <w:color w:val="000000"/>
                <w:sz w:val="20"/>
                <w:szCs w:val="20"/>
                <w:lang w:eastAsia="en-ID"/>
              </w:rPr>
              <w:t>Sample Company</w:t>
            </w:r>
          </w:p>
        </w:tc>
        <w:tc>
          <w:tcPr>
            <w:tcW w:w="3119" w:type="dxa"/>
            <w:tcBorders>
              <w:top w:val="nil"/>
              <w:bottom w:val="nil"/>
            </w:tcBorders>
          </w:tcPr>
          <w:p w14:paraId="3EF4D04C" w14:textId="77777777" w:rsidR="00E354DB" w:rsidRPr="005A4BDE" w:rsidRDefault="00E354DB" w:rsidP="008E6DD7">
            <w:pPr>
              <w:spacing w:after="0" w:line="240" w:lineRule="auto"/>
              <w:ind w:right="248"/>
              <w:jc w:val="center"/>
              <w:rPr>
                <w:rFonts w:ascii="Cambria" w:hAnsi="Cambria" w:cs="Times New Roman"/>
                <w:color w:val="000000"/>
                <w:sz w:val="20"/>
                <w:szCs w:val="20"/>
                <w:lang w:eastAsia="en-ID"/>
              </w:rPr>
            </w:pPr>
          </w:p>
        </w:tc>
        <w:tc>
          <w:tcPr>
            <w:tcW w:w="2126" w:type="dxa"/>
            <w:tcBorders>
              <w:top w:val="nil"/>
              <w:bottom w:val="nil"/>
            </w:tcBorders>
          </w:tcPr>
          <w:p w14:paraId="50E7D504" w14:textId="77777777" w:rsidR="00E354DB" w:rsidRPr="005A4BDE" w:rsidRDefault="00E354DB" w:rsidP="008E6DD7">
            <w:pPr>
              <w:spacing w:after="0" w:line="240" w:lineRule="auto"/>
              <w:ind w:right="248"/>
              <w:jc w:val="center"/>
              <w:rPr>
                <w:rFonts w:ascii="Cambria" w:hAnsi="Cambria" w:cs="Times New Roman"/>
                <w:bCs/>
                <w:color w:val="000000"/>
                <w:sz w:val="20"/>
                <w:szCs w:val="20"/>
                <w:lang w:eastAsia="en-ID"/>
              </w:rPr>
            </w:pPr>
          </w:p>
        </w:tc>
      </w:tr>
      <w:tr w:rsidR="00E73D9F" w14:paraId="5C78B98D" w14:textId="77777777" w:rsidTr="00070170">
        <w:trPr>
          <w:trHeight w:val="157"/>
        </w:trPr>
        <w:tc>
          <w:tcPr>
            <w:tcW w:w="3544" w:type="dxa"/>
            <w:tcBorders>
              <w:top w:val="nil"/>
            </w:tcBorders>
          </w:tcPr>
          <w:p w14:paraId="09CF5657" w14:textId="77777777" w:rsidR="00F04CEF" w:rsidRDefault="000F4100">
            <w:pPr>
              <w:spacing w:after="0" w:line="240" w:lineRule="auto"/>
              <w:ind w:right="248"/>
              <w:rPr>
                <w:rFonts w:ascii="Cambria" w:hAnsi="Cambria" w:cs="Times New Roman"/>
                <w:bCs/>
                <w:color w:val="000000"/>
                <w:sz w:val="20"/>
                <w:szCs w:val="20"/>
                <w:lang w:eastAsia="en-ID"/>
              </w:rPr>
            </w:pPr>
            <w:r w:rsidRPr="005A4BDE">
              <w:rPr>
                <w:rFonts w:ascii="Cambria" w:hAnsi="Cambria" w:cs="Times New Roman"/>
                <w:bCs/>
                <w:color w:val="000000"/>
                <w:sz w:val="20"/>
                <w:szCs w:val="20"/>
                <w:lang w:eastAsia="en-ID"/>
              </w:rPr>
              <w:t>Number of observations (119×2 years)</w:t>
            </w:r>
          </w:p>
        </w:tc>
        <w:tc>
          <w:tcPr>
            <w:tcW w:w="3119" w:type="dxa"/>
            <w:tcBorders>
              <w:top w:val="nil"/>
            </w:tcBorders>
          </w:tcPr>
          <w:p w14:paraId="72300498" w14:textId="77777777" w:rsidR="00E354DB" w:rsidRPr="005A4BDE" w:rsidRDefault="00E354DB" w:rsidP="008E6DD7">
            <w:pPr>
              <w:spacing w:after="0" w:line="240" w:lineRule="auto"/>
              <w:ind w:right="248"/>
              <w:jc w:val="center"/>
              <w:rPr>
                <w:rFonts w:ascii="Cambria" w:hAnsi="Cambria" w:cs="Times New Roman"/>
                <w:color w:val="000000"/>
                <w:sz w:val="20"/>
                <w:szCs w:val="20"/>
                <w:lang w:eastAsia="en-ID"/>
              </w:rPr>
            </w:pPr>
          </w:p>
        </w:tc>
        <w:tc>
          <w:tcPr>
            <w:tcW w:w="2126" w:type="dxa"/>
            <w:tcBorders>
              <w:top w:val="nil"/>
            </w:tcBorders>
          </w:tcPr>
          <w:p w14:paraId="372D35E1" w14:textId="77777777" w:rsidR="00F04CEF" w:rsidRDefault="000F4100">
            <w:pPr>
              <w:spacing w:after="0" w:line="240" w:lineRule="auto"/>
              <w:ind w:right="248"/>
              <w:jc w:val="center"/>
              <w:rPr>
                <w:rFonts w:ascii="Cambria" w:hAnsi="Cambria" w:cs="Times New Roman"/>
                <w:bCs/>
                <w:color w:val="000000"/>
                <w:sz w:val="20"/>
                <w:szCs w:val="20"/>
                <w:lang w:eastAsia="en-ID"/>
              </w:rPr>
            </w:pPr>
            <w:r w:rsidRPr="005A4BDE">
              <w:rPr>
                <w:rFonts w:ascii="Cambria" w:hAnsi="Cambria" w:cs="Times New Roman"/>
                <w:bCs/>
                <w:color w:val="000000"/>
                <w:sz w:val="20"/>
                <w:szCs w:val="20"/>
                <w:lang w:eastAsia="en-ID"/>
              </w:rPr>
              <w:t>238</w:t>
            </w:r>
          </w:p>
        </w:tc>
      </w:tr>
    </w:tbl>
    <w:p w14:paraId="1E7334A2" w14:textId="77777777" w:rsidR="005A4BDE" w:rsidRDefault="005A4BDE" w:rsidP="005A4BDE">
      <w:pPr>
        <w:spacing w:after="0" w:line="240" w:lineRule="auto"/>
        <w:jc w:val="both"/>
        <w:rPr>
          <w:rFonts w:ascii="Times New Roman" w:hAnsi="Times New Roman" w:cs="Times New Roman"/>
          <w:b/>
          <w:bCs/>
          <w:i/>
          <w:color w:val="000000"/>
          <w:sz w:val="24"/>
          <w:szCs w:val="24"/>
          <w:lang w:eastAsia="en-ID"/>
        </w:rPr>
      </w:pPr>
    </w:p>
    <w:p w14:paraId="44B6FF98" w14:textId="77777777" w:rsidR="00F04CEF" w:rsidRDefault="000F4100">
      <w:pPr>
        <w:spacing w:after="0" w:line="240" w:lineRule="auto"/>
        <w:ind w:firstLine="567"/>
        <w:jc w:val="both"/>
        <w:rPr>
          <w:rFonts w:ascii="Times New Roman" w:hAnsi="Times New Roman" w:cs="Times New Roman"/>
          <w:i/>
          <w:color w:val="000000"/>
          <w:sz w:val="24"/>
          <w:szCs w:val="24"/>
          <w:lang w:eastAsia="en-ID"/>
        </w:rPr>
      </w:pPr>
      <w:r w:rsidRPr="005A4BDE">
        <w:rPr>
          <w:rFonts w:ascii="Cambria" w:hAnsi="Cambria"/>
          <w:color w:val="000000"/>
          <w:sz w:val="20"/>
          <w:szCs w:val="20"/>
          <w:lang w:eastAsia="en-ID"/>
        </w:rPr>
        <w:t xml:space="preserve">In this study, model and hypothesis testing were carried out using </w:t>
      </w:r>
      <w:r w:rsidRPr="005A4BDE">
        <w:rPr>
          <w:rFonts w:ascii="Cambria" w:hAnsi="Cambria"/>
          <w:i/>
          <w:iCs/>
          <w:color w:val="000000"/>
          <w:sz w:val="20"/>
          <w:szCs w:val="20"/>
          <w:lang w:eastAsia="en-ID"/>
        </w:rPr>
        <w:t xml:space="preserve">logistic regression. </w:t>
      </w:r>
      <w:r w:rsidRPr="005A4BDE">
        <w:rPr>
          <w:rFonts w:ascii="Cambria" w:hAnsi="Cambria"/>
          <w:color w:val="000000"/>
          <w:sz w:val="20"/>
          <w:szCs w:val="20"/>
          <w:lang w:eastAsia="en-ID"/>
        </w:rPr>
        <w:t>Logistic regression is used to test whether the probability of the occurrence of the dependent variable can be predicted by the independent variable</w:t>
      </w:r>
      <w:r w:rsidR="00FF5F16">
        <w:rPr>
          <w:rFonts w:ascii="Cambria" w:hAnsi="Cambria"/>
          <w:color w:val="000000"/>
          <w:sz w:val="20"/>
          <w:szCs w:val="20"/>
          <w:lang w:eastAsia="en-ID"/>
        </w:rPr>
        <w:t xml:space="preserve"> </w:t>
      </w:r>
      <w:r w:rsidR="0074664A">
        <w:rPr>
          <w:rFonts w:ascii="Cambria" w:hAnsi="Cambria"/>
          <w:color w:val="000000"/>
          <w:sz w:val="20"/>
          <w:szCs w:val="20"/>
          <w:lang w:eastAsia="en-ID"/>
        </w:rPr>
        <w:fldChar w:fldCharType="begin" w:fldLock="1"/>
      </w:r>
      <w:r w:rsidR="0074664A">
        <w:rPr>
          <w:rFonts w:ascii="Cambria" w:hAnsi="Cambria"/>
          <w:color w:val="000000"/>
          <w:sz w:val="20"/>
          <w:szCs w:val="20"/>
          <w:lang w:eastAsia="en-ID"/>
        </w:rPr>
        <w:instrText>ADDIN CSL_CITATION {"citationItems":[{"id":"ITEM-1","itemData":{"author":[{"dropping-particle":"","family":"Ghozali","given":"Imam","non-dropping-particle":"","parse-names":false,"suffix":""}],"id":"ITEM-1","issued":{"date-parts":[["2006"]]},"publisher":"Badan Penerbit Universitas Diponegoro","publisher-place":"Semarang","title":"Aplikasi Analisis Multivariate dengan Eksperimen","type":"book"},"uris":["http://www.mendeley.com/documents/?uuid=1242b466-f408-44db-9d6f-56bfb41fecd8","http://www.mendeley.com/documents/?uuid=94c348ce-31cc-492f-b200-6f8a152c06b6"]}],"mendeley":{"formattedCitation":"(Ghozali, 2006)","manualFormatting":"(Ghozali, 2006:225)","plainTextFormattedCitation":"(Ghozali, 2006)","previouslyFormattedCitation":"(Ghozali, 2006)"},"properties":{"noteIndex":0},"schema":"https://github.com/citation-style-language/schema/raw/master/csl-citation.json"}</w:instrText>
      </w:r>
      <w:r w:rsidR="0074664A">
        <w:rPr>
          <w:rFonts w:ascii="Cambria" w:hAnsi="Cambria"/>
          <w:color w:val="000000"/>
          <w:sz w:val="20"/>
          <w:szCs w:val="20"/>
          <w:lang w:eastAsia="en-ID"/>
        </w:rPr>
        <w:fldChar w:fldCharType="separate"/>
      </w:r>
      <w:r w:rsidRPr="005A4BDE">
        <w:rPr>
          <w:rFonts w:ascii="Cambria" w:hAnsi="Cambria"/>
          <w:noProof/>
          <w:color w:val="000000"/>
          <w:sz w:val="20"/>
          <w:szCs w:val="20"/>
          <w:lang w:eastAsia="en-ID"/>
        </w:rPr>
        <w:t>(Ghozali, 2006</w:t>
      </w:r>
      <w:r w:rsidR="0074664A">
        <w:rPr>
          <w:rFonts w:ascii="Cambria" w:hAnsi="Cambria"/>
          <w:color w:val="000000"/>
          <w:sz w:val="20"/>
          <w:szCs w:val="20"/>
          <w:lang w:eastAsia="en-ID"/>
        </w:rPr>
        <w:fldChar w:fldCharType="end"/>
      </w:r>
      <w:r w:rsidRPr="005A4BDE">
        <w:rPr>
          <w:rFonts w:ascii="Cambria" w:hAnsi="Cambria"/>
          <w:color w:val="000000"/>
          <w:sz w:val="20"/>
          <w:szCs w:val="20"/>
          <w:lang w:eastAsia="en-ID"/>
        </w:rPr>
        <w:t xml:space="preserve">, p. 225). This study used logistic regression to test the effect of profitability, </w:t>
      </w:r>
      <w:r w:rsidRPr="005A4BDE">
        <w:rPr>
          <w:rFonts w:ascii="Cambria" w:hAnsi="Cambria"/>
          <w:i/>
          <w:iCs/>
          <w:color w:val="000000"/>
          <w:sz w:val="20"/>
          <w:szCs w:val="20"/>
          <w:lang w:eastAsia="en-ID"/>
        </w:rPr>
        <w:t xml:space="preserve">leverage, </w:t>
      </w:r>
      <w:r w:rsidRPr="005A4BDE">
        <w:rPr>
          <w:rFonts w:ascii="Cambria" w:hAnsi="Cambria"/>
          <w:color w:val="000000"/>
          <w:sz w:val="20"/>
          <w:szCs w:val="20"/>
          <w:lang w:eastAsia="en-ID"/>
        </w:rPr>
        <w:t>and company growth on</w:t>
      </w:r>
      <w:r w:rsidRPr="005A4BDE">
        <w:rPr>
          <w:rFonts w:ascii="Cambria" w:hAnsi="Cambria"/>
          <w:i/>
          <w:iCs/>
          <w:color w:val="000000"/>
          <w:sz w:val="20"/>
          <w:szCs w:val="20"/>
          <w:lang w:eastAsia="en-ID"/>
        </w:rPr>
        <w:t xml:space="preserve">going concern </w:t>
      </w:r>
      <w:r w:rsidRPr="005A4BDE">
        <w:rPr>
          <w:rFonts w:ascii="Cambria" w:hAnsi="Cambria"/>
          <w:color w:val="000000"/>
          <w:sz w:val="20"/>
          <w:szCs w:val="20"/>
          <w:lang w:eastAsia="en-ID"/>
        </w:rPr>
        <w:t>audit opinion</w:t>
      </w:r>
      <w:r w:rsidRPr="005A4BDE">
        <w:rPr>
          <w:rFonts w:ascii="Cambria" w:hAnsi="Cambria"/>
          <w:i/>
          <w:iCs/>
          <w:color w:val="000000"/>
          <w:sz w:val="20"/>
          <w:szCs w:val="20"/>
          <w:lang w:eastAsia="en-ID"/>
        </w:rPr>
        <w:t xml:space="preserve">. </w:t>
      </w:r>
    </w:p>
    <w:p w14:paraId="3B7854C4" w14:textId="77777777" w:rsidR="00F04CEF" w:rsidRDefault="000F4100">
      <w:pPr>
        <w:spacing w:after="0" w:line="240" w:lineRule="auto"/>
        <w:ind w:firstLine="567"/>
        <w:jc w:val="both"/>
        <w:rPr>
          <w:rFonts w:ascii="Times New Roman" w:hAnsi="Times New Roman" w:cs="Times New Roman"/>
          <w:i/>
          <w:color w:val="000000"/>
          <w:sz w:val="24"/>
          <w:szCs w:val="24"/>
          <w:lang w:eastAsia="en-ID"/>
        </w:rPr>
      </w:pPr>
      <w:r w:rsidRPr="005A4BDE">
        <w:rPr>
          <w:rFonts w:ascii="Cambria" w:hAnsi="Cambria"/>
          <w:color w:val="000000"/>
          <w:sz w:val="20"/>
          <w:lang w:eastAsia="en-ID"/>
        </w:rPr>
        <w:t xml:space="preserve">Logistic regression is generally used if a </w:t>
      </w:r>
      <w:r w:rsidRPr="005A4BDE">
        <w:rPr>
          <w:rFonts w:ascii="Cambria" w:hAnsi="Cambria"/>
          <w:i/>
          <w:iCs/>
          <w:color w:val="000000"/>
          <w:sz w:val="20"/>
          <w:lang w:eastAsia="en-ID"/>
        </w:rPr>
        <w:t xml:space="preserve">multivariate normal distribution assumption is </w:t>
      </w:r>
      <w:r w:rsidRPr="005A4BDE">
        <w:rPr>
          <w:rFonts w:ascii="Cambria" w:hAnsi="Cambria"/>
          <w:color w:val="000000"/>
          <w:sz w:val="20"/>
          <w:lang w:eastAsia="en-ID"/>
        </w:rPr>
        <w:t>unmet.   The logistic regression model in this research is as follows.</w:t>
      </w:r>
    </w:p>
    <w:p w14:paraId="1258C849" w14:textId="77777777" w:rsidR="00F04CEF" w:rsidRDefault="000F4100">
      <w:pPr>
        <w:spacing w:before="267" w:line="240" w:lineRule="auto"/>
        <w:ind w:left="739" w:right="248" w:firstLine="701"/>
        <w:jc w:val="center"/>
        <w:rPr>
          <w:rFonts w:ascii="Cambria" w:hAnsi="Cambria" w:cs="Times New Roman"/>
          <w:color w:val="000000"/>
          <w:sz w:val="20"/>
          <w:szCs w:val="20"/>
          <w:lang w:eastAsia="en-ID"/>
        </w:rPr>
      </w:pPr>
      <w:r w:rsidRPr="005A4BDE">
        <w:rPr>
          <w:rFonts w:ascii="Cambria" w:hAnsi="Cambria" w:cs="Times New Roman"/>
          <w:color w:val="000000"/>
          <w:sz w:val="20"/>
          <w:szCs w:val="20"/>
          <w:lang w:eastAsia="en-ID"/>
        </w:rPr>
        <w:t xml:space="preserve">Ln </w:t>
      </w:r>
      <m:oMath>
        <m:d>
          <m:dPr>
            <m:ctrlPr>
              <w:rPr>
                <w:rFonts w:ascii="Cambria Math" w:hAnsi="Cambria Math"/>
                <w:i/>
                <w:color w:val="000000"/>
                <w:sz w:val="20"/>
                <w:lang w:eastAsia="en-ID"/>
              </w:rPr>
            </m:ctrlPr>
          </m:dPr>
          <m:e>
            <m:f>
              <m:fPr>
                <m:ctrlPr>
                  <w:rPr>
                    <w:rFonts w:ascii="Cambria Math" w:hAnsi="Cambria Math"/>
                    <w:i/>
                    <w:color w:val="000000"/>
                    <w:sz w:val="20"/>
                    <w:lang w:eastAsia="en-ID"/>
                  </w:rPr>
                </m:ctrlPr>
              </m:fPr>
              <m:num>
                <m:r>
                  <w:rPr>
                    <w:rFonts w:ascii="Cambria Math" w:hAnsi="Cambria Math" w:cs="Times New Roman"/>
                    <w:color w:val="000000"/>
                    <w:sz w:val="20"/>
                    <w:szCs w:val="20"/>
                    <w:lang w:eastAsia="en-ID"/>
                  </w:rPr>
                  <m:t>p</m:t>
                </m:r>
              </m:num>
              <m:den>
                <m:r>
                  <w:rPr>
                    <w:rFonts w:ascii="Cambria Math" w:hAnsi="Cambria Math" w:cs="Times New Roman"/>
                    <w:color w:val="000000"/>
                    <w:sz w:val="20"/>
                    <w:szCs w:val="20"/>
                    <w:lang w:eastAsia="en-ID"/>
                  </w:rPr>
                  <m:t>1-p</m:t>
                </m:r>
              </m:den>
            </m:f>
          </m:e>
        </m:d>
        <m:r>
          <w:rPr>
            <w:rFonts w:ascii="Cambria Math" w:hAnsi="Cambria Math" w:cs="Times New Roman"/>
            <w:color w:val="000000"/>
            <w:sz w:val="20"/>
            <w:szCs w:val="20"/>
            <w:lang w:eastAsia="en-ID"/>
          </w:rPr>
          <m:t>=</m:t>
        </m:r>
        <m:sSub>
          <m:sSubPr>
            <m:ctrlPr>
              <w:rPr>
                <w:rFonts w:ascii="Cambria Math" w:hAnsi="Cambria Math"/>
                <w:i/>
                <w:color w:val="000000"/>
                <w:sz w:val="20"/>
                <w:lang w:eastAsia="en-ID"/>
              </w:rPr>
            </m:ctrlPr>
          </m:sSubPr>
          <m:e>
            <m:r>
              <w:rPr>
                <w:rFonts w:ascii="Cambria Math" w:hAnsi="Cambria Math" w:cs="Times New Roman"/>
                <w:color w:val="000000"/>
                <w:sz w:val="20"/>
                <w:szCs w:val="20"/>
                <w:lang w:eastAsia="en-ID"/>
              </w:rPr>
              <m:t>β</m:t>
            </m:r>
          </m:e>
          <m:sub>
            <m:r>
              <w:rPr>
                <w:rFonts w:ascii="Cambria Math" w:hAnsi="Cambria Math" w:cs="Times New Roman"/>
                <w:color w:val="000000"/>
                <w:sz w:val="20"/>
                <w:szCs w:val="20"/>
                <w:lang w:eastAsia="en-ID"/>
              </w:rPr>
              <m:t>0</m:t>
            </m:r>
          </m:sub>
        </m:sSub>
        <m:r>
          <w:rPr>
            <w:rFonts w:ascii="Cambria Math" w:hAnsi="Cambria Math" w:cs="Times New Roman"/>
            <w:color w:val="000000"/>
            <w:sz w:val="20"/>
            <w:szCs w:val="20"/>
            <w:lang w:eastAsia="en-ID"/>
          </w:rPr>
          <m:t>+</m:t>
        </m:r>
        <m:sSub>
          <m:sSubPr>
            <m:ctrlPr>
              <w:rPr>
                <w:rFonts w:ascii="Cambria Math" w:hAnsi="Cambria Math"/>
                <w:i/>
                <w:color w:val="000000"/>
                <w:sz w:val="20"/>
                <w:lang w:eastAsia="en-ID"/>
              </w:rPr>
            </m:ctrlPr>
          </m:sSubPr>
          <m:e>
            <m:r>
              <w:rPr>
                <w:rFonts w:ascii="Cambria Math" w:hAnsi="Cambria Math" w:cs="Times New Roman"/>
                <w:color w:val="000000"/>
                <w:sz w:val="20"/>
                <w:szCs w:val="20"/>
                <w:lang w:eastAsia="en-ID"/>
              </w:rPr>
              <m:t>β</m:t>
            </m:r>
          </m:e>
          <m:sub>
            <m:r>
              <w:rPr>
                <w:rFonts w:ascii="Cambria Math" w:hAnsi="Cambria Math" w:cs="Times New Roman"/>
                <w:color w:val="000000"/>
                <w:sz w:val="20"/>
                <w:szCs w:val="20"/>
                <w:lang w:eastAsia="en-ID"/>
              </w:rPr>
              <m:t>1</m:t>
            </m:r>
          </m:sub>
        </m:sSub>
        <m:sSub>
          <m:sSubPr>
            <m:ctrlPr>
              <w:rPr>
                <w:rFonts w:ascii="Cambria Math" w:hAnsi="Cambria Math"/>
                <w:i/>
                <w:color w:val="000000"/>
                <w:sz w:val="20"/>
                <w:lang w:eastAsia="en-ID"/>
              </w:rPr>
            </m:ctrlPr>
          </m:sSubPr>
          <m:e>
            <m:r>
              <w:rPr>
                <w:rFonts w:ascii="Cambria Math" w:hAnsi="Cambria Math" w:cs="Times New Roman"/>
                <w:color w:val="000000"/>
                <w:sz w:val="20"/>
                <w:szCs w:val="20"/>
                <w:lang w:eastAsia="en-ID"/>
              </w:rPr>
              <m:t>x</m:t>
            </m:r>
          </m:e>
          <m:sub>
            <m:r>
              <w:rPr>
                <w:rFonts w:ascii="Cambria Math" w:hAnsi="Cambria Math" w:cs="Times New Roman"/>
                <w:color w:val="000000"/>
                <w:sz w:val="20"/>
                <w:szCs w:val="20"/>
                <w:lang w:eastAsia="en-ID"/>
              </w:rPr>
              <m:t>1</m:t>
            </m:r>
          </m:sub>
        </m:sSub>
        <m:r>
          <w:rPr>
            <w:rFonts w:ascii="Cambria Math" w:hAnsi="Cambria Math" w:cs="Times New Roman"/>
            <w:color w:val="000000"/>
            <w:sz w:val="20"/>
            <w:szCs w:val="20"/>
            <w:lang w:eastAsia="en-ID"/>
          </w:rPr>
          <m:t>+</m:t>
        </m:r>
        <m:sSub>
          <m:sSubPr>
            <m:ctrlPr>
              <w:rPr>
                <w:rFonts w:ascii="Cambria Math" w:hAnsi="Cambria Math"/>
                <w:i/>
                <w:color w:val="000000"/>
                <w:sz w:val="20"/>
                <w:lang w:eastAsia="en-ID"/>
              </w:rPr>
            </m:ctrlPr>
          </m:sSubPr>
          <m:e>
            <m:r>
              <w:rPr>
                <w:rFonts w:ascii="Cambria Math" w:hAnsi="Cambria Math" w:cs="Times New Roman"/>
                <w:color w:val="000000"/>
                <w:sz w:val="20"/>
                <w:szCs w:val="20"/>
                <w:lang w:eastAsia="en-ID"/>
              </w:rPr>
              <m:t>β</m:t>
            </m:r>
          </m:e>
          <m:sub>
            <m:r>
              <w:rPr>
                <w:rFonts w:ascii="Cambria Math" w:hAnsi="Cambria Math" w:cs="Times New Roman"/>
                <w:color w:val="000000"/>
                <w:sz w:val="20"/>
                <w:szCs w:val="20"/>
                <w:lang w:eastAsia="en-ID"/>
              </w:rPr>
              <m:t>2</m:t>
            </m:r>
          </m:sub>
        </m:sSub>
        <m:sSub>
          <m:sSubPr>
            <m:ctrlPr>
              <w:rPr>
                <w:rFonts w:ascii="Cambria Math" w:hAnsi="Cambria Math"/>
                <w:i/>
                <w:color w:val="000000"/>
                <w:sz w:val="20"/>
                <w:lang w:eastAsia="en-ID"/>
              </w:rPr>
            </m:ctrlPr>
          </m:sSubPr>
          <m:e>
            <m:r>
              <w:rPr>
                <w:rFonts w:ascii="Cambria Math" w:hAnsi="Cambria Math" w:cs="Times New Roman"/>
                <w:color w:val="000000"/>
                <w:sz w:val="20"/>
                <w:szCs w:val="20"/>
                <w:lang w:eastAsia="en-ID"/>
              </w:rPr>
              <m:t>x</m:t>
            </m:r>
          </m:e>
          <m:sub>
            <m:r>
              <w:rPr>
                <w:rFonts w:ascii="Cambria Math" w:hAnsi="Cambria Math" w:cs="Times New Roman"/>
                <w:color w:val="000000"/>
                <w:sz w:val="20"/>
                <w:szCs w:val="20"/>
                <w:lang w:eastAsia="en-ID"/>
              </w:rPr>
              <m:t>2</m:t>
            </m:r>
          </m:sub>
        </m:sSub>
        <m:r>
          <w:rPr>
            <w:rFonts w:ascii="Cambria Math" w:hAnsi="Cambria Math" w:cs="Times New Roman"/>
            <w:color w:val="000000"/>
            <w:sz w:val="20"/>
            <w:szCs w:val="20"/>
            <w:lang w:eastAsia="en-ID"/>
          </w:rPr>
          <m:t>+</m:t>
        </m:r>
        <m:sSub>
          <m:sSubPr>
            <m:ctrlPr>
              <w:rPr>
                <w:rFonts w:ascii="Cambria Math" w:hAnsi="Cambria Math"/>
                <w:i/>
                <w:color w:val="000000"/>
                <w:sz w:val="20"/>
                <w:lang w:eastAsia="en-ID"/>
              </w:rPr>
            </m:ctrlPr>
          </m:sSubPr>
          <m:e>
            <m:r>
              <w:rPr>
                <w:rFonts w:ascii="Cambria Math" w:hAnsi="Cambria Math" w:cs="Times New Roman"/>
                <w:color w:val="000000"/>
                <w:sz w:val="20"/>
                <w:szCs w:val="20"/>
                <w:lang w:eastAsia="en-ID"/>
              </w:rPr>
              <m:t>β</m:t>
            </m:r>
          </m:e>
          <m:sub>
            <m:r>
              <w:rPr>
                <w:rFonts w:ascii="Cambria Math" w:hAnsi="Cambria Math" w:cs="Times New Roman"/>
                <w:color w:val="000000"/>
                <w:sz w:val="20"/>
                <w:szCs w:val="20"/>
                <w:lang w:eastAsia="en-ID"/>
              </w:rPr>
              <m:t>3</m:t>
            </m:r>
          </m:sub>
        </m:sSub>
        <m:sSub>
          <m:sSubPr>
            <m:ctrlPr>
              <w:rPr>
                <w:rFonts w:ascii="Cambria Math" w:hAnsi="Cambria Math"/>
                <w:i/>
                <w:color w:val="000000"/>
                <w:sz w:val="20"/>
                <w:lang w:eastAsia="en-ID"/>
              </w:rPr>
            </m:ctrlPr>
          </m:sSubPr>
          <m:e>
            <m:r>
              <w:rPr>
                <w:rFonts w:ascii="Cambria Math" w:hAnsi="Cambria Math" w:cs="Times New Roman"/>
                <w:color w:val="000000"/>
                <w:sz w:val="20"/>
                <w:szCs w:val="20"/>
                <w:lang w:eastAsia="en-ID"/>
              </w:rPr>
              <m:t>x</m:t>
            </m:r>
          </m:e>
          <m:sub>
            <m:r>
              <w:rPr>
                <w:rFonts w:ascii="Cambria Math" w:hAnsi="Cambria Math" w:cs="Times New Roman"/>
                <w:color w:val="000000"/>
                <w:sz w:val="20"/>
                <w:szCs w:val="20"/>
                <w:lang w:eastAsia="en-ID"/>
              </w:rPr>
              <m:t>3</m:t>
            </m:r>
          </m:sub>
        </m:sSub>
        <m:r>
          <w:rPr>
            <w:rFonts w:ascii="Cambria Math" w:hAnsi="Cambria Math" w:cs="Times New Roman"/>
            <w:color w:val="000000"/>
            <w:sz w:val="20"/>
            <w:szCs w:val="20"/>
            <w:lang w:eastAsia="en-ID"/>
          </w:rPr>
          <m:t>+ε</m:t>
        </m:r>
      </m:oMath>
    </w:p>
    <w:p w14:paraId="73084D44" w14:textId="77777777" w:rsidR="00F04CEF" w:rsidRDefault="000F4100">
      <w:pPr>
        <w:spacing w:line="240" w:lineRule="auto"/>
        <w:ind w:firstLine="567"/>
        <w:jc w:val="both"/>
        <w:rPr>
          <w:rFonts w:ascii="Cambria" w:hAnsi="Cambria"/>
          <w:color w:val="000000"/>
          <w:sz w:val="21"/>
          <w:szCs w:val="21"/>
          <w:lang w:eastAsia="en-ID"/>
        </w:rPr>
      </w:pPr>
      <w:r w:rsidRPr="005A4BDE">
        <w:rPr>
          <w:rFonts w:ascii="Cambria" w:hAnsi="Cambria"/>
          <w:color w:val="000000"/>
          <w:sz w:val="21"/>
          <w:szCs w:val="21"/>
          <w:lang w:eastAsia="en-ID"/>
        </w:rPr>
        <w:t xml:space="preserve">The statistics used are based on the </w:t>
      </w:r>
      <w:r w:rsidRPr="005A4BDE">
        <w:rPr>
          <w:rFonts w:ascii="Cambria" w:hAnsi="Cambria"/>
          <w:i/>
          <w:iCs/>
          <w:color w:val="000000"/>
          <w:sz w:val="21"/>
          <w:szCs w:val="21"/>
          <w:lang w:eastAsia="en-ID"/>
        </w:rPr>
        <w:t xml:space="preserve">Likelihood </w:t>
      </w:r>
      <w:r w:rsidRPr="005A4BDE">
        <w:rPr>
          <w:rFonts w:ascii="Cambria" w:hAnsi="Cambria"/>
          <w:color w:val="000000"/>
          <w:sz w:val="21"/>
          <w:szCs w:val="21"/>
          <w:lang w:eastAsia="en-ID"/>
        </w:rPr>
        <w:t>function</w:t>
      </w:r>
      <w:r w:rsidRPr="005A4BDE">
        <w:rPr>
          <w:rFonts w:ascii="Cambria" w:hAnsi="Cambria"/>
          <w:i/>
          <w:iCs/>
          <w:color w:val="000000"/>
          <w:sz w:val="21"/>
          <w:szCs w:val="21"/>
          <w:lang w:eastAsia="en-ID"/>
        </w:rPr>
        <w:t xml:space="preserve">. The likelihood </w:t>
      </w:r>
      <w:r w:rsidRPr="005A4BDE">
        <w:rPr>
          <w:rFonts w:ascii="Cambria" w:hAnsi="Cambria"/>
          <w:color w:val="000000"/>
          <w:sz w:val="21"/>
          <w:szCs w:val="21"/>
          <w:lang w:eastAsia="en-ID"/>
        </w:rPr>
        <w:t xml:space="preserve">(L) of the model is the probability that the hypothesized model describes the </w:t>
      </w:r>
      <w:r w:rsidRPr="005A4BDE">
        <w:rPr>
          <w:rFonts w:ascii="Cambria" w:hAnsi="Cambria"/>
          <w:i/>
          <w:iCs/>
          <w:color w:val="000000"/>
          <w:sz w:val="21"/>
          <w:szCs w:val="21"/>
          <w:lang w:eastAsia="en-ID"/>
        </w:rPr>
        <w:t xml:space="preserve">input </w:t>
      </w:r>
      <w:r w:rsidRPr="005A4BDE">
        <w:rPr>
          <w:rFonts w:ascii="Cambria" w:hAnsi="Cambria"/>
          <w:color w:val="000000"/>
          <w:sz w:val="21"/>
          <w:szCs w:val="21"/>
          <w:lang w:eastAsia="en-ID"/>
        </w:rPr>
        <w:t>data</w:t>
      </w:r>
      <w:r w:rsidRPr="005A4BDE">
        <w:rPr>
          <w:rFonts w:ascii="Cambria" w:hAnsi="Cambria"/>
          <w:i/>
          <w:iCs/>
          <w:color w:val="000000"/>
          <w:sz w:val="21"/>
          <w:szCs w:val="21"/>
          <w:lang w:eastAsia="en-ID"/>
        </w:rPr>
        <w:t xml:space="preserve">. The </w:t>
      </w:r>
      <w:r w:rsidRPr="005A4BDE">
        <w:rPr>
          <w:rFonts w:ascii="Cambria" w:hAnsi="Cambria"/>
          <w:color w:val="000000"/>
          <w:sz w:val="21"/>
          <w:szCs w:val="21"/>
          <w:lang w:eastAsia="en-ID"/>
        </w:rPr>
        <w:t xml:space="preserve">hypothesis used to assess model </w:t>
      </w:r>
      <w:r w:rsidRPr="005A4BDE">
        <w:rPr>
          <w:rFonts w:ascii="Cambria" w:hAnsi="Cambria"/>
          <w:i/>
          <w:iCs/>
          <w:color w:val="000000"/>
          <w:sz w:val="21"/>
          <w:szCs w:val="21"/>
          <w:lang w:eastAsia="en-ID"/>
        </w:rPr>
        <w:t xml:space="preserve">fit </w:t>
      </w:r>
      <w:r w:rsidRPr="005A4BDE">
        <w:rPr>
          <w:rFonts w:ascii="Cambria" w:hAnsi="Cambria"/>
          <w:color w:val="000000"/>
          <w:sz w:val="21"/>
          <w:szCs w:val="21"/>
          <w:lang w:eastAsia="en-ID"/>
        </w:rPr>
        <w:t xml:space="preserve">is:  </w:t>
      </w:r>
    </w:p>
    <w:p w14:paraId="2089251D" w14:textId="77777777" w:rsidR="00F04CEF" w:rsidRDefault="000F4100">
      <w:pPr>
        <w:pStyle w:val="ListParagraph"/>
        <w:spacing w:after="0" w:line="240" w:lineRule="auto"/>
        <w:ind w:left="1843" w:right="-568" w:firstLine="284"/>
        <w:rPr>
          <w:rFonts w:ascii="Cambria" w:hAnsi="Cambria"/>
          <w:color w:val="000000"/>
          <w:sz w:val="21"/>
          <w:szCs w:val="21"/>
          <w:lang w:eastAsia="en-ID"/>
        </w:rPr>
      </w:pPr>
      <w:r w:rsidRPr="005A4BDE">
        <w:rPr>
          <w:rFonts w:ascii="Cambria" w:hAnsi="Cambria"/>
          <w:color w:val="000000"/>
          <w:sz w:val="21"/>
          <w:szCs w:val="21"/>
          <w:lang w:eastAsia="en-ID"/>
        </w:rPr>
        <w:t>H</w:t>
      </w:r>
      <w:r w:rsidRPr="005A4BDE">
        <w:rPr>
          <w:rFonts w:ascii="Cambria" w:hAnsi="Cambria"/>
          <w:color w:val="000000"/>
          <w:sz w:val="21"/>
          <w:szCs w:val="21"/>
          <w:vertAlign w:val="subscript"/>
          <w:lang w:eastAsia="en-ID"/>
        </w:rPr>
        <w:t>0</w:t>
      </w:r>
      <w:r w:rsidRPr="005A4BDE">
        <w:rPr>
          <w:rFonts w:ascii="Cambria" w:hAnsi="Cambria"/>
          <w:color w:val="000000"/>
          <w:sz w:val="21"/>
          <w:szCs w:val="21"/>
          <w:lang w:eastAsia="en-ID"/>
        </w:rPr>
        <w:tab/>
        <w:t xml:space="preserve"> = The hypothesized model fits the data</w:t>
      </w:r>
    </w:p>
    <w:p w14:paraId="4861834E" w14:textId="77777777" w:rsidR="00F04CEF" w:rsidRDefault="000F4100">
      <w:pPr>
        <w:pStyle w:val="ListParagraph"/>
        <w:spacing w:after="0" w:line="240" w:lineRule="auto"/>
        <w:ind w:left="1843" w:right="-568" w:firstLine="284"/>
        <w:rPr>
          <w:rFonts w:ascii="Cambria" w:hAnsi="Cambria"/>
          <w:color w:val="000000"/>
          <w:sz w:val="21"/>
          <w:szCs w:val="21"/>
          <w:lang w:eastAsia="en-ID"/>
        </w:rPr>
      </w:pPr>
      <w:r w:rsidRPr="005A4BDE">
        <w:rPr>
          <w:rFonts w:ascii="Cambria" w:hAnsi="Cambria"/>
          <w:color w:val="000000"/>
          <w:sz w:val="21"/>
          <w:szCs w:val="21"/>
          <w:lang w:eastAsia="en-ID"/>
        </w:rPr>
        <w:t>H</w:t>
      </w:r>
      <w:r w:rsidRPr="005A4BDE">
        <w:rPr>
          <w:rFonts w:ascii="Cambria" w:hAnsi="Cambria"/>
          <w:color w:val="000000"/>
          <w:sz w:val="21"/>
          <w:szCs w:val="21"/>
          <w:vertAlign w:val="subscript"/>
          <w:lang w:eastAsia="en-ID"/>
        </w:rPr>
        <w:t>a</w:t>
      </w:r>
      <w:r w:rsidRPr="005A4BDE">
        <w:rPr>
          <w:rFonts w:ascii="Cambria" w:hAnsi="Cambria"/>
          <w:color w:val="000000"/>
          <w:sz w:val="21"/>
          <w:szCs w:val="21"/>
          <w:lang w:eastAsia="en-ID"/>
        </w:rPr>
        <w:tab/>
        <w:t xml:space="preserve"> = The hypothesized model does not fit the data </w:t>
      </w:r>
    </w:p>
    <w:p w14:paraId="5FF722E6" w14:textId="77777777" w:rsidR="00F04CEF" w:rsidRDefault="000F4100">
      <w:pPr>
        <w:spacing w:line="240" w:lineRule="auto"/>
        <w:ind w:firstLine="567"/>
        <w:jc w:val="both"/>
        <w:rPr>
          <w:rFonts w:ascii="Cambria" w:hAnsi="Cambria"/>
          <w:color w:val="000000"/>
          <w:sz w:val="21"/>
          <w:szCs w:val="21"/>
          <w:lang w:eastAsia="en-ID"/>
        </w:rPr>
      </w:pPr>
      <w:r w:rsidRPr="005A4BDE">
        <w:rPr>
          <w:rFonts w:ascii="Cambria" w:hAnsi="Cambria"/>
          <w:color w:val="000000"/>
          <w:sz w:val="21"/>
          <w:szCs w:val="21"/>
          <w:lang w:eastAsia="en-ID"/>
        </w:rPr>
        <w:lastRenderedPageBreak/>
        <w:t>Then H</w:t>
      </w:r>
      <w:r w:rsidRPr="005A4BDE">
        <w:rPr>
          <w:rFonts w:ascii="Cambria" w:hAnsi="Cambria"/>
          <w:color w:val="000000"/>
          <w:sz w:val="21"/>
          <w:szCs w:val="21"/>
          <w:vertAlign w:val="subscript"/>
          <w:lang w:eastAsia="en-ID"/>
        </w:rPr>
        <w:t>0</w:t>
      </w:r>
      <w:r w:rsidRPr="005A4BDE">
        <w:rPr>
          <w:rFonts w:ascii="Cambria" w:hAnsi="Cambria"/>
          <w:color w:val="000000"/>
          <w:sz w:val="21"/>
          <w:szCs w:val="21"/>
          <w:lang w:eastAsia="en-ID"/>
        </w:rPr>
        <w:t xml:space="preserve"> should be accepted, and H</w:t>
      </w:r>
      <w:r w:rsidRPr="005A4BDE">
        <w:rPr>
          <w:rFonts w:ascii="Cambria" w:hAnsi="Cambria"/>
          <w:color w:val="000000"/>
          <w:sz w:val="21"/>
          <w:szCs w:val="21"/>
          <w:vertAlign w:val="subscript"/>
          <w:lang w:eastAsia="en-ID"/>
        </w:rPr>
        <w:t>a</w:t>
      </w:r>
      <w:r w:rsidRPr="005A4BDE">
        <w:rPr>
          <w:rFonts w:ascii="Cambria" w:hAnsi="Cambria"/>
          <w:color w:val="000000"/>
          <w:sz w:val="21"/>
          <w:szCs w:val="21"/>
          <w:lang w:eastAsia="en-ID"/>
        </w:rPr>
        <w:t xml:space="preserve"> rejected. To test the null hypothesis and alternative hypothesis, L is transformed into -2LogL. A reduction in the value between the initial -2LogL (initial -2LL </w:t>
      </w:r>
      <w:r w:rsidRPr="005A4BDE">
        <w:rPr>
          <w:rFonts w:ascii="Cambria" w:hAnsi="Cambria"/>
          <w:i/>
          <w:iCs/>
          <w:color w:val="000000"/>
          <w:sz w:val="21"/>
          <w:szCs w:val="21"/>
          <w:lang w:eastAsia="en-ID"/>
        </w:rPr>
        <w:t>function</w:t>
      </w:r>
      <w:r w:rsidRPr="005A4BDE">
        <w:rPr>
          <w:rFonts w:ascii="Cambria" w:hAnsi="Cambria"/>
          <w:color w:val="000000"/>
          <w:sz w:val="21"/>
          <w:szCs w:val="21"/>
          <w:lang w:eastAsia="en-ID"/>
        </w:rPr>
        <w:t xml:space="preserve">) and the -2LogL value in the next step indicates that the hypothesized model </w:t>
      </w:r>
      <w:r w:rsidRPr="005A4BDE">
        <w:rPr>
          <w:rFonts w:ascii="Cambria" w:hAnsi="Cambria"/>
          <w:i/>
          <w:iCs/>
          <w:color w:val="000000"/>
          <w:sz w:val="21"/>
          <w:szCs w:val="21"/>
          <w:lang w:eastAsia="en-ID"/>
        </w:rPr>
        <w:t xml:space="preserve">fits </w:t>
      </w:r>
      <w:r w:rsidRPr="005A4BDE">
        <w:rPr>
          <w:rFonts w:ascii="Cambria" w:hAnsi="Cambria"/>
          <w:color w:val="000000"/>
          <w:sz w:val="21"/>
          <w:szCs w:val="21"/>
          <w:lang w:eastAsia="en-ID"/>
        </w:rPr>
        <w:t>the data (Ghozali, 2006). Log</w:t>
      </w:r>
      <w:r w:rsidRPr="005A4BDE">
        <w:rPr>
          <w:rFonts w:ascii="Cambria" w:hAnsi="Cambria"/>
          <w:i/>
          <w:iCs/>
          <w:color w:val="000000"/>
          <w:sz w:val="21"/>
          <w:szCs w:val="21"/>
          <w:lang w:eastAsia="en-ID"/>
        </w:rPr>
        <w:t xml:space="preserve">-likelihood </w:t>
      </w:r>
      <w:r w:rsidRPr="005A4BDE">
        <w:rPr>
          <w:rFonts w:ascii="Cambria" w:hAnsi="Cambria"/>
          <w:color w:val="000000"/>
          <w:sz w:val="21"/>
          <w:szCs w:val="21"/>
          <w:lang w:eastAsia="en-ID"/>
        </w:rPr>
        <w:t>in logistic regression is similar to the notion of "</w:t>
      </w:r>
      <w:r w:rsidRPr="005A4BDE">
        <w:rPr>
          <w:rFonts w:ascii="Cambria" w:hAnsi="Cambria"/>
          <w:i/>
          <w:iCs/>
          <w:color w:val="000000"/>
          <w:sz w:val="21"/>
          <w:szCs w:val="21"/>
          <w:lang w:eastAsia="en-ID"/>
        </w:rPr>
        <w:t>Sum of Square Error</w:t>
      </w:r>
      <w:r w:rsidRPr="005A4BDE">
        <w:rPr>
          <w:rFonts w:ascii="Cambria" w:hAnsi="Cambria"/>
          <w:color w:val="000000"/>
          <w:sz w:val="21"/>
          <w:szCs w:val="21"/>
          <w:lang w:eastAsia="en-ID"/>
        </w:rPr>
        <w:t xml:space="preserve">" in regression models, so a decrease in </w:t>
      </w:r>
      <w:r w:rsidRPr="005A4BDE">
        <w:rPr>
          <w:rFonts w:ascii="Cambria" w:hAnsi="Cambria"/>
          <w:i/>
          <w:iCs/>
          <w:color w:val="000000"/>
          <w:sz w:val="21"/>
          <w:szCs w:val="21"/>
          <w:lang w:eastAsia="en-ID"/>
        </w:rPr>
        <w:t xml:space="preserve">Log Likelihood </w:t>
      </w:r>
      <w:r w:rsidRPr="005A4BDE">
        <w:rPr>
          <w:rFonts w:ascii="Cambria" w:hAnsi="Cambria"/>
          <w:color w:val="000000"/>
          <w:sz w:val="21"/>
          <w:szCs w:val="21"/>
          <w:lang w:eastAsia="en-ID"/>
        </w:rPr>
        <w:t>indicates a better regression model.</w:t>
      </w:r>
    </w:p>
    <w:p w14:paraId="2702AA0C" w14:textId="77777777" w:rsidR="00F04CEF" w:rsidRDefault="000F4100">
      <w:pPr>
        <w:spacing w:after="0" w:line="240" w:lineRule="auto"/>
        <w:ind w:firstLine="567"/>
        <w:jc w:val="both"/>
        <w:rPr>
          <w:rFonts w:ascii="Cambria" w:hAnsi="Cambria"/>
          <w:color w:val="000000"/>
          <w:sz w:val="21"/>
          <w:szCs w:val="21"/>
          <w:lang w:eastAsia="en-ID"/>
        </w:rPr>
      </w:pPr>
      <w:r w:rsidRPr="005A4BDE">
        <w:rPr>
          <w:rFonts w:ascii="Cambria" w:hAnsi="Cambria"/>
          <w:color w:val="000000"/>
          <w:sz w:val="21"/>
          <w:szCs w:val="21"/>
          <w:lang w:eastAsia="en-ID"/>
        </w:rPr>
        <w:t xml:space="preserve">The feasibility of the regression model was assessed using </w:t>
      </w:r>
      <w:r w:rsidRPr="005A4BDE">
        <w:rPr>
          <w:rFonts w:ascii="Cambria" w:hAnsi="Cambria"/>
          <w:i/>
          <w:iCs/>
          <w:color w:val="000000"/>
          <w:sz w:val="21"/>
          <w:szCs w:val="21"/>
          <w:lang w:eastAsia="en-ID"/>
        </w:rPr>
        <w:t xml:space="preserve">Hosmer and Lemeshow's Goodness of Fit Test. </w:t>
      </w:r>
      <w:r w:rsidRPr="005A4BDE">
        <w:rPr>
          <w:rFonts w:ascii="Cambria" w:hAnsi="Cambria"/>
          <w:color w:val="000000"/>
          <w:sz w:val="21"/>
          <w:szCs w:val="21"/>
          <w:lang w:eastAsia="en-ID"/>
        </w:rPr>
        <w:t xml:space="preserve">The hypothesis to assess the feasibility of this model is as follows:  </w:t>
      </w:r>
    </w:p>
    <w:p w14:paraId="2C4255B1" w14:textId="77777777" w:rsidR="00F04CEF" w:rsidRDefault="000F4100">
      <w:pPr>
        <w:pStyle w:val="ListParagraph"/>
        <w:spacing w:after="0" w:line="240" w:lineRule="auto"/>
        <w:ind w:left="1843" w:right="-568" w:firstLine="425"/>
        <w:rPr>
          <w:rFonts w:ascii="Cambria" w:hAnsi="Cambria"/>
          <w:color w:val="000000"/>
          <w:sz w:val="21"/>
          <w:szCs w:val="21"/>
          <w:lang w:eastAsia="en-ID"/>
        </w:rPr>
      </w:pPr>
      <w:r w:rsidRPr="005A4BDE">
        <w:rPr>
          <w:rFonts w:ascii="Cambria" w:hAnsi="Cambria"/>
          <w:color w:val="000000"/>
          <w:sz w:val="21"/>
          <w:szCs w:val="21"/>
          <w:lang w:eastAsia="en-ID"/>
        </w:rPr>
        <w:t>H</w:t>
      </w:r>
      <w:r w:rsidRPr="005A4BDE">
        <w:rPr>
          <w:rFonts w:ascii="Cambria" w:hAnsi="Cambria"/>
          <w:color w:val="000000"/>
          <w:sz w:val="21"/>
          <w:szCs w:val="21"/>
          <w:vertAlign w:val="subscript"/>
          <w:lang w:eastAsia="en-ID"/>
        </w:rPr>
        <w:t>0</w:t>
      </w:r>
      <w:r w:rsidRPr="005A4BDE">
        <w:rPr>
          <w:rFonts w:ascii="Cambria" w:hAnsi="Cambria"/>
          <w:color w:val="000000"/>
          <w:sz w:val="21"/>
          <w:szCs w:val="21"/>
          <w:lang w:eastAsia="en-ID"/>
        </w:rPr>
        <w:t xml:space="preserve">: No difference between the model and data </w:t>
      </w:r>
    </w:p>
    <w:p w14:paraId="07DE3E25" w14:textId="77777777" w:rsidR="00F04CEF" w:rsidRDefault="000F4100">
      <w:pPr>
        <w:pStyle w:val="ListParagraph"/>
        <w:spacing w:after="0" w:line="240" w:lineRule="auto"/>
        <w:ind w:left="1843" w:right="-568" w:firstLine="425"/>
        <w:rPr>
          <w:rFonts w:ascii="Cambria" w:hAnsi="Cambria"/>
          <w:color w:val="000000"/>
          <w:sz w:val="21"/>
          <w:szCs w:val="21"/>
          <w:lang w:eastAsia="en-ID"/>
        </w:rPr>
      </w:pPr>
      <w:r w:rsidRPr="005A4BDE">
        <w:rPr>
          <w:rFonts w:ascii="Cambria" w:hAnsi="Cambria"/>
          <w:color w:val="000000"/>
          <w:sz w:val="21"/>
          <w:szCs w:val="21"/>
          <w:lang w:eastAsia="en-ID"/>
        </w:rPr>
        <w:t>H</w:t>
      </w:r>
      <w:r w:rsidRPr="005A4BDE">
        <w:rPr>
          <w:rFonts w:ascii="Cambria" w:hAnsi="Cambria"/>
          <w:color w:val="000000"/>
          <w:sz w:val="21"/>
          <w:szCs w:val="21"/>
          <w:vertAlign w:val="subscript"/>
          <w:lang w:eastAsia="en-ID"/>
        </w:rPr>
        <w:t>a</w:t>
      </w:r>
      <w:r w:rsidRPr="005A4BDE">
        <w:rPr>
          <w:rFonts w:ascii="Cambria" w:hAnsi="Cambria"/>
          <w:color w:val="000000"/>
          <w:sz w:val="21"/>
          <w:szCs w:val="21"/>
          <w:lang w:eastAsia="en-ID"/>
        </w:rPr>
        <w:t xml:space="preserve">: There is a difference between the model and the data </w:t>
      </w:r>
    </w:p>
    <w:p w14:paraId="7402D8EC" w14:textId="77777777" w:rsidR="005A4BDE" w:rsidRPr="005A4BDE" w:rsidRDefault="005A4BDE" w:rsidP="005A4BDE">
      <w:pPr>
        <w:pStyle w:val="ListParagraph"/>
        <w:spacing w:after="0" w:line="240" w:lineRule="auto"/>
        <w:ind w:left="1843" w:right="-568" w:firstLine="425"/>
        <w:rPr>
          <w:rFonts w:ascii="Cambria" w:hAnsi="Cambria"/>
          <w:color w:val="000000"/>
          <w:sz w:val="21"/>
          <w:szCs w:val="21"/>
          <w:lang w:eastAsia="en-ID"/>
        </w:rPr>
      </w:pPr>
    </w:p>
    <w:p w14:paraId="2C48BA84" w14:textId="77777777" w:rsidR="00F04CEF" w:rsidRDefault="000F4100">
      <w:pPr>
        <w:spacing w:line="240" w:lineRule="auto"/>
        <w:ind w:firstLine="567"/>
        <w:jc w:val="both"/>
        <w:rPr>
          <w:rFonts w:ascii="Cambria" w:hAnsi="Cambria"/>
          <w:color w:val="000000"/>
          <w:sz w:val="21"/>
          <w:szCs w:val="21"/>
          <w:lang w:eastAsia="en-ID"/>
        </w:rPr>
      </w:pPr>
      <w:r w:rsidRPr="005A4BDE">
        <w:rPr>
          <w:rFonts w:ascii="Cambria" w:hAnsi="Cambria"/>
          <w:color w:val="000000"/>
          <w:sz w:val="21"/>
          <w:szCs w:val="21"/>
          <w:lang w:eastAsia="en-ID"/>
        </w:rPr>
        <w:t xml:space="preserve">Suppose the statistical value of the </w:t>
      </w:r>
      <w:r w:rsidRPr="005A4BDE">
        <w:rPr>
          <w:rFonts w:ascii="Cambria" w:hAnsi="Cambria"/>
          <w:i/>
          <w:iCs/>
          <w:color w:val="000000"/>
          <w:sz w:val="21"/>
          <w:szCs w:val="21"/>
          <w:lang w:eastAsia="en-ID"/>
        </w:rPr>
        <w:t xml:space="preserve">Hosmer and Lemeshow Goodness of Fit Test is </w:t>
      </w:r>
      <w:r w:rsidRPr="005A4BDE">
        <w:rPr>
          <w:rFonts w:ascii="Cambria" w:hAnsi="Cambria"/>
          <w:color w:val="000000"/>
          <w:sz w:val="21"/>
          <w:szCs w:val="21"/>
          <w:lang w:eastAsia="en-ID"/>
        </w:rPr>
        <w:t>greater than 0.05. In that case, H</w:t>
      </w:r>
      <w:r w:rsidRPr="005A4BDE">
        <w:rPr>
          <w:rFonts w:ascii="Cambria" w:hAnsi="Cambria"/>
          <w:color w:val="000000"/>
          <w:sz w:val="21"/>
          <w:szCs w:val="21"/>
          <w:vertAlign w:val="subscript"/>
          <w:lang w:eastAsia="en-ID"/>
        </w:rPr>
        <w:t>0</w:t>
      </w:r>
      <w:r w:rsidRPr="005A4BDE">
        <w:rPr>
          <w:rFonts w:ascii="Cambria" w:hAnsi="Cambria"/>
          <w:color w:val="000000"/>
          <w:sz w:val="21"/>
          <w:szCs w:val="21"/>
          <w:lang w:eastAsia="en-ID"/>
        </w:rPr>
        <w:t xml:space="preserve"> cannot be rejected, which means that the model can predict the value of the observation, or it can be said that the model is accepted because it fits the observation data. </w:t>
      </w:r>
      <w:r w:rsidR="0035735B">
        <w:rPr>
          <w:rFonts w:ascii="Cambria" w:hAnsi="Cambria"/>
          <w:color w:val="000000"/>
          <w:sz w:val="21"/>
          <w:szCs w:val="21"/>
          <w:lang w:eastAsia="en-ID"/>
        </w:rPr>
        <w:fldChar w:fldCharType="begin" w:fldLock="1"/>
      </w:r>
      <w:r w:rsidR="0035735B">
        <w:rPr>
          <w:rFonts w:ascii="Cambria" w:hAnsi="Cambria"/>
          <w:color w:val="000000"/>
          <w:sz w:val="21"/>
          <w:szCs w:val="21"/>
          <w:lang w:eastAsia="en-ID"/>
        </w:rPr>
        <w:instrText>ADDIN CSL_CITATION {"citationItems":[{"id":"ITEM-1","itemData":{"DOI":"10.1177/1536867x1201200307","ISSN":"1536867X","abstract":"Testing goodness of fit is an important step in evaluating a statistical model. For binary logistic regression models, the Hosmer-Lemeshow goodnessof- fit test is often used. For multinomial logistic regression models, however, few tests are available. We present the mlogitgof command, which implements a goodness-of-fit test for multinomial logistic regression models. This test can also be used for binary logistic regression models, where it gives results identical to the Hosmer-Lemeshow test. © 2012 StataCorp LP.","author":[{"dropping-particle":"","family":"Fagerland","given":"Morten W.","non-dropping-particle":"","parse-names":false,"suffix":""},{"dropping-particle":"","family":"Hosmer","given":"David W.","non-dropping-particle":"","parse-names":false,"suffix":""}],"container-title":"Stata Journal","id":"ITEM-1","issue":"3","issued":{"date-parts":[["2012"]]},"page":"447-453","title":"A generalized Hosmer-Lemeshow goodness-of-fit test for multinomial logistic regression models","type":"article-journal","volume":"12"},"uris":["http://www.mendeley.com/documents/?uuid=a920c4a9-6e84-41fd-bcb9-a1171e18f4f8"]}],"mendeley":{"formattedCitation":"(Fagerland &amp; Hosmer, 2012)","plainTextFormattedCitation":"(Fagerland &amp; Hosmer, 2012)","previouslyFormattedCitation":"(Fagerland &amp; Hosmer, 2012)"},"properties":{"noteIndex":0},"schema":"https://github.com/citation-style-language/schema/raw/master/csl-citation.json"}</w:instrText>
      </w:r>
      <w:r w:rsidR="0035735B">
        <w:rPr>
          <w:rFonts w:ascii="Cambria" w:hAnsi="Cambria"/>
          <w:color w:val="000000"/>
          <w:sz w:val="21"/>
          <w:szCs w:val="21"/>
          <w:lang w:eastAsia="en-ID"/>
        </w:rPr>
        <w:fldChar w:fldCharType="separate"/>
      </w:r>
      <w:r w:rsidR="00575591" w:rsidRPr="00575591">
        <w:rPr>
          <w:rFonts w:ascii="Cambria" w:hAnsi="Cambria"/>
          <w:noProof/>
          <w:color w:val="000000"/>
          <w:sz w:val="21"/>
          <w:szCs w:val="21"/>
          <w:lang w:eastAsia="en-ID"/>
        </w:rPr>
        <w:t>(Fagerland &amp; Hosmer, 2012)</w:t>
      </w:r>
      <w:r w:rsidR="0035735B">
        <w:rPr>
          <w:rFonts w:ascii="Cambria" w:hAnsi="Cambria"/>
          <w:color w:val="000000"/>
          <w:sz w:val="21"/>
          <w:szCs w:val="21"/>
          <w:lang w:eastAsia="en-ID"/>
        </w:rPr>
        <w:fldChar w:fldCharType="end"/>
      </w:r>
      <w:r w:rsidRPr="005A4BDE">
        <w:rPr>
          <w:rFonts w:ascii="Cambria" w:hAnsi="Cambria"/>
          <w:color w:val="000000"/>
          <w:sz w:val="21"/>
          <w:szCs w:val="21"/>
          <w:lang w:eastAsia="en-ID"/>
        </w:rPr>
        <w:t xml:space="preserve">. </w:t>
      </w:r>
      <w:r w:rsidRPr="005A4BDE">
        <w:rPr>
          <w:rFonts w:ascii="Cambria" w:hAnsi="Cambria"/>
          <w:sz w:val="21"/>
          <w:szCs w:val="21"/>
          <w:lang w:eastAsia="en-ID"/>
        </w:rPr>
        <w:t xml:space="preserve">The coefficient of determination is used to determine how much variability the independent variables can clarify the variability of the dependent variable. The coefficient of determination modifies the </w:t>
      </w:r>
      <w:r w:rsidRPr="005A4BDE">
        <w:rPr>
          <w:rFonts w:ascii="Cambria" w:hAnsi="Cambria"/>
          <w:i/>
          <w:iCs/>
          <w:sz w:val="21"/>
          <w:szCs w:val="21"/>
          <w:lang w:eastAsia="en-ID"/>
        </w:rPr>
        <w:t xml:space="preserve">Nagelkerke coefficient </w:t>
      </w:r>
      <w:r w:rsidRPr="005A4BDE">
        <w:rPr>
          <w:rFonts w:ascii="Cambria" w:hAnsi="Cambria"/>
          <w:sz w:val="21"/>
          <w:szCs w:val="21"/>
          <w:lang w:eastAsia="en-ID"/>
        </w:rPr>
        <w:t>to ensure that its value varies from 0 to 1. The closer to the value of 1, the better the model is considered, while the closer to 0, the worse the model.</w:t>
      </w:r>
    </w:p>
    <w:p w14:paraId="7D281944" w14:textId="77777777" w:rsidR="00F04CEF" w:rsidRDefault="000F4100">
      <w:pPr>
        <w:pStyle w:val="07HEADA"/>
      </w:pPr>
      <w:r>
        <w:t>RESULTS AND DISCUSSION</w:t>
      </w:r>
    </w:p>
    <w:p w14:paraId="065E3234" w14:textId="77777777" w:rsidR="00F04CEF" w:rsidRDefault="000F4100">
      <w:pPr>
        <w:spacing w:after="0" w:line="278" w:lineRule="auto"/>
        <w:ind w:firstLine="567"/>
        <w:jc w:val="both"/>
        <w:rPr>
          <w:rFonts w:ascii="Cambria" w:hAnsi="Cambria" w:cs="Cambria"/>
          <w:color w:val="000000"/>
          <w:sz w:val="21"/>
          <w:szCs w:val="21"/>
        </w:rPr>
      </w:pPr>
      <w:r w:rsidRPr="008E6DD7">
        <w:rPr>
          <w:rFonts w:ascii="Cambria" w:hAnsi="Cambria"/>
          <w:sz w:val="21"/>
          <w:szCs w:val="21"/>
        </w:rPr>
        <w:t>Descriptive statistical analysis is useful for identifying the characteristics of the sample to be used in research. This study use</w:t>
      </w:r>
      <w:r w:rsidR="00FF5F16">
        <w:rPr>
          <w:rFonts w:ascii="Cambria" w:hAnsi="Cambria"/>
          <w:sz w:val="21"/>
          <w:szCs w:val="21"/>
        </w:rPr>
        <w:t>d</w:t>
      </w:r>
      <w:r w:rsidRPr="008E6DD7">
        <w:rPr>
          <w:rFonts w:ascii="Cambria" w:hAnsi="Cambria"/>
          <w:sz w:val="21"/>
          <w:szCs w:val="21"/>
        </w:rPr>
        <w:t xml:space="preserve"> three independent variables to determine the effect of profitability</w:t>
      </w:r>
      <w:r w:rsidRPr="008E6DD7">
        <w:rPr>
          <w:rFonts w:ascii="Cambria" w:hAnsi="Cambria"/>
          <w:i/>
          <w:sz w:val="21"/>
          <w:szCs w:val="21"/>
        </w:rPr>
        <w:t xml:space="preserve">, leverage </w:t>
      </w:r>
      <w:r w:rsidRPr="008E6DD7">
        <w:rPr>
          <w:rFonts w:ascii="Cambria" w:hAnsi="Cambria"/>
          <w:sz w:val="21"/>
          <w:szCs w:val="21"/>
        </w:rPr>
        <w:t xml:space="preserve">and company growth on </w:t>
      </w:r>
      <w:r w:rsidRPr="008E6DD7">
        <w:rPr>
          <w:rFonts w:ascii="Cambria" w:hAnsi="Cambria"/>
          <w:i/>
          <w:sz w:val="21"/>
          <w:szCs w:val="21"/>
        </w:rPr>
        <w:t xml:space="preserve">going concern </w:t>
      </w:r>
      <w:r w:rsidRPr="008E6DD7">
        <w:rPr>
          <w:rFonts w:ascii="Cambria" w:hAnsi="Cambria"/>
          <w:sz w:val="21"/>
          <w:szCs w:val="21"/>
        </w:rPr>
        <w:t xml:space="preserve">audit opinion. </w:t>
      </w:r>
      <w:r w:rsidR="00FF5F16">
        <w:rPr>
          <w:rFonts w:ascii="Cambria" w:hAnsi="Cambria"/>
          <w:sz w:val="21"/>
          <w:szCs w:val="21"/>
        </w:rPr>
        <w:t>The total d</w:t>
      </w:r>
      <w:r w:rsidRPr="008E6DD7">
        <w:rPr>
          <w:rFonts w:ascii="Cambria" w:hAnsi="Cambria"/>
          <w:sz w:val="21"/>
          <w:szCs w:val="21"/>
        </w:rPr>
        <w:t xml:space="preserve">escriptive variables on the data used for 2 years </w:t>
      </w:r>
      <w:r w:rsidR="00FF5F16">
        <w:rPr>
          <w:rFonts w:ascii="Cambria" w:hAnsi="Cambria"/>
          <w:sz w:val="21"/>
          <w:szCs w:val="21"/>
        </w:rPr>
        <w:t>and</w:t>
      </w:r>
      <w:r w:rsidRPr="008E6DD7">
        <w:rPr>
          <w:rFonts w:ascii="Cambria" w:hAnsi="Cambria"/>
          <w:sz w:val="21"/>
          <w:szCs w:val="21"/>
        </w:rPr>
        <w:t xml:space="preserve"> observed data </w:t>
      </w:r>
      <w:r w:rsidR="00FF5F16">
        <w:rPr>
          <w:rFonts w:ascii="Cambria" w:hAnsi="Cambria"/>
          <w:sz w:val="21"/>
          <w:szCs w:val="21"/>
        </w:rPr>
        <w:t>was</w:t>
      </w:r>
      <w:r w:rsidRPr="008E6DD7">
        <w:rPr>
          <w:rFonts w:ascii="Cambria" w:hAnsi="Cambria"/>
          <w:sz w:val="21"/>
          <w:szCs w:val="21"/>
        </w:rPr>
        <w:t xml:space="preserve"> 238, and the sample used was 119 companies. The data used in the study were taken from the independent auditor's report and the company's financial statements.</w:t>
      </w:r>
      <w:r w:rsidR="00E1379A">
        <w:rPr>
          <w:rFonts w:ascii="Cambria" w:hAnsi="Cambria"/>
          <w:sz w:val="21"/>
          <w:szCs w:val="21"/>
        </w:rPr>
        <w:t xml:space="preserve"> </w:t>
      </w:r>
      <w:r w:rsidRPr="008E6DD7">
        <w:rPr>
          <w:rFonts w:ascii="Cambria" w:hAnsi="Cambria"/>
          <w:sz w:val="21"/>
          <w:szCs w:val="21"/>
        </w:rPr>
        <w:t>Descriptive statistical analysis in this study include</w:t>
      </w:r>
      <w:r w:rsidR="003B62E0">
        <w:rPr>
          <w:rFonts w:ascii="Cambria" w:hAnsi="Cambria"/>
          <w:sz w:val="21"/>
          <w:szCs w:val="21"/>
        </w:rPr>
        <w:t xml:space="preserve">d </w:t>
      </w:r>
      <w:r w:rsidRPr="008E6DD7">
        <w:rPr>
          <w:rFonts w:ascii="Cambria" w:hAnsi="Cambria"/>
          <w:i/>
          <w:sz w:val="21"/>
          <w:szCs w:val="21"/>
        </w:rPr>
        <w:t xml:space="preserve">mean, median, mode </w:t>
      </w:r>
      <w:r w:rsidRPr="008E6DD7">
        <w:rPr>
          <w:rFonts w:ascii="Cambria" w:hAnsi="Cambria"/>
          <w:sz w:val="21"/>
          <w:szCs w:val="21"/>
        </w:rPr>
        <w:t xml:space="preserve">and standard deviation. Data processing for this descriptive analysis uses IBM </w:t>
      </w:r>
      <w:r w:rsidRPr="008E6DD7">
        <w:rPr>
          <w:rFonts w:ascii="Cambria" w:hAnsi="Cambria"/>
          <w:i/>
          <w:sz w:val="21"/>
          <w:szCs w:val="21"/>
        </w:rPr>
        <w:t xml:space="preserve">SPSS Statistics </w:t>
      </w:r>
      <w:r w:rsidRPr="008E6DD7">
        <w:rPr>
          <w:rFonts w:ascii="Cambria" w:hAnsi="Cambria"/>
          <w:sz w:val="21"/>
          <w:szCs w:val="21"/>
        </w:rPr>
        <w:t xml:space="preserve">26. </w:t>
      </w:r>
      <w:r w:rsidR="003B62E0">
        <w:rPr>
          <w:rFonts w:ascii="Cambria" w:hAnsi="Cambria"/>
          <w:sz w:val="21"/>
          <w:szCs w:val="21"/>
        </w:rPr>
        <w:t xml:space="preserve">The </w:t>
      </w:r>
      <w:r w:rsidRPr="008E6DD7">
        <w:rPr>
          <w:rFonts w:ascii="Cambria" w:hAnsi="Cambria"/>
          <w:sz w:val="21"/>
          <w:szCs w:val="21"/>
        </w:rPr>
        <w:t>detailed data description of each variable can be seen in the following table:</w:t>
      </w:r>
    </w:p>
    <w:p w14:paraId="419DFC8B" w14:textId="77777777" w:rsidR="006B3C58" w:rsidRDefault="006B3C58" w:rsidP="006B3C58">
      <w:pPr>
        <w:pStyle w:val="ListParagraph"/>
        <w:spacing w:after="0" w:line="240" w:lineRule="auto"/>
        <w:ind w:left="2340" w:firstLine="425"/>
        <w:rPr>
          <w:rFonts w:ascii="Cambria" w:hAnsi="Cambria"/>
          <w:color w:val="FF0000"/>
          <w:szCs w:val="22"/>
        </w:rPr>
      </w:pPr>
    </w:p>
    <w:p w14:paraId="66B8A8F7" w14:textId="068D4813" w:rsidR="00F04CEF" w:rsidRPr="006B3C58" w:rsidRDefault="000F4100" w:rsidP="006B3C58">
      <w:pPr>
        <w:pStyle w:val="ListParagraph"/>
        <w:spacing w:after="0" w:line="240" w:lineRule="auto"/>
        <w:ind w:left="2340" w:firstLine="425"/>
        <w:rPr>
          <w:rFonts w:ascii="Cambria" w:hAnsi="Cambria"/>
          <w:b/>
          <w:color w:val="000000" w:themeColor="text1"/>
          <w:szCs w:val="22"/>
        </w:rPr>
      </w:pPr>
      <w:proofErr w:type="gramStart"/>
      <w:r w:rsidRPr="006B3C58">
        <w:rPr>
          <w:rFonts w:ascii="Cambria" w:hAnsi="Cambria"/>
          <w:b/>
          <w:color w:val="000000" w:themeColor="text1"/>
          <w:szCs w:val="22"/>
        </w:rPr>
        <w:t>Table 2.</w:t>
      </w:r>
      <w:proofErr w:type="gramEnd"/>
      <w:r w:rsidR="00F44CE6" w:rsidRPr="006B3C58">
        <w:rPr>
          <w:rFonts w:ascii="Cambria" w:hAnsi="Cambria"/>
          <w:b/>
          <w:color w:val="000000" w:themeColor="text1"/>
          <w:szCs w:val="22"/>
        </w:rPr>
        <w:t xml:space="preserve"> Descriptive Statistics Analysis</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7"/>
        <w:gridCol w:w="965"/>
        <w:gridCol w:w="1264"/>
        <w:gridCol w:w="1276"/>
        <w:gridCol w:w="1418"/>
        <w:gridCol w:w="1559"/>
      </w:tblGrid>
      <w:tr w:rsidR="006B3C58" w:rsidRPr="006B3C58" w14:paraId="377373CE" w14:textId="77777777" w:rsidTr="008E6DD7">
        <w:trPr>
          <w:cantSplit/>
          <w:trHeight w:val="288"/>
        </w:trPr>
        <w:tc>
          <w:tcPr>
            <w:tcW w:w="8789" w:type="dxa"/>
            <w:gridSpan w:val="6"/>
            <w:tcBorders>
              <w:top w:val="nil"/>
              <w:left w:val="nil"/>
              <w:bottom w:val="nil"/>
              <w:right w:val="nil"/>
            </w:tcBorders>
            <w:vAlign w:val="center"/>
          </w:tcPr>
          <w:p w14:paraId="5536EEC9" w14:textId="77777777" w:rsidR="00F04CEF" w:rsidRPr="006B3C58" w:rsidRDefault="000F4100">
            <w:pPr>
              <w:spacing w:after="0" w:line="240" w:lineRule="auto"/>
              <w:jc w:val="center"/>
              <w:rPr>
                <w:rFonts w:ascii="Cambria" w:hAnsi="Cambria"/>
                <w:b/>
                <w:color w:val="000000" w:themeColor="text1"/>
              </w:rPr>
            </w:pPr>
            <w:r w:rsidRPr="006B3C58">
              <w:rPr>
                <w:rFonts w:ascii="Cambria" w:hAnsi="Cambria"/>
                <w:b/>
                <w:color w:val="000000" w:themeColor="text1"/>
              </w:rPr>
              <w:t>Descriptive Statistics</w:t>
            </w:r>
          </w:p>
        </w:tc>
      </w:tr>
      <w:tr w:rsidR="00E73D9F" w:rsidRPr="006B3C58" w14:paraId="09A8BE62" w14:textId="77777777" w:rsidTr="008E6DD7">
        <w:trPr>
          <w:cantSplit/>
          <w:trHeight w:val="303"/>
        </w:trPr>
        <w:tc>
          <w:tcPr>
            <w:tcW w:w="2307" w:type="dxa"/>
            <w:tcBorders>
              <w:top w:val="nil"/>
              <w:left w:val="nil"/>
              <w:bottom w:val="single" w:sz="8" w:space="0" w:color="152935"/>
              <w:right w:val="nil"/>
            </w:tcBorders>
            <w:vAlign w:val="bottom"/>
          </w:tcPr>
          <w:p w14:paraId="632E770E" w14:textId="77777777" w:rsidR="008E6DD7" w:rsidRPr="006B3C58" w:rsidRDefault="008E6DD7" w:rsidP="00A72E09">
            <w:pPr>
              <w:spacing w:after="0" w:line="240" w:lineRule="auto"/>
              <w:jc w:val="center"/>
              <w:rPr>
                <w:rFonts w:ascii="Cambria" w:hAnsi="Cambria"/>
                <w:b/>
              </w:rPr>
            </w:pPr>
          </w:p>
        </w:tc>
        <w:tc>
          <w:tcPr>
            <w:tcW w:w="965" w:type="dxa"/>
            <w:tcBorders>
              <w:top w:val="nil"/>
              <w:left w:val="nil"/>
              <w:bottom w:val="single" w:sz="8" w:space="0" w:color="152935"/>
              <w:right w:val="single" w:sz="8" w:space="0" w:color="E0E0E0"/>
            </w:tcBorders>
            <w:vAlign w:val="bottom"/>
          </w:tcPr>
          <w:p w14:paraId="089A5065" w14:textId="77777777" w:rsidR="00F04CEF" w:rsidRPr="006B3C58" w:rsidRDefault="000F4100">
            <w:pPr>
              <w:spacing w:after="0" w:line="240" w:lineRule="auto"/>
              <w:jc w:val="center"/>
              <w:rPr>
                <w:rFonts w:ascii="Cambria" w:hAnsi="Cambria"/>
                <w:b/>
              </w:rPr>
            </w:pPr>
            <w:r w:rsidRPr="006B3C58">
              <w:rPr>
                <w:rFonts w:ascii="Cambria" w:hAnsi="Cambria"/>
                <w:b/>
              </w:rPr>
              <w:t>N</w:t>
            </w:r>
          </w:p>
        </w:tc>
        <w:tc>
          <w:tcPr>
            <w:tcW w:w="1264" w:type="dxa"/>
            <w:tcBorders>
              <w:top w:val="nil"/>
              <w:left w:val="single" w:sz="8" w:space="0" w:color="E0E0E0"/>
              <w:bottom w:val="single" w:sz="8" w:space="0" w:color="152935"/>
              <w:right w:val="single" w:sz="8" w:space="0" w:color="E0E0E0"/>
            </w:tcBorders>
            <w:vAlign w:val="bottom"/>
          </w:tcPr>
          <w:p w14:paraId="230AF348" w14:textId="77777777" w:rsidR="00F04CEF" w:rsidRPr="006B3C58" w:rsidRDefault="000F4100">
            <w:pPr>
              <w:spacing w:after="0" w:line="240" w:lineRule="auto"/>
              <w:jc w:val="center"/>
              <w:rPr>
                <w:rFonts w:ascii="Cambria" w:hAnsi="Cambria"/>
                <w:b/>
              </w:rPr>
            </w:pPr>
            <w:r w:rsidRPr="006B3C58">
              <w:rPr>
                <w:rFonts w:ascii="Cambria" w:hAnsi="Cambria"/>
                <w:b/>
              </w:rPr>
              <w:t>Minimum</w:t>
            </w:r>
          </w:p>
        </w:tc>
        <w:tc>
          <w:tcPr>
            <w:tcW w:w="1276" w:type="dxa"/>
            <w:tcBorders>
              <w:top w:val="nil"/>
              <w:left w:val="single" w:sz="8" w:space="0" w:color="E0E0E0"/>
              <w:bottom w:val="single" w:sz="8" w:space="0" w:color="152935"/>
              <w:right w:val="single" w:sz="8" w:space="0" w:color="E0E0E0"/>
            </w:tcBorders>
            <w:vAlign w:val="bottom"/>
          </w:tcPr>
          <w:p w14:paraId="7623DAA8" w14:textId="77777777" w:rsidR="00F04CEF" w:rsidRPr="006B3C58" w:rsidRDefault="000F4100">
            <w:pPr>
              <w:spacing w:after="0" w:line="240" w:lineRule="auto"/>
              <w:jc w:val="center"/>
              <w:rPr>
                <w:rFonts w:ascii="Cambria" w:hAnsi="Cambria"/>
                <w:b/>
              </w:rPr>
            </w:pPr>
            <w:r w:rsidRPr="006B3C58">
              <w:rPr>
                <w:rFonts w:ascii="Cambria" w:hAnsi="Cambria"/>
                <w:b/>
              </w:rPr>
              <w:t>Maximum</w:t>
            </w:r>
          </w:p>
        </w:tc>
        <w:tc>
          <w:tcPr>
            <w:tcW w:w="1418" w:type="dxa"/>
            <w:tcBorders>
              <w:top w:val="nil"/>
              <w:left w:val="single" w:sz="8" w:space="0" w:color="E0E0E0"/>
              <w:bottom w:val="single" w:sz="8" w:space="0" w:color="152935"/>
              <w:right w:val="single" w:sz="8" w:space="0" w:color="E0E0E0"/>
            </w:tcBorders>
            <w:vAlign w:val="bottom"/>
          </w:tcPr>
          <w:p w14:paraId="58886680" w14:textId="77777777" w:rsidR="00F04CEF" w:rsidRPr="006B3C58" w:rsidRDefault="000F4100">
            <w:pPr>
              <w:spacing w:after="0" w:line="240" w:lineRule="auto"/>
              <w:jc w:val="center"/>
              <w:rPr>
                <w:rFonts w:ascii="Cambria" w:hAnsi="Cambria"/>
                <w:b/>
              </w:rPr>
            </w:pPr>
            <w:r w:rsidRPr="006B3C58">
              <w:rPr>
                <w:rFonts w:ascii="Cambria" w:hAnsi="Cambria"/>
                <w:b/>
              </w:rPr>
              <w:t>Mean</w:t>
            </w:r>
          </w:p>
        </w:tc>
        <w:tc>
          <w:tcPr>
            <w:tcW w:w="1559" w:type="dxa"/>
            <w:tcBorders>
              <w:top w:val="nil"/>
              <w:left w:val="single" w:sz="8" w:space="0" w:color="E0E0E0"/>
              <w:bottom w:val="single" w:sz="8" w:space="0" w:color="152935"/>
              <w:right w:val="nil"/>
            </w:tcBorders>
            <w:vAlign w:val="bottom"/>
          </w:tcPr>
          <w:p w14:paraId="03D125EE" w14:textId="77777777" w:rsidR="00F04CEF" w:rsidRPr="006B3C58" w:rsidRDefault="000F4100">
            <w:pPr>
              <w:spacing w:after="0" w:line="240" w:lineRule="auto"/>
              <w:jc w:val="center"/>
              <w:rPr>
                <w:rFonts w:ascii="Cambria" w:hAnsi="Cambria"/>
                <w:b/>
              </w:rPr>
            </w:pPr>
            <w:r w:rsidRPr="006B3C58">
              <w:rPr>
                <w:rFonts w:ascii="Cambria" w:hAnsi="Cambria"/>
                <w:b/>
              </w:rPr>
              <w:t>Std. Deviation</w:t>
            </w:r>
          </w:p>
        </w:tc>
      </w:tr>
      <w:tr w:rsidR="00E73D9F" w14:paraId="5B693F4A" w14:textId="77777777" w:rsidTr="008E6DD7">
        <w:trPr>
          <w:cantSplit/>
          <w:trHeight w:val="303"/>
        </w:trPr>
        <w:tc>
          <w:tcPr>
            <w:tcW w:w="2307" w:type="dxa"/>
            <w:tcBorders>
              <w:top w:val="single" w:sz="8" w:space="0" w:color="152935"/>
              <w:left w:val="nil"/>
              <w:bottom w:val="single" w:sz="8" w:space="0" w:color="AEAEAE"/>
              <w:right w:val="nil"/>
            </w:tcBorders>
          </w:tcPr>
          <w:p w14:paraId="299C5B71" w14:textId="77777777" w:rsidR="00F04CEF" w:rsidRDefault="000F4100">
            <w:pPr>
              <w:spacing w:after="0" w:line="240" w:lineRule="auto"/>
              <w:jc w:val="center"/>
              <w:rPr>
                <w:rFonts w:ascii="Cambria" w:hAnsi="Cambria"/>
              </w:rPr>
            </w:pPr>
            <w:r w:rsidRPr="008E6DD7">
              <w:rPr>
                <w:rFonts w:ascii="Cambria" w:hAnsi="Cambria"/>
              </w:rPr>
              <w:t>Profitability</w:t>
            </w:r>
          </w:p>
        </w:tc>
        <w:tc>
          <w:tcPr>
            <w:tcW w:w="965" w:type="dxa"/>
            <w:tcBorders>
              <w:top w:val="single" w:sz="8" w:space="0" w:color="152935"/>
              <w:left w:val="nil"/>
              <w:bottom w:val="single" w:sz="8" w:space="0" w:color="AEAEAE"/>
              <w:right w:val="single" w:sz="8" w:space="0" w:color="E0E0E0"/>
            </w:tcBorders>
          </w:tcPr>
          <w:p w14:paraId="6E6CCD79" w14:textId="77777777" w:rsidR="00F04CEF" w:rsidRDefault="000F4100">
            <w:pPr>
              <w:spacing w:after="0" w:line="240" w:lineRule="auto"/>
              <w:jc w:val="center"/>
              <w:rPr>
                <w:rFonts w:ascii="Cambria" w:hAnsi="Cambria"/>
              </w:rPr>
            </w:pPr>
            <w:r w:rsidRPr="008E6DD7">
              <w:rPr>
                <w:rFonts w:ascii="Cambria" w:hAnsi="Cambria"/>
              </w:rPr>
              <w:t>238</w:t>
            </w:r>
          </w:p>
        </w:tc>
        <w:tc>
          <w:tcPr>
            <w:tcW w:w="1264" w:type="dxa"/>
            <w:tcBorders>
              <w:top w:val="single" w:sz="8" w:space="0" w:color="152935"/>
              <w:left w:val="single" w:sz="8" w:space="0" w:color="E0E0E0"/>
              <w:bottom w:val="single" w:sz="8" w:space="0" w:color="AEAEAE"/>
              <w:right w:val="single" w:sz="8" w:space="0" w:color="E0E0E0"/>
            </w:tcBorders>
          </w:tcPr>
          <w:p w14:paraId="5F13897A" w14:textId="77777777" w:rsidR="00F04CEF" w:rsidRDefault="000F4100">
            <w:pPr>
              <w:spacing w:after="0" w:line="240" w:lineRule="auto"/>
              <w:jc w:val="center"/>
              <w:rPr>
                <w:rFonts w:ascii="Cambria" w:hAnsi="Cambria"/>
              </w:rPr>
            </w:pPr>
            <w:r w:rsidRPr="008E6DD7">
              <w:rPr>
                <w:rFonts w:ascii="Cambria" w:hAnsi="Cambria"/>
              </w:rPr>
              <w:t>-105%</w:t>
            </w:r>
          </w:p>
        </w:tc>
        <w:tc>
          <w:tcPr>
            <w:tcW w:w="1276" w:type="dxa"/>
            <w:tcBorders>
              <w:top w:val="single" w:sz="8" w:space="0" w:color="152935"/>
              <w:left w:val="single" w:sz="8" w:space="0" w:color="E0E0E0"/>
              <w:bottom w:val="single" w:sz="8" w:space="0" w:color="AEAEAE"/>
              <w:right w:val="single" w:sz="8" w:space="0" w:color="E0E0E0"/>
            </w:tcBorders>
          </w:tcPr>
          <w:p w14:paraId="0B8DE42A" w14:textId="77777777" w:rsidR="00F04CEF" w:rsidRDefault="000F4100">
            <w:pPr>
              <w:spacing w:after="0" w:line="240" w:lineRule="auto"/>
              <w:jc w:val="center"/>
              <w:rPr>
                <w:rFonts w:ascii="Cambria" w:hAnsi="Cambria"/>
              </w:rPr>
            </w:pPr>
            <w:r w:rsidRPr="008E6DD7">
              <w:rPr>
                <w:rFonts w:ascii="Cambria" w:hAnsi="Cambria"/>
              </w:rPr>
              <w:t>65%</w:t>
            </w:r>
          </w:p>
        </w:tc>
        <w:tc>
          <w:tcPr>
            <w:tcW w:w="1418" w:type="dxa"/>
            <w:tcBorders>
              <w:top w:val="single" w:sz="8" w:space="0" w:color="152935"/>
              <w:left w:val="single" w:sz="8" w:space="0" w:color="E0E0E0"/>
              <w:bottom w:val="single" w:sz="8" w:space="0" w:color="AEAEAE"/>
              <w:right w:val="single" w:sz="8" w:space="0" w:color="E0E0E0"/>
            </w:tcBorders>
          </w:tcPr>
          <w:p w14:paraId="5D76E6BD" w14:textId="77777777" w:rsidR="00F04CEF" w:rsidRDefault="000F4100">
            <w:pPr>
              <w:spacing w:after="0" w:line="240" w:lineRule="auto"/>
              <w:jc w:val="center"/>
              <w:rPr>
                <w:rFonts w:ascii="Cambria" w:hAnsi="Cambria"/>
              </w:rPr>
            </w:pPr>
            <w:r w:rsidRPr="008E6DD7">
              <w:rPr>
                <w:rFonts w:ascii="Cambria" w:hAnsi="Cambria"/>
              </w:rPr>
              <w:t>4.29%</w:t>
            </w:r>
          </w:p>
        </w:tc>
        <w:tc>
          <w:tcPr>
            <w:tcW w:w="1559" w:type="dxa"/>
            <w:tcBorders>
              <w:top w:val="single" w:sz="8" w:space="0" w:color="152935"/>
              <w:left w:val="single" w:sz="8" w:space="0" w:color="E0E0E0"/>
              <w:bottom w:val="single" w:sz="8" w:space="0" w:color="AEAEAE"/>
              <w:right w:val="nil"/>
            </w:tcBorders>
          </w:tcPr>
          <w:p w14:paraId="357EC571" w14:textId="77777777" w:rsidR="00F04CEF" w:rsidRDefault="000F4100">
            <w:pPr>
              <w:spacing w:after="0" w:line="240" w:lineRule="auto"/>
              <w:jc w:val="center"/>
              <w:rPr>
                <w:rFonts w:ascii="Cambria" w:hAnsi="Cambria"/>
              </w:rPr>
            </w:pPr>
            <w:r w:rsidRPr="008E6DD7">
              <w:rPr>
                <w:rFonts w:ascii="Cambria" w:hAnsi="Cambria"/>
              </w:rPr>
              <w:t>13.749%</w:t>
            </w:r>
          </w:p>
        </w:tc>
      </w:tr>
      <w:tr w:rsidR="00E73D9F" w14:paraId="4C23335A" w14:textId="77777777" w:rsidTr="008E6DD7">
        <w:trPr>
          <w:cantSplit/>
          <w:trHeight w:val="288"/>
        </w:trPr>
        <w:tc>
          <w:tcPr>
            <w:tcW w:w="2307" w:type="dxa"/>
            <w:tcBorders>
              <w:top w:val="single" w:sz="8" w:space="0" w:color="AEAEAE"/>
              <w:left w:val="nil"/>
              <w:bottom w:val="single" w:sz="8" w:space="0" w:color="AEAEAE"/>
              <w:right w:val="nil"/>
            </w:tcBorders>
          </w:tcPr>
          <w:p w14:paraId="6FADDF68" w14:textId="77777777" w:rsidR="00F04CEF" w:rsidRDefault="000F4100">
            <w:pPr>
              <w:spacing w:after="0" w:line="240" w:lineRule="auto"/>
              <w:jc w:val="center"/>
              <w:rPr>
                <w:rFonts w:ascii="Cambria" w:hAnsi="Cambria"/>
              </w:rPr>
            </w:pPr>
            <w:r w:rsidRPr="008E6DD7">
              <w:rPr>
                <w:rFonts w:ascii="Cambria" w:hAnsi="Cambria"/>
              </w:rPr>
              <w:t>Leverage</w:t>
            </w:r>
          </w:p>
        </w:tc>
        <w:tc>
          <w:tcPr>
            <w:tcW w:w="965" w:type="dxa"/>
            <w:tcBorders>
              <w:top w:val="single" w:sz="8" w:space="0" w:color="AEAEAE"/>
              <w:left w:val="nil"/>
              <w:bottom w:val="single" w:sz="8" w:space="0" w:color="AEAEAE"/>
              <w:right w:val="single" w:sz="8" w:space="0" w:color="E0E0E0"/>
            </w:tcBorders>
          </w:tcPr>
          <w:p w14:paraId="7C609DB3" w14:textId="77777777" w:rsidR="00F04CEF" w:rsidRDefault="000F4100">
            <w:pPr>
              <w:spacing w:after="0" w:line="240" w:lineRule="auto"/>
              <w:jc w:val="center"/>
              <w:rPr>
                <w:rFonts w:ascii="Cambria" w:hAnsi="Cambria"/>
              </w:rPr>
            </w:pPr>
            <w:r w:rsidRPr="008E6DD7">
              <w:rPr>
                <w:rFonts w:ascii="Cambria" w:hAnsi="Cambria"/>
              </w:rPr>
              <w:t>238</w:t>
            </w:r>
          </w:p>
        </w:tc>
        <w:tc>
          <w:tcPr>
            <w:tcW w:w="1264" w:type="dxa"/>
            <w:tcBorders>
              <w:top w:val="single" w:sz="8" w:space="0" w:color="AEAEAE"/>
              <w:left w:val="single" w:sz="8" w:space="0" w:color="E0E0E0"/>
              <w:bottom w:val="single" w:sz="8" w:space="0" w:color="AEAEAE"/>
              <w:right w:val="single" w:sz="8" w:space="0" w:color="E0E0E0"/>
            </w:tcBorders>
          </w:tcPr>
          <w:p w14:paraId="218EE539" w14:textId="77777777" w:rsidR="00F04CEF" w:rsidRDefault="000F4100">
            <w:pPr>
              <w:spacing w:after="0" w:line="240" w:lineRule="auto"/>
              <w:jc w:val="center"/>
              <w:rPr>
                <w:rFonts w:ascii="Cambria" w:hAnsi="Cambria"/>
              </w:rPr>
            </w:pPr>
            <w:r w:rsidRPr="008E6DD7">
              <w:rPr>
                <w:rFonts w:ascii="Cambria" w:hAnsi="Cambria"/>
              </w:rPr>
              <w:t>-1083%</w:t>
            </w:r>
          </w:p>
        </w:tc>
        <w:tc>
          <w:tcPr>
            <w:tcW w:w="1276" w:type="dxa"/>
            <w:tcBorders>
              <w:top w:val="single" w:sz="8" w:space="0" w:color="AEAEAE"/>
              <w:left w:val="single" w:sz="8" w:space="0" w:color="E0E0E0"/>
              <w:bottom w:val="single" w:sz="8" w:space="0" w:color="AEAEAE"/>
              <w:right w:val="single" w:sz="8" w:space="0" w:color="E0E0E0"/>
            </w:tcBorders>
          </w:tcPr>
          <w:p w14:paraId="01FC85AA" w14:textId="77777777" w:rsidR="00F04CEF" w:rsidRDefault="000F4100">
            <w:pPr>
              <w:spacing w:after="0" w:line="240" w:lineRule="auto"/>
              <w:jc w:val="center"/>
              <w:rPr>
                <w:rFonts w:ascii="Cambria" w:hAnsi="Cambria"/>
              </w:rPr>
            </w:pPr>
            <w:r w:rsidRPr="008E6DD7">
              <w:rPr>
                <w:rFonts w:ascii="Cambria" w:hAnsi="Cambria"/>
              </w:rPr>
              <w:t>11429%</w:t>
            </w:r>
          </w:p>
        </w:tc>
        <w:tc>
          <w:tcPr>
            <w:tcW w:w="1418" w:type="dxa"/>
            <w:tcBorders>
              <w:top w:val="single" w:sz="8" w:space="0" w:color="AEAEAE"/>
              <w:left w:val="single" w:sz="8" w:space="0" w:color="E0E0E0"/>
              <w:bottom w:val="single" w:sz="8" w:space="0" w:color="AEAEAE"/>
              <w:right w:val="single" w:sz="8" w:space="0" w:color="E0E0E0"/>
            </w:tcBorders>
          </w:tcPr>
          <w:p w14:paraId="4FA088F3" w14:textId="77777777" w:rsidR="00F04CEF" w:rsidRDefault="000F4100">
            <w:pPr>
              <w:spacing w:after="0" w:line="240" w:lineRule="auto"/>
              <w:jc w:val="center"/>
              <w:rPr>
                <w:rFonts w:ascii="Cambria" w:hAnsi="Cambria"/>
              </w:rPr>
            </w:pPr>
            <w:r w:rsidRPr="008E6DD7">
              <w:rPr>
                <w:rFonts w:ascii="Cambria" w:hAnsi="Cambria"/>
              </w:rPr>
              <w:t>165.90%</w:t>
            </w:r>
          </w:p>
        </w:tc>
        <w:tc>
          <w:tcPr>
            <w:tcW w:w="1559" w:type="dxa"/>
            <w:tcBorders>
              <w:top w:val="single" w:sz="8" w:space="0" w:color="AEAEAE"/>
              <w:left w:val="single" w:sz="8" w:space="0" w:color="E0E0E0"/>
              <w:bottom w:val="single" w:sz="8" w:space="0" w:color="AEAEAE"/>
              <w:right w:val="nil"/>
            </w:tcBorders>
          </w:tcPr>
          <w:p w14:paraId="5CB2A2FA" w14:textId="77777777" w:rsidR="00F04CEF" w:rsidRDefault="000F4100">
            <w:pPr>
              <w:spacing w:after="0" w:line="240" w:lineRule="auto"/>
              <w:jc w:val="center"/>
              <w:rPr>
                <w:rFonts w:ascii="Cambria" w:hAnsi="Cambria"/>
              </w:rPr>
            </w:pPr>
            <w:r w:rsidRPr="008E6DD7">
              <w:rPr>
                <w:rFonts w:ascii="Cambria" w:hAnsi="Cambria"/>
              </w:rPr>
              <w:t>770.802%</w:t>
            </w:r>
          </w:p>
        </w:tc>
      </w:tr>
      <w:tr w:rsidR="00E73D9F" w14:paraId="623AE696" w14:textId="77777777" w:rsidTr="008E6DD7">
        <w:trPr>
          <w:cantSplit/>
          <w:trHeight w:val="606"/>
        </w:trPr>
        <w:tc>
          <w:tcPr>
            <w:tcW w:w="2307" w:type="dxa"/>
            <w:tcBorders>
              <w:top w:val="single" w:sz="8" w:space="0" w:color="AEAEAE"/>
              <w:left w:val="nil"/>
              <w:bottom w:val="single" w:sz="8" w:space="0" w:color="AEAEAE"/>
              <w:right w:val="nil"/>
            </w:tcBorders>
          </w:tcPr>
          <w:p w14:paraId="7D75D810" w14:textId="77777777" w:rsidR="00F04CEF" w:rsidRDefault="000F4100">
            <w:pPr>
              <w:spacing w:after="0" w:line="240" w:lineRule="auto"/>
              <w:jc w:val="center"/>
              <w:rPr>
                <w:rFonts w:ascii="Cambria" w:hAnsi="Cambria"/>
              </w:rPr>
            </w:pPr>
            <w:r w:rsidRPr="008E6DD7">
              <w:rPr>
                <w:rFonts w:ascii="Cambria" w:hAnsi="Cambria"/>
              </w:rPr>
              <w:t>Company Growth</w:t>
            </w:r>
          </w:p>
        </w:tc>
        <w:tc>
          <w:tcPr>
            <w:tcW w:w="965" w:type="dxa"/>
            <w:tcBorders>
              <w:top w:val="single" w:sz="8" w:space="0" w:color="AEAEAE"/>
              <w:left w:val="nil"/>
              <w:bottom w:val="single" w:sz="8" w:space="0" w:color="AEAEAE"/>
              <w:right w:val="single" w:sz="8" w:space="0" w:color="E0E0E0"/>
            </w:tcBorders>
          </w:tcPr>
          <w:p w14:paraId="2CEECBE2" w14:textId="77777777" w:rsidR="00F04CEF" w:rsidRDefault="000F4100">
            <w:pPr>
              <w:spacing w:after="0" w:line="240" w:lineRule="auto"/>
              <w:jc w:val="center"/>
              <w:rPr>
                <w:rFonts w:ascii="Cambria" w:hAnsi="Cambria"/>
              </w:rPr>
            </w:pPr>
            <w:r w:rsidRPr="008E6DD7">
              <w:rPr>
                <w:rFonts w:ascii="Cambria" w:hAnsi="Cambria"/>
              </w:rPr>
              <w:t>238</w:t>
            </w:r>
          </w:p>
        </w:tc>
        <w:tc>
          <w:tcPr>
            <w:tcW w:w="1264" w:type="dxa"/>
            <w:tcBorders>
              <w:top w:val="single" w:sz="8" w:space="0" w:color="AEAEAE"/>
              <w:left w:val="single" w:sz="8" w:space="0" w:color="E0E0E0"/>
              <w:bottom w:val="single" w:sz="8" w:space="0" w:color="AEAEAE"/>
              <w:right w:val="single" w:sz="8" w:space="0" w:color="E0E0E0"/>
            </w:tcBorders>
          </w:tcPr>
          <w:p w14:paraId="6010707F" w14:textId="77777777" w:rsidR="00F04CEF" w:rsidRDefault="000F4100">
            <w:pPr>
              <w:spacing w:after="0" w:line="240" w:lineRule="auto"/>
              <w:jc w:val="center"/>
              <w:rPr>
                <w:rFonts w:ascii="Cambria" w:hAnsi="Cambria"/>
              </w:rPr>
            </w:pPr>
            <w:r w:rsidRPr="008E6DD7">
              <w:rPr>
                <w:rFonts w:ascii="Cambria" w:hAnsi="Cambria"/>
              </w:rPr>
              <w:t>-96%</w:t>
            </w:r>
          </w:p>
        </w:tc>
        <w:tc>
          <w:tcPr>
            <w:tcW w:w="1276" w:type="dxa"/>
            <w:tcBorders>
              <w:top w:val="single" w:sz="8" w:space="0" w:color="AEAEAE"/>
              <w:left w:val="single" w:sz="8" w:space="0" w:color="E0E0E0"/>
              <w:bottom w:val="single" w:sz="8" w:space="0" w:color="AEAEAE"/>
              <w:right w:val="single" w:sz="8" w:space="0" w:color="E0E0E0"/>
            </w:tcBorders>
          </w:tcPr>
          <w:p w14:paraId="71B89858" w14:textId="77777777" w:rsidR="00F04CEF" w:rsidRDefault="000F4100">
            <w:pPr>
              <w:spacing w:after="0" w:line="240" w:lineRule="auto"/>
              <w:jc w:val="center"/>
              <w:rPr>
                <w:rFonts w:ascii="Cambria" w:hAnsi="Cambria"/>
              </w:rPr>
            </w:pPr>
            <w:r w:rsidRPr="008E6DD7">
              <w:rPr>
                <w:rFonts w:ascii="Cambria" w:hAnsi="Cambria"/>
              </w:rPr>
              <w:t>57%</w:t>
            </w:r>
          </w:p>
        </w:tc>
        <w:tc>
          <w:tcPr>
            <w:tcW w:w="1418" w:type="dxa"/>
            <w:tcBorders>
              <w:top w:val="single" w:sz="8" w:space="0" w:color="AEAEAE"/>
              <w:left w:val="single" w:sz="8" w:space="0" w:color="E0E0E0"/>
              <w:bottom w:val="single" w:sz="8" w:space="0" w:color="AEAEAE"/>
              <w:right w:val="single" w:sz="8" w:space="0" w:color="E0E0E0"/>
            </w:tcBorders>
          </w:tcPr>
          <w:p w14:paraId="51B94A80" w14:textId="77777777" w:rsidR="00F04CEF" w:rsidRDefault="000F4100">
            <w:pPr>
              <w:spacing w:after="0" w:line="240" w:lineRule="auto"/>
              <w:jc w:val="center"/>
              <w:rPr>
                <w:rFonts w:ascii="Cambria" w:hAnsi="Cambria"/>
              </w:rPr>
            </w:pPr>
            <w:r w:rsidRPr="008E6DD7">
              <w:rPr>
                <w:rFonts w:ascii="Cambria" w:hAnsi="Cambria"/>
              </w:rPr>
              <w:t>-4.96%</w:t>
            </w:r>
          </w:p>
        </w:tc>
        <w:tc>
          <w:tcPr>
            <w:tcW w:w="1559" w:type="dxa"/>
            <w:tcBorders>
              <w:top w:val="single" w:sz="8" w:space="0" w:color="AEAEAE"/>
              <w:left w:val="single" w:sz="8" w:space="0" w:color="E0E0E0"/>
              <w:bottom w:val="single" w:sz="8" w:space="0" w:color="AEAEAE"/>
              <w:right w:val="nil"/>
            </w:tcBorders>
          </w:tcPr>
          <w:p w14:paraId="4C6BE4F2" w14:textId="77777777" w:rsidR="00F04CEF" w:rsidRDefault="000F4100">
            <w:pPr>
              <w:spacing w:after="0" w:line="240" w:lineRule="auto"/>
              <w:jc w:val="center"/>
              <w:rPr>
                <w:rFonts w:ascii="Cambria" w:hAnsi="Cambria"/>
              </w:rPr>
            </w:pPr>
            <w:r w:rsidRPr="008E6DD7">
              <w:rPr>
                <w:rFonts w:ascii="Cambria" w:hAnsi="Cambria"/>
              </w:rPr>
              <w:t>22.422%</w:t>
            </w:r>
          </w:p>
        </w:tc>
      </w:tr>
      <w:tr w:rsidR="00E73D9F" w14:paraId="360D3BE6" w14:textId="77777777" w:rsidTr="008E6DD7">
        <w:trPr>
          <w:cantSplit/>
          <w:trHeight w:val="288"/>
        </w:trPr>
        <w:tc>
          <w:tcPr>
            <w:tcW w:w="2307" w:type="dxa"/>
            <w:tcBorders>
              <w:top w:val="single" w:sz="8" w:space="0" w:color="AEAEAE"/>
              <w:left w:val="nil"/>
              <w:bottom w:val="single" w:sz="8" w:space="0" w:color="AEAEAE"/>
              <w:right w:val="nil"/>
            </w:tcBorders>
          </w:tcPr>
          <w:p w14:paraId="08ACFE0F" w14:textId="77777777" w:rsidR="00F04CEF" w:rsidRDefault="000F4100">
            <w:pPr>
              <w:spacing w:after="0" w:line="240" w:lineRule="auto"/>
              <w:jc w:val="center"/>
              <w:rPr>
                <w:rFonts w:ascii="Cambria" w:hAnsi="Cambria"/>
              </w:rPr>
            </w:pPr>
            <w:r w:rsidRPr="008E6DD7">
              <w:rPr>
                <w:rFonts w:ascii="Cambria" w:hAnsi="Cambria"/>
              </w:rPr>
              <w:t>Going Concerned</w:t>
            </w:r>
          </w:p>
        </w:tc>
        <w:tc>
          <w:tcPr>
            <w:tcW w:w="965" w:type="dxa"/>
            <w:tcBorders>
              <w:top w:val="single" w:sz="8" w:space="0" w:color="AEAEAE"/>
              <w:left w:val="nil"/>
              <w:bottom w:val="single" w:sz="8" w:space="0" w:color="AEAEAE"/>
              <w:right w:val="single" w:sz="8" w:space="0" w:color="E0E0E0"/>
            </w:tcBorders>
          </w:tcPr>
          <w:p w14:paraId="6F9B38B3" w14:textId="77777777" w:rsidR="00F04CEF" w:rsidRDefault="000F4100">
            <w:pPr>
              <w:spacing w:after="0" w:line="240" w:lineRule="auto"/>
              <w:jc w:val="center"/>
              <w:rPr>
                <w:rFonts w:ascii="Cambria" w:hAnsi="Cambria"/>
              </w:rPr>
            </w:pPr>
            <w:r w:rsidRPr="008E6DD7">
              <w:rPr>
                <w:rFonts w:ascii="Cambria" w:hAnsi="Cambria"/>
              </w:rPr>
              <w:t>238</w:t>
            </w:r>
          </w:p>
        </w:tc>
        <w:tc>
          <w:tcPr>
            <w:tcW w:w="1264" w:type="dxa"/>
            <w:tcBorders>
              <w:top w:val="single" w:sz="8" w:space="0" w:color="AEAEAE"/>
              <w:left w:val="single" w:sz="8" w:space="0" w:color="E0E0E0"/>
              <w:bottom w:val="single" w:sz="8" w:space="0" w:color="AEAEAE"/>
              <w:right w:val="single" w:sz="8" w:space="0" w:color="E0E0E0"/>
            </w:tcBorders>
          </w:tcPr>
          <w:p w14:paraId="30DB0E29" w14:textId="77777777" w:rsidR="00F04CEF" w:rsidRDefault="000F4100">
            <w:pPr>
              <w:spacing w:after="0" w:line="240" w:lineRule="auto"/>
              <w:jc w:val="center"/>
              <w:rPr>
                <w:rFonts w:ascii="Cambria" w:hAnsi="Cambria"/>
              </w:rPr>
            </w:pPr>
            <w:r w:rsidRPr="008E6DD7">
              <w:rPr>
                <w:rFonts w:ascii="Cambria" w:hAnsi="Cambria"/>
              </w:rPr>
              <w:t>0</w:t>
            </w:r>
          </w:p>
        </w:tc>
        <w:tc>
          <w:tcPr>
            <w:tcW w:w="1276" w:type="dxa"/>
            <w:tcBorders>
              <w:top w:val="single" w:sz="8" w:space="0" w:color="AEAEAE"/>
              <w:left w:val="single" w:sz="8" w:space="0" w:color="E0E0E0"/>
              <w:bottom w:val="single" w:sz="8" w:space="0" w:color="AEAEAE"/>
              <w:right w:val="single" w:sz="8" w:space="0" w:color="E0E0E0"/>
            </w:tcBorders>
          </w:tcPr>
          <w:p w14:paraId="5EBAFA5B" w14:textId="77777777" w:rsidR="00F04CEF" w:rsidRDefault="000F4100">
            <w:pPr>
              <w:spacing w:after="0" w:line="240" w:lineRule="auto"/>
              <w:jc w:val="center"/>
              <w:rPr>
                <w:rFonts w:ascii="Cambria" w:hAnsi="Cambria"/>
              </w:rPr>
            </w:pPr>
            <w:r w:rsidRPr="008E6DD7">
              <w:rPr>
                <w:rFonts w:ascii="Cambria" w:hAnsi="Cambria"/>
              </w:rPr>
              <w:t>1</w:t>
            </w:r>
          </w:p>
        </w:tc>
        <w:tc>
          <w:tcPr>
            <w:tcW w:w="1418" w:type="dxa"/>
            <w:tcBorders>
              <w:top w:val="single" w:sz="8" w:space="0" w:color="AEAEAE"/>
              <w:left w:val="single" w:sz="8" w:space="0" w:color="E0E0E0"/>
              <w:bottom w:val="single" w:sz="8" w:space="0" w:color="AEAEAE"/>
              <w:right w:val="single" w:sz="8" w:space="0" w:color="E0E0E0"/>
            </w:tcBorders>
          </w:tcPr>
          <w:p w14:paraId="46236F7E" w14:textId="77777777" w:rsidR="00F04CEF" w:rsidRDefault="000F4100">
            <w:pPr>
              <w:spacing w:after="0" w:line="240" w:lineRule="auto"/>
              <w:jc w:val="center"/>
              <w:rPr>
                <w:rFonts w:ascii="Cambria" w:hAnsi="Cambria"/>
              </w:rPr>
            </w:pPr>
            <w:r w:rsidRPr="008E6DD7">
              <w:rPr>
                <w:rFonts w:ascii="Cambria" w:hAnsi="Cambria"/>
              </w:rPr>
              <w:t>.16</w:t>
            </w:r>
          </w:p>
        </w:tc>
        <w:tc>
          <w:tcPr>
            <w:tcW w:w="1559" w:type="dxa"/>
            <w:tcBorders>
              <w:top w:val="single" w:sz="8" w:space="0" w:color="AEAEAE"/>
              <w:left w:val="single" w:sz="8" w:space="0" w:color="E0E0E0"/>
              <w:bottom w:val="single" w:sz="8" w:space="0" w:color="AEAEAE"/>
              <w:right w:val="nil"/>
            </w:tcBorders>
          </w:tcPr>
          <w:p w14:paraId="587906F8" w14:textId="77777777" w:rsidR="00F04CEF" w:rsidRDefault="000F4100">
            <w:pPr>
              <w:spacing w:after="0" w:line="240" w:lineRule="auto"/>
              <w:jc w:val="center"/>
              <w:rPr>
                <w:rFonts w:ascii="Cambria" w:hAnsi="Cambria"/>
              </w:rPr>
            </w:pPr>
            <w:r w:rsidRPr="008E6DD7">
              <w:rPr>
                <w:rFonts w:ascii="Cambria" w:hAnsi="Cambria"/>
              </w:rPr>
              <w:t>.371</w:t>
            </w:r>
          </w:p>
        </w:tc>
      </w:tr>
      <w:tr w:rsidR="00E73D9F" w14:paraId="1912DDC9" w14:textId="77777777" w:rsidTr="008E6DD7">
        <w:trPr>
          <w:cantSplit/>
          <w:trHeight w:val="303"/>
        </w:trPr>
        <w:tc>
          <w:tcPr>
            <w:tcW w:w="2307" w:type="dxa"/>
            <w:tcBorders>
              <w:top w:val="single" w:sz="8" w:space="0" w:color="AEAEAE"/>
              <w:left w:val="nil"/>
              <w:bottom w:val="single" w:sz="8" w:space="0" w:color="152935"/>
              <w:right w:val="nil"/>
            </w:tcBorders>
          </w:tcPr>
          <w:p w14:paraId="34BFBE4C" w14:textId="77777777" w:rsidR="00F04CEF" w:rsidRDefault="000F4100">
            <w:pPr>
              <w:spacing w:after="0" w:line="240" w:lineRule="auto"/>
              <w:jc w:val="center"/>
              <w:rPr>
                <w:rFonts w:ascii="Cambria" w:hAnsi="Cambria"/>
              </w:rPr>
            </w:pPr>
            <w:r w:rsidRPr="008E6DD7">
              <w:rPr>
                <w:rFonts w:ascii="Cambria" w:hAnsi="Cambria"/>
              </w:rPr>
              <w:t>Valid N (Listwise)</w:t>
            </w:r>
          </w:p>
        </w:tc>
        <w:tc>
          <w:tcPr>
            <w:tcW w:w="965" w:type="dxa"/>
            <w:tcBorders>
              <w:top w:val="single" w:sz="8" w:space="0" w:color="AEAEAE"/>
              <w:left w:val="nil"/>
              <w:bottom w:val="single" w:sz="8" w:space="0" w:color="152935"/>
              <w:right w:val="single" w:sz="8" w:space="0" w:color="E0E0E0"/>
            </w:tcBorders>
          </w:tcPr>
          <w:p w14:paraId="3AF437FC" w14:textId="77777777" w:rsidR="00F04CEF" w:rsidRDefault="000F4100">
            <w:pPr>
              <w:spacing w:after="0" w:line="240" w:lineRule="auto"/>
              <w:jc w:val="center"/>
              <w:rPr>
                <w:rFonts w:ascii="Cambria" w:hAnsi="Cambria"/>
              </w:rPr>
            </w:pPr>
            <w:r w:rsidRPr="008E6DD7">
              <w:rPr>
                <w:rFonts w:ascii="Cambria" w:hAnsi="Cambria"/>
              </w:rPr>
              <w:t>238</w:t>
            </w:r>
          </w:p>
        </w:tc>
        <w:tc>
          <w:tcPr>
            <w:tcW w:w="1264" w:type="dxa"/>
            <w:tcBorders>
              <w:top w:val="single" w:sz="8" w:space="0" w:color="AEAEAE"/>
              <w:left w:val="single" w:sz="8" w:space="0" w:color="E0E0E0"/>
              <w:bottom w:val="single" w:sz="8" w:space="0" w:color="152935"/>
              <w:right w:val="single" w:sz="8" w:space="0" w:color="E0E0E0"/>
            </w:tcBorders>
            <w:vAlign w:val="center"/>
          </w:tcPr>
          <w:p w14:paraId="4614983C" w14:textId="77777777" w:rsidR="008E6DD7" w:rsidRPr="008E6DD7" w:rsidRDefault="008E6DD7" w:rsidP="00A72E09">
            <w:pPr>
              <w:spacing w:after="0" w:line="240" w:lineRule="auto"/>
              <w:jc w:val="center"/>
              <w:rPr>
                <w:rFonts w:ascii="Cambria" w:hAnsi="Cambria"/>
              </w:rPr>
            </w:pPr>
          </w:p>
        </w:tc>
        <w:tc>
          <w:tcPr>
            <w:tcW w:w="1276" w:type="dxa"/>
            <w:tcBorders>
              <w:top w:val="single" w:sz="8" w:space="0" w:color="AEAEAE"/>
              <w:left w:val="single" w:sz="8" w:space="0" w:color="E0E0E0"/>
              <w:bottom w:val="single" w:sz="8" w:space="0" w:color="152935"/>
              <w:right w:val="single" w:sz="8" w:space="0" w:color="E0E0E0"/>
            </w:tcBorders>
            <w:vAlign w:val="center"/>
          </w:tcPr>
          <w:p w14:paraId="1F211FE6" w14:textId="77777777" w:rsidR="008E6DD7" w:rsidRPr="008E6DD7" w:rsidRDefault="008E6DD7" w:rsidP="00A72E09">
            <w:pPr>
              <w:spacing w:after="0" w:line="240" w:lineRule="auto"/>
              <w:jc w:val="center"/>
              <w:rPr>
                <w:rFonts w:ascii="Cambria" w:hAnsi="Cambria"/>
              </w:rPr>
            </w:pPr>
          </w:p>
        </w:tc>
        <w:tc>
          <w:tcPr>
            <w:tcW w:w="1418" w:type="dxa"/>
            <w:tcBorders>
              <w:top w:val="single" w:sz="8" w:space="0" w:color="AEAEAE"/>
              <w:left w:val="single" w:sz="8" w:space="0" w:color="E0E0E0"/>
              <w:bottom w:val="single" w:sz="8" w:space="0" w:color="152935"/>
              <w:right w:val="single" w:sz="8" w:space="0" w:color="E0E0E0"/>
            </w:tcBorders>
            <w:vAlign w:val="center"/>
          </w:tcPr>
          <w:p w14:paraId="54D175D2" w14:textId="77777777" w:rsidR="008E6DD7" w:rsidRPr="008E6DD7" w:rsidRDefault="008E6DD7" w:rsidP="00A72E09">
            <w:pPr>
              <w:spacing w:after="0" w:line="240" w:lineRule="auto"/>
              <w:jc w:val="center"/>
              <w:rPr>
                <w:rFonts w:ascii="Cambria" w:hAnsi="Cambria"/>
              </w:rPr>
            </w:pPr>
          </w:p>
        </w:tc>
        <w:tc>
          <w:tcPr>
            <w:tcW w:w="1559" w:type="dxa"/>
            <w:tcBorders>
              <w:top w:val="single" w:sz="8" w:space="0" w:color="AEAEAE"/>
              <w:left w:val="single" w:sz="8" w:space="0" w:color="E0E0E0"/>
              <w:bottom w:val="single" w:sz="8" w:space="0" w:color="152935"/>
              <w:right w:val="nil"/>
            </w:tcBorders>
            <w:vAlign w:val="center"/>
          </w:tcPr>
          <w:p w14:paraId="02A1ED22" w14:textId="77777777" w:rsidR="008E6DD7" w:rsidRPr="008E6DD7" w:rsidRDefault="008E6DD7" w:rsidP="00A72E09">
            <w:pPr>
              <w:spacing w:after="0" w:line="240" w:lineRule="auto"/>
              <w:jc w:val="center"/>
              <w:rPr>
                <w:rFonts w:ascii="Cambria" w:hAnsi="Cambria"/>
              </w:rPr>
            </w:pPr>
          </w:p>
        </w:tc>
      </w:tr>
    </w:tbl>
    <w:p w14:paraId="072A1EB6" w14:textId="77777777" w:rsidR="00034BC5" w:rsidRDefault="00034BC5" w:rsidP="00034BC5">
      <w:pPr>
        <w:spacing w:after="0" w:line="240" w:lineRule="auto"/>
        <w:jc w:val="both"/>
        <w:rPr>
          <w:rFonts w:ascii="Times New Roman" w:hAnsi="Times New Roman" w:cs="Times New Roman"/>
          <w:i/>
          <w:sz w:val="24"/>
          <w:szCs w:val="24"/>
        </w:rPr>
      </w:pPr>
    </w:p>
    <w:p w14:paraId="58EBF09B" w14:textId="77777777" w:rsidR="00F04CEF" w:rsidRDefault="000F4100" w:rsidP="00034BC5">
      <w:pPr>
        <w:spacing w:after="0" w:line="240" w:lineRule="auto"/>
        <w:ind w:firstLine="567"/>
        <w:jc w:val="both"/>
        <w:rPr>
          <w:rFonts w:ascii="Cambria" w:hAnsi="Cambria" w:cs="Times New Roman"/>
          <w:sz w:val="21"/>
          <w:szCs w:val="21"/>
        </w:rPr>
      </w:pPr>
      <w:r w:rsidRPr="008E6DD7">
        <w:rPr>
          <w:rFonts w:ascii="Cambria" w:hAnsi="Cambria" w:cs="Times New Roman"/>
          <w:sz w:val="21"/>
          <w:szCs w:val="21"/>
        </w:rPr>
        <w:t>Based on Table 2, it can be explained that the number of analysis units in this study (N) is 238 companies. An explanation of the descriptive statistical analysis is as follows:</w:t>
      </w:r>
    </w:p>
    <w:p w14:paraId="6E7A58FA" w14:textId="77777777" w:rsidR="00F04CEF" w:rsidRDefault="000F4100">
      <w:pPr>
        <w:pStyle w:val="ListParagraph"/>
        <w:numPr>
          <w:ilvl w:val="0"/>
          <w:numId w:val="5"/>
        </w:numPr>
        <w:spacing w:after="160" w:line="240" w:lineRule="auto"/>
        <w:ind w:left="284" w:hanging="284"/>
        <w:contextualSpacing/>
        <w:jc w:val="both"/>
        <w:rPr>
          <w:rFonts w:ascii="Cambria" w:hAnsi="Cambria"/>
          <w:sz w:val="21"/>
          <w:szCs w:val="21"/>
        </w:rPr>
      </w:pPr>
      <w:r w:rsidRPr="008E6DD7">
        <w:rPr>
          <w:rFonts w:ascii="Cambria" w:hAnsi="Cambria"/>
          <w:sz w:val="21"/>
          <w:szCs w:val="21"/>
        </w:rPr>
        <w:t xml:space="preserve">Variable profitability is one of the ratios used to measure the company's success in generating profits, where the minimum value of -105% is found in the company Trita Mahakam Resources Tbk for the 2020 period, while the maximum value of 65% is found in PT Darya Varia </w:t>
      </w:r>
      <w:r w:rsidRPr="008E6DD7">
        <w:rPr>
          <w:rFonts w:ascii="Cambria" w:hAnsi="Cambria"/>
          <w:sz w:val="21"/>
          <w:szCs w:val="21"/>
        </w:rPr>
        <w:lastRenderedPageBreak/>
        <w:t>Laboratoria Tbk for the 2019 period. The average profitability value is 4.29%, with a standard deviation value of 13.749%</w:t>
      </w:r>
      <w:r w:rsidR="003B62E0">
        <w:rPr>
          <w:rFonts w:ascii="Cambria" w:hAnsi="Cambria"/>
          <w:sz w:val="21"/>
          <w:szCs w:val="21"/>
        </w:rPr>
        <w:t>. T</w:t>
      </w:r>
      <w:r w:rsidRPr="008E6DD7">
        <w:rPr>
          <w:rFonts w:ascii="Cambria" w:hAnsi="Cambria"/>
          <w:sz w:val="21"/>
          <w:szCs w:val="21"/>
        </w:rPr>
        <w:t>he standard deviation value is greater than the average value</w:t>
      </w:r>
      <w:r w:rsidR="003B62E0">
        <w:rPr>
          <w:rFonts w:ascii="Cambria" w:hAnsi="Cambria"/>
          <w:sz w:val="21"/>
          <w:szCs w:val="21"/>
        </w:rPr>
        <w:t>. T</w:t>
      </w:r>
      <w:r w:rsidRPr="008E6DD7">
        <w:rPr>
          <w:rFonts w:ascii="Cambria" w:hAnsi="Cambria"/>
          <w:sz w:val="21"/>
          <w:szCs w:val="21"/>
        </w:rPr>
        <w:t>hus</w:t>
      </w:r>
      <w:r w:rsidR="003B62E0">
        <w:rPr>
          <w:rFonts w:ascii="Cambria" w:hAnsi="Cambria"/>
          <w:sz w:val="21"/>
          <w:szCs w:val="21"/>
        </w:rPr>
        <w:t>. It</w:t>
      </w:r>
      <w:r w:rsidRPr="008E6DD7">
        <w:rPr>
          <w:rFonts w:ascii="Cambria" w:hAnsi="Cambria"/>
          <w:sz w:val="21"/>
          <w:szCs w:val="21"/>
        </w:rPr>
        <w:t xml:space="preserve"> indicat</w:t>
      </w:r>
      <w:r w:rsidR="003B62E0">
        <w:rPr>
          <w:rFonts w:ascii="Cambria" w:hAnsi="Cambria"/>
          <w:sz w:val="21"/>
          <w:szCs w:val="21"/>
        </w:rPr>
        <w:t>es</w:t>
      </w:r>
      <w:r w:rsidRPr="008E6DD7">
        <w:rPr>
          <w:rFonts w:ascii="Cambria" w:hAnsi="Cambria"/>
          <w:sz w:val="21"/>
          <w:szCs w:val="21"/>
        </w:rPr>
        <w:t xml:space="preserve"> that the amount of profitability in manufacturing companies listed on the Indonesia stock exchange varies greatly.</w:t>
      </w:r>
    </w:p>
    <w:p w14:paraId="66B45386" w14:textId="77777777" w:rsidR="00F04CEF" w:rsidRDefault="000F4100">
      <w:pPr>
        <w:pStyle w:val="ListParagraph"/>
        <w:numPr>
          <w:ilvl w:val="0"/>
          <w:numId w:val="5"/>
        </w:numPr>
        <w:spacing w:after="160" w:line="240" w:lineRule="auto"/>
        <w:ind w:left="284" w:hanging="284"/>
        <w:contextualSpacing/>
        <w:jc w:val="both"/>
        <w:rPr>
          <w:rFonts w:ascii="Cambria" w:hAnsi="Cambria"/>
          <w:sz w:val="21"/>
          <w:szCs w:val="21"/>
        </w:rPr>
      </w:pPr>
      <w:r w:rsidRPr="008E6DD7">
        <w:rPr>
          <w:rFonts w:ascii="Cambria" w:hAnsi="Cambria"/>
          <w:sz w:val="21"/>
          <w:szCs w:val="21"/>
        </w:rPr>
        <w:t xml:space="preserve">Variable </w:t>
      </w:r>
      <w:r w:rsidRPr="008E6DD7">
        <w:rPr>
          <w:rFonts w:ascii="Cambria" w:hAnsi="Cambria"/>
          <w:i/>
          <w:sz w:val="21"/>
          <w:szCs w:val="21"/>
        </w:rPr>
        <w:t xml:space="preserve">leverage </w:t>
      </w:r>
      <w:r w:rsidRPr="008E6DD7">
        <w:rPr>
          <w:rFonts w:ascii="Cambria" w:hAnsi="Cambria"/>
          <w:sz w:val="21"/>
          <w:szCs w:val="21"/>
        </w:rPr>
        <w:t>is a ratio that measures how far the company is financed by debt or creditors with the company's ability described by capital.</w:t>
      </w:r>
      <w:r w:rsidR="003B62E0">
        <w:rPr>
          <w:rFonts w:ascii="Cambria" w:hAnsi="Cambria"/>
          <w:sz w:val="21"/>
          <w:szCs w:val="21"/>
        </w:rPr>
        <w:t xml:space="preserve"> F</w:t>
      </w:r>
      <w:r w:rsidRPr="008E6DD7">
        <w:rPr>
          <w:rFonts w:ascii="Cambria" w:hAnsi="Cambria"/>
          <w:sz w:val="21"/>
          <w:szCs w:val="21"/>
        </w:rPr>
        <w:t>rom the test results, the minimum value of -1083% is obtained at PT Waskita Karya (Persero</w:t>
      </w:r>
      <w:r w:rsidRPr="008E6DD7">
        <w:rPr>
          <w:rFonts w:ascii="Cambria" w:hAnsi="Cambria"/>
          <w:color w:val="000000" w:themeColor="text1"/>
          <w:sz w:val="21"/>
          <w:szCs w:val="21"/>
        </w:rPr>
        <w:t xml:space="preserve">) </w:t>
      </w:r>
      <w:r w:rsidRPr="008E6DD7">
        <w:rPr>
          <w:rFonts w:ascii="Cambria" w:hAnsi="Cambria"/>
          <w:sz w:val="21"/>
          <w:szCs w:val="21"/>
        </w:rPr>
        <w:t xml:space="preserve">Tbk for the 2020 period. It </w:t>
      </w:r>
      <w:r w:rsidRPr="008E6DD7">
        <w:rPr>
          <w:rFonts w:ascii="Cambria" w:hAnsi="Cambria"/>
          <w:color w:val="000000" w:themeColor="text1"/>
          <w:sz w:val="21"/>
          <w:szCs w:val="21"/>
        </w:rPr>
        <w:t>shows that companies with a negative value (minimum) have a small amount of liability or little debt</w:t>
      </w:r>
      <w:r w:rsidRPr="008E6DD7">
        <w:rPr>
          <w:rFonts w:ascii="Cambria" w:hAnsi="Cambria"/>
          <w:sz w:val="21"/>
          <w:szCs w:val="21"/>
        </w:rPr>
        <w:t xml:space="preserve">. In contrast, the maximum value obtained is </w:t>
      </w:r>
      <w:r w:rsidRPr="008E6DD7">
        <w:rPr>
          <w:rFonts w:ascii="Cambria" w:hAnsi="Cambria"/>
          <w:color w:val="010205"/>
          <w:sz w:val="21"/>
          <w:szCs w:val="21"/>
        </w:rPr>
        <w:t xml:space="preserve">11429% at </w:t>
      </w:r>
      <w:r w:rsidRPr="008E6DD7">
        <w:rPr>
          <w:rFonts w:ascii="Cambria" w:hAnsi="Cambria"/>
          <w:sz w:val="21"/>
          <w:szCs w:val="21"/>
        </w:rPr>
        <w:t xml:space="preserve">PT Asia Pacific Investama Tbk for 2020. It </w:t>
      </w:r>
      <w:r w:rsidRPr="008E6DD7">
        <w:rPr>
          <w:rFonts w:ascii="Cambria" w:hAnsi="Cambria"/>
          <w:color w:val="000000" w:themeColor="text1"/>
          <w:sz w:val="21"/>
          <w:szCs w:val="21"/>
        </w:rPr>
        <w:t xml:space="preserve">shows that companies with a positive value (maximum) show large liabilities or large debts. The average </w:t>
      </w:r>
      <w:r w:rsidRPr="008E6DD7">
        <w:rPr>
          <w:rFonts w:ascii="Cambria" w:hAnsi="Cambria"/>
          <w:i/>
          <w:color w:val="000000" w:themeColor="text1"/>
          <w:sz w:val="21"/>
          <w:szCs w:val="21"/>
        </w:rPr>
        <w:t xml:space="preserve">leverage </w:t>
      </w:r>
      <w:r w:rsidRPr="008E6DD7">
        <w:rPr>
          <w:rFonts w:ascii="Cambria" w:hAnsi="Cambria"/>
          <w:color w:val="000000" w:themeColor="text1"/>
          <w:sz w:val="21"/>
          <w:szCs w:val="21"/>
        </w:rPr>
        <w:t xml:space="preserve">value is 165.90%, with a standard deviation of 770.802%. The </w:t>
      </w:r>
      <w:r w:rsidRPr="008E6DD7">
        <w:rPr>
          <w:rFonts w:ascii="Cambria" w:hAnsi="Cambria"/>
          <w:sz w:val="21"/>
          <w:szCs w:val="21"/>
        </w:rPr>
        <w:t>standard deviation value is greater than the average value</w:t>
      </w:r>
      <w:r w:rsidR="00E352C9">
        <w:rPr>
          <w:rFonts w:ascii="Cambria" w:hAnsi="Cambria"/>
          <w:sz w:val="21"/>
          <w:szCs w:val="21"/>
        </w:rPr>
        <w:t>. T</w:t>
      </w:r>
      <w:r w:rsidRPr="008E6DD7">
        <w:rPr>
          <w:rFonts w:ascii="Cambria" w:hAnsi="Cambria"/>
          <w:sz w:val="21"/>
          <w:szCs w:val="21"/>
        </w:rPr>
        <w:t>hus</w:t>
      </w:r>
      <w:r w:rsidR="00E352C9">
        <w:rPr>
          <w:rFonts w:ascii="Cambria" w:hAnsi="Cambria"/>
          <w:sz w:val="21"/>
          <w:szCs w:val="21"/>
        </w:rPr>
        <w:t xml:space="preserve">, it </w:t>
      </w:r>
      <w:r w:rsidRPr="008E6DD7">
        <w:rPr>
          <w:rFonts w:ascii="Cambria" w:hAnsi="Cambria"/>
          <w:sz w:val="21"/>
          <w:szCs w:val="21"/>
        </w:rPr>
        <w:t>indicat</w:t>
      </w:r>
      <w:r w:rsidR="00E352C9">
        <w:rPr>
          <w:rFonts w:ascii="Cambria" w:hAnsi="Cambria"/>
          <w:sz w:val="21"/>
          <w:szCs w:val="21"/>
        </w:rPr>
        <w:t xml:space="preserve">es </w:t>
      </w:r>
      <w:r w:rsidRPr="008E6DD7">
        <w:rPr>
          <w:rFonts w:ascii="Cambria" w:hAnsi="Cambria"/>
          <w:sz w:val="21"/>
          <w:szCs w:val="21"/>
        </w:rPr>
        <w:t xml:space="preserve">that the amount of </w:t>
      </w:r>
      <w:r w:rsidRPr="008E6DD7">
        <w:rPr>
          <w:rFonts w:ascii="Cambria" w:hAnsi="Cambria"/>
          <w:i/>
          <w:sz w:val="21"/>
          <w:szCs w:val="21"/>
        </w:rPr>
        <w:t xml:space="preserve">leverage </w:t>
      </w:r>
      <w:r w:rsidRPr="008E6DD7">
        <w:rPr>
          <w:rFonts w:ascii="Cambria" w:hAnsi="Cambria"/>
          <w:sz w:val="21"/>
          <w:szCs w:val="21"/>
        </w:rPr>
        <w:t>in manufacturing companies listed on the Indonesia stock exchange varies greatly.</w:t>
      </w:r>
    </w:p>
    <w:p w14:paraId="2EF51A51" w14:textId="77777777" w:rsidR="00F04CEF" w:rsidRDefault="000F4100">
      <w:pPr>
        <w:pStyle w:val="ListParagraph"/>
        <w:numPr>
          <w:ilvl w:val="0"/>
          <w:numId w:val="5"/>
        </w:numPr>
        <w:spacing w:after="160" w:line="240" w:lineRule="auto"/>
        <w:ind w:left="284" w:hanging="284"/>
        <w:contextualSpacing/>
        <w:jc w:val="both"/>
        <w:rPr>
          <w:rFonts w:ascii="Cambria" w:hAnsi="Cambria"/>
          <w:sz w:val="21"/>
          <w:szCs w:val="21"/>
        </w:rPr>
      </w:pPr>
      <w:r w:rsidRPr="008E6DD7">
        <w:rPr>
          <w:rFonts w:ascii="Cambria" w:hAnsi="Cambria"/>
          <w:color w:val="010205"/>
          <w:sz w:val="21"/>
          <w:szCs w:val="21"/>
        </w:rPr>
        <w:t>The company growth variable is proxied by sales growth, where the test results obtained a minimum value of -96% contained in PT Buana Artha Anugerah Tbk for the 2020 period</w:t>
      </w:r>
      <w:r w:rsidR="00041152">
        <w:rPr>
          <w:rFonts w:ascii="Cambria" w:hAnsi="Cambria"/>
          <w:color w:val="010205"/>
          <w:sz w:val="21"/>
          <w:szCs w:val="21"/>
        </w:rPr>
        <w:t xml:space="preserve">. </w:t>
      </w:r>
      <w:r w:rsidRPr="008E6DD7">
        <w:rPr>
          <w:rFonts w:ascii="Cambria" w:hAnsi="Cambria"/>
          <w:color w:val="010205"/>
          <w:sz w:val="21"/>
          <w:szCs w:val="21"/>
        </w:rPr>
        <w:t xml:space="preserve">It illustrates </w:t>
      </w:r>
      <w:r w:rsidRPr="008E6DD7">
        <w:rPr>
          <w:rFonts w:ascii="Cambria" w:hAnsi="Cambria"/>
          <w:color w:val="000000" w:themeColor="text1"/>
          <w:sz w:val="21"/>
          <w:szCs w:val="21"/>
        </w:rPr>
        <w:t xml:space="preserve">that the company's growth </w:t>
      </w:r>
      <w:r w:rsidRPr="008E6DD7">
        <w:rPr>
          <w:rFonts w:ascii="Cambria" w:hAnsi="Cambria"/>
          <w:color w:val="010205"/>
          <w:sz w:val="21"/>
          <w:szCs w:val="21"/>
        </w:rPr>
        <w:t>has decreased, while the maximum value obtained was 57% at PT Organon Pharma Indonesia Tbk for 2020</w:t>
      </w:r>
      <w:r w:rsidRPr="008E6DD7">
        <w:rPr>
          <w:rFonts w:ascii="Cambria" w:hAnsi="Cambria"/>
          <w:color w:val="000000" w:themeColor="text1"/>
          <w:sz w:val="21"/>
          <w:szCs w:val="21"/>
        </w:rPr>
        <w:t>. It illustrates increasing sales growth</w:t>
      </w:r>
      <w:r w:rsidR="00041152">
        <w:rPr>
          <w:rFonts w:ascii="Cambria" w:hAnsi="Cambria"/>
          <w:color w:val="000000" w:themeColor="text1"/>
          <w:sz w:val="21"/>
          <w:szCs w:val="21"/>
        </w:rPr>
        <w:t>. T</w:t>
      </w:r>
      <w:r w:rsidRPr="008E6DD7">
        <w:rPr>
          <w:rFonts w:ascii="Cambria" w:hAnsi="Cambria"/>
          <w:color w:val="000000" w:themeColor="text1"/>
          <w:sz w:val="21"/>
          <w:szCs w:val="21"/>
        </w:rPr>
        <w:t>hen</w:t>
      </w:r>
      <w:r w:rsidR="00041152">
        <w:rPr>
          <w:rFonts w:ascii="Cambria" w:hAnsi="Cambria"/>
          <w:color w:val="000000" w:themeColor="text1"/>
          <w:sz w:val="21"/>
          <w:szCs w:val="21"/>
        </w:rPr>
        <w:t>,</w:t>
      </w:r>
      <w:r w:rsidRPr="008E6DD7">
        <w:rPr>
          <w:rFonts w:ascii="Cambria" w:hAnsi="Cambria"/>
          <w:color w:val="000000" w:themeColor="text1"/>
          <w:sz w:val="21"/>
          <w:szCs w:val="21"/>
        </w:rPr>
        <w:t xml:space="preserve"> the average value of company growth is -4.96%, with a standard deviation of 22.422%</w:t>
      </w:r>
      <w:r w:rsidR="00041152">
        <w:rPr>
          <w:rFonts w:ascii="Cambria" w:hAnsi="Cambria"/>
          <w:color w:val="000000" w:themeColor="text1"/>
          <w:sz w:val="21"/>
          <w:szCs w:val="21"/>
        </w:rPr>
        <w:t xml:space="preserve">. </w:t>
      </w:r>
      <w:r w:rsidRPr="008E6DD7">
        <w:rPr>
          <w:rFonts w:ascii="Cambria" w:hAnsi="Cambria"/>
          <w:color w:val="000000" w:themeColor="text1"/>
          <w:sz w:val="21"/>
          <w:szCs w:val="21"/>
        </w:rPr>
        <w:t>It shows that the amount of company growth in manufacturing companies listed on the Indonesia stock exchange varies greatly.</w:t>
      </w:r>
    </w:p>
    <w:p w14:paraId="0BFF58B7" w14:textId="77777777" w:rsidR="00F04CEF" w:rsidRDefault="000F4100">
      <w:pPr>
        <w:spacing w:after="160" w:line="240" w:lineRule="auto"/>
        <w:contextualSpacing/>
        <w:jc w:val="both"/>
        <w:rPr>
          <w:rFonts w:ascii="Cambria" w:hAnsi="Cambria"/>
          <w:b/>
          <w:color w:val="010205"/>
          <w:sz w:val="21"/>
          <w:szCs w:val="21"/>
        </w:rPr>
      </w:pPr>
      <w:r w:rsidRPr="00211BC7">
        <w:rPr>
          <w:rFonts w:ascii="Cambria" w:hAnsi="Cambria"/>
          <w:b/>
          <w:color w:val="010205"/>
          <w:sz w:val="21"/>
          <w:szCs w:val="21"/>
        </w:rPr>
        <w:t>Logistic Regression Analysis</w:t>
      </w:r>
    </w:p>
    <w:p w14:paraId="5DFB1C4D" w14:textId="77777777" w:rsidR="00F04CEF" w:rsidRDefault="000F4100">
      <w:pPr>
        <w:spacing w:after="160" w:line="240" w:lineRule="auto"/>
        <w:contextualSpacing/>
        <w:jc w:val="both"/>
        <w:rPr>
          <w:rFonts w:ascii="Cambria" w:hAnsi="Cambria"/>
          <w:b/>
          <w:i/>
          <w:color w:val="010205"/>
          <w:sz w:val="21"/>
          <w:szCs w:val="21"/>
        </w:rPr>
      </w:pPr>
      <w:r w:rsidRPr="00211BC7">
        <w:rPr>
          <w:rFonts w:ascii="Cambria" w:hAnsi="Cambria"/>
          <w:b/>
          <w:i/>
          <w:color w:val="010205"/>
          <w:sz w:val="21"/>
          <w:szCs w:val="21"/>
        </w:rPr>
        <w:t>Assessing the Appropriateness of the Regression Model</w:t>
      </w:r>
    </w:p>
    <w:p w14:paraId="05799C2E" w14:textId="77777777" w:rsidR="00F04CEF" w:rsidRDefault="000F4100">
      <w:pPr>
        <w:spacing w:line="240" w:lineRule="auto"/>
        <w:ind w:firstLine="567"/>
        <w:jc w:val="both"/>
        <w:rPr>
          <w:rFonts w:ascii="Cambria" w:hAnsi="Cambria"/>
          <w:b/>
          <w:color w:val="010205"/>
          <w:sz w:val="21"/>
          <w:szCs w:val="21"/>
        </w:rPr>
      </w:pPr>
      <w:r w:rsidRPr="00211BC7">
        <w:rPr>
          <w:rFonts w:ascii="Cambria" w:hAnsi="Cambria"/>
          <w:color w:val="010205"/>
          <w:sz w:val="21"/>
          <w:szCs w:val="21"/>
        </w:rPr>
        <w:t>The first step is determining whether a logistic regression model is appropriate. The overall fit or feasibility of the regression model will be reviewed. The feasibility test of the regression model in this study look</w:t>
      </w:r>
      <w:r w:rsidR="00041152">
        <w:rPr>
          <w:rFonts w:ascii="Cambria" w:hAnsi="Cambria"/>
          <w:color w:val="010205"/>
          <w:sz w:val="21"/>
          <w:szCs w:val="21"/>
        </w:rPr>
        <w:t>ed</w:t>
      </w:r>
      <w:r w:rsidRPr="00211BC7">
        <w:rPr>
          <w:rFonts w:ascii="Cambria" w:hAnsi="Cambria"/>
          <w:color w:val="010205"/>
          <w:sz w:val="21"/>
          <w:szCs w:val="21"/>
        </w:rPr>
        <w:t xml:space="preserve"> at the </w:t>
      </w:r>
      <w:r w:rsidRPr="00211BC7">
        <w:rPr>
          <w:rFonts w:ascii="Cambria" w:hAnsi="Cambria"/>
          <w:i/>
          <w:color w:val="010205"/>
          <w:sz w:val="21"/>
          <w:szCs w:val="21"/>
        </w:rPr>
        <w:t xml:space="preserve">Hosmer and Lameshow Test </w:t>
      </w:r>
      <w:r w:rsidRPr="00211BC7">
        <w:rPr>
          <w:rFonts w:ascii="Cambria" w:hAnsi="Cambria"/>
          <w:color w:val="010205"/>
          <w:sz w:val="21"/>
          <w:szCs w:val="21"/>
        </w:rPr>
        <w:t xml:space="preserve">output. The output of regression feasibility can be assessed by the </w:t>
      </w:r>
      <w:r w:rsidRPr="00211BC7">
        <w:rPr>
          <w:rFonts w:ascii="Cambria" w:hAnsi="Cambria"/>
          <w:i/>
          <w:color w:val="010205"/>
          <w:sz w:val="21"/>
          <w:szCs w:val="21"/>
        </w:rPr>
        <w:t xml:space="preserve">goodness of fit test, </w:t>
      </w:r>
      <w:r w:rsidRPr="00211BC7">
        <w:rPr>
          <w:rFonts w:ascii="Cambria" w:hAnsi="Cambria"/>
          <w:color w:val="010205"/>
          <w:sz w:val="21"/>
          <w:szCs w:val="21"/>
        </w:rPr>
        <w:t xml:space="preserve">which is measured using the </w:t>
      </w:r>
      <w:r w:rsidRPr="00211BC7">
        <w:rPr>
          <w:rFonts w:ascii="Cambria" w:hAnsi="Cambria"/>
          <w:i/>
          <w:color w:val="010205"/>
          <w:sz w:val="21"/>
          <w:szCs w:val="21"/>
        </w:rPr>
        <w:t xml:space="preserve">Chi-Square </w:t>
      </w:r>
      <w:r w:rsidRPr="00211BC7">
        <w:rPr>
          <w:rFonts w:ascii="Cambria" w:hAnsi="Cambria"/>
          <w:color w:val="010205"/>
          <w:sz w:val="21"/>
          <w:szCs w:val="21"/>
        </w:rPr>
        <w:t xml:space="preserve">value at the bottom of the Hosmer </w:t>
      </w:r>
      <w:r w:rsidRPr="00211BC7">
        <w:rPr>
          <w:rFonts w:ascii="Cambria" w:hAnsi="Cambria"/>
          <w:i/>
          <w:color w:val="010205"/>
          <w:sz w:val="21"/>
          <w:szCs w:val="21"/>
        </w:rPr>
        <w:t>and Lameshow Test</w:t>
      </w:r>
      <w:r w:rsidR="00041152">
        <w:rPr>
          <w:rFonts w:ascii="Cambria" w:hAnsi="Cambria"/>
          <w:i/>
          <w:color w:val="010205"/>
          <w:sz w:val="21"/>
          <w:szCs w:val="21"/>
        </w:rPr>
        <w:t xml:space="preserve"> </w:t>
      </w:r>
      <w:r w:rsidRPr="00211BC7">
        <w:rPr>
          <w:rFonts w:ascii="Cambria" w:hAnsi="Cambria"/>
          <w:color w:val="010205"/>
          <w:sz w:val="21"/>
          <w:szCs w:val="21"/>
        </w:rPr>
        <w:t xml:space="preserve">must show a probability number greater than 0.05, which means that there is no significant difference between the predicted classification and the observed classification. The output of the </w:t>
      </w:r>
      <w:r w:rsidRPr="00211BC7">
        <w:rPr>
          <w:rFonts w:ascii="Cambria" w:hAnsi="Cambria"/>
          <w:i/>
          <w:color w:val="010205"/>
          <w:sz w:val="21"/>
          <w:szCs w:val="21"/>
        </w:rPr>
        <w:t xml:space="preserve">Hosmer and Lameshow Test </w:t>
      </w:r>
      <w:r w:rsidRPr="00211BC7">
        <w:rPr>
          <w:rFonts w:ascii="Cambria" w:hAnsi="Cambria"/>
          <w:color w:val="010205"/>
          <w:sz w:val="21"/>
          <w:szCs w:val="21"/>
        </w:rPr>
        <w:t>can be seen in the following table:</w:t>
      </w:r>
    </w:p>
    <w:p w14:paraId="25693AE6" w14:textId="02364A2D" w:rsidR="00F04CEF" w:rsidRPr="00034BC5" w:rsidRDefault="000F4100" w:rsidP="00034BC5">
      <w:pPr>
        <w:spacing w:after="0" w:line="240" w:lineRule="auto"/>
        <w:jc w:val="center"/>
        <w:rPr>
          <w:rFonts w:ascii="Cambria" w:hAnsi="Cambria" w:cs="Times New Roman"/>
          <w:b/>
          <w:color w:val="000000" w:themeColor="text1"/>
          <w:sz w:val="20"/>
          <w:szCs w:val="20"/>
        </w:rPr>
      </w:pPr>
      <w:proofErr w:type="gramStart"/>
      <w:r w:rsidRPr="00034BC5">
        <w:rPr>
          <w:rFonts w:ascii="Cambria" w:hAnsi="Cambria" w:cs="Times New Roman"/>
          <w:b/>
          <w:color w:val="000000" w:themeColor="text1"/>
          <w:sz w:val="20"/>
          <w:szCs w:val="20"/>
        </w:rPr>
        <w:t>Table 3</w:t>
      </w:r>
      <w:r w:rsidR="00025234" w:rsidRPr="00034BC5">
        <w:rPr>
          <w:rFonts w:ascii="Cambria" w:hAnsi="Cambria" w:cs="Times New Roman"/>
          <w:b/>
          <w:color w:val="000000" w:themeColor="text1"/>
          <w:sz w:val="20"/>
          <w:szCs w:val="20"/>
        </w:rPr>
        <w:t>.</w:t>
      </w:r>
      <w:proofErr w:type="gramEnd"/>
      <w:r w:rsidR="00025234" w:rsidRPr="00034BC5">
        <w:rPr>
          <w:rFonts w:ascii="Cambria" w:hAnsi="Cambria" w:cs="Times New Roman"/>
          <w:b/>
          <w:color w:val="000000" w:themeColor="text1"/>
          <w:sz w:val="20"/>
          <w:szCs w:val="20"/>
        </w:rPr>
        <w:t xml:space="preserve"> </w:t>
      </w:r>
      <w:r w:rsidR="00025234" w:rsidRPr="00034BC5">
        <w:rPr>
          <w:rFonts w:ascii="Cambria" w:hAnsi="Cambria"/>
          <w:b/>
          <w:color w:val="000000" w:themeColor="text1"/>
          <w:sz w:val="21"/>
          <w:szCs w:val="21"/>
        </w:rPr>
        <w:t xml:space="preserve">The </w:t>
      </w:r>
      <w:r w:rsidR="000629BA" w:rsidRPr="00034BC5">
        <w:rPr>
          <w:rFonts w:ascii="Cambria" w:hAnsi="Cambria"/>
          <w:b/>
          <w:color w:val="000000" w:themeColor="text1"/>
          <w:sz w:val="21"/>
          <w:szCs w:val="21"/>
        </w:rPr>
        <w:t>Fit or F</w:t>
      </w:r>
      <w:r w:rsidR="00025234" w:rsidRPr="00034BC5">
        <w:rPr>
          <w:rFonts w:ascii="Cambria" w:hAnsi="Cambria"/>
          <w:b/>
          <w:color w:val="000000" w:themeColor="text1"/>
          <w:sz w:val="21"/>
          <w:szCs w:val="21"/>
        </w:rPr>
        <w:t xml:space="preserve">easibility test of the </w:t>
      </w:r>
      <w:r w:rsidR="000629BA" w:rsidRPr="00034BC5">
        <w:rPr>
          <w:rFonts w:ascii="Cambria" w:hAnsi="Cambria"/>
          <w:b/>
          <w:color w:val="000000" w:themeColor="text1"/>
          <w:sz w:val="21"/>
          <w:szCs w:val="21"/>
        </w:rPr>
        <w:t>R</w:t>
      </w:r>
      <w:r w:rsidR="00025234" w:rsidRPr="00034BC5">
        <w:rPr>
          <w:rFonts w:ascii="Cambria" w:hAnsi="Cambria"/>
          <w:b/>
          <w:color w:val="000000" w:themeColor="text1"/>
          <w:sz w:val="21"/>
          <w:szCs w:val="21"/>
        </w:rPr>
        <w:t xml:space="preserve">egression </w:t>
      </w:r>
      <w:r w:rsidR="000629BA" w:rsidRPr="00034BC5">
        <w:rPr>
          <w:rFonts w:ascii="Cambria" w:hAnsi="Cambria"/>
          <w:b/>
          <w:color w:val="000000" w:themeColor="text1"/>
          <w:sz w:val="21"/>
          <w:szCs w:val="21"/>
        </w:rPr>
        <w:t>M</w:t>
      </w:r>
      <w:r w:rsidR="00025234" w:rsidRPr="00034BC5">
        <w:rPr>
          <w:rFonts w:ascii="Cambria" w:hAnsi="Cambria"/>
          <w:b/>
          <w:color w:val="000000" w:themeColor="text1"/>
          <w:sz w:val="21"/>
          <w:szCs w:val="21"/>
        </w:rPr>
        <w:t>odel</w:t>
      </w:r>
    </w:p>
    <w:tbl>
      <w:tblPr>
        <w:tblW w:w="6913"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2128"/>
        <w:gridCol w:w="1761"/>
        <w:gridCol w:w="1764"/>
      </w:tblGrid>
      <w:tr w:rsidR="00034BC5" w:rsidRPr="00034BC5" w14:paraId="52873C1E" w14:textId="77777777" w:rsidTr="00C30B3A">
        <w:trPr>
          <w:cantSplit/>
          <w:trHeight w:val="180"/>
        </w:trPr>
        <w:tc>
          <w:tcPr>
            <w:tcW w:w="6913" w:type="dxa"/>
            <w:gridSpan w:val="4"/>
            <w:tcBorders>
              <w:top w:val="single" w:sz="4" w:space="0" w:color="auto"/>
              <w:left w:val="nil"/>
              <w:bottom w:val="single" w:sz="4" w:space="0" w:color="auto"/>
              <w:right w:val="nil"/>
            </w:tcBorders>
            <w:shd w:val="clear" w:color="auto" w:fill="auto"/>
            <w:vAlign w:val="center"/>
          </w:tcPr>
          <w:p w14:paraId="51054725" w14:textId="77777777" w:rsidR="00F04CEF" w:rsidRPr="00034BC5"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034BC5">
              <w:rPr>
                <w:rFonts w:ascii="Cambria" w:hAnsi="Cambria" w:cs="Arial"/>
                <w:b/>
                <w:bCs/>
                <w:color w:val="000000" w:themeColor="text1"/>
                <w:sz w:val="20"/>
                <w:szCs w:val="20"/>
              </w:rPr>
              <w:t>Hosmer and Lemeshow Test</w:t>
            </w:r>
          </w:p>
        </w:tc>
      </w:tr>
      <w:tr w:rsidR="00034BC5" w:rsidRPr="00034BC5" w14:paraId="540B929E" w14:textId="77777777" w:rsidTr="00C30B3A">
        <w:trPr>
          <w:cantSplit/>
          <w:trHeight w:val="63"/>
        </w:trPr>
        <w:tc>
          <w:tcPr>
            <w:tcW w:w="1260" w:type="dxa"/>
            <w:tcBorders>
              <w:top w:val="single" w:sz="4" w:space="0" w:color="auto"/>
              <w:left w:val="nil"/>
              <w:bottom w:val="single" w:sz="8" w:space="0" w:color="152935"/>
              <w:right w:val="nil"/>
            </w:tcBorders>
            <w:shd w:val="clear" w:color="auto" w:fill="auto"/>
            <w:vAlign w:val="bottom"/>
          </w:tcPr>
          <w:p w14:paraId="291A3765" w14:textId="77777777" w:rsidR="00F04CEF" w:rsidRPr="00034BC5" w:rsidRDefault="000F4100">
            <w:pPr>
              <w:autoSpaceDE w:val="0"/>
              <w:autoSpaceDN w:val="0"/>
              <w:adjustRightInd w:val="0"/>
              <w:spacing w:after="0" w:line="240" w:lineRule="auto"/>
              <w:ind w:left="60" w:right="60"/>
              <w:rPr>
                <w:rFonts w:ascii="Cambria" w:hAnsi="Cambria" w:cs="Arial"/>
                <w:color w:val="000000" w:themeColor="text1"/>
                <w:sz w:val="20"/>
                <w:szCs w:val="20"/>
              </w:rPr>
            </w:pPr>
            <w:r w:rsidRPr="00034BC5">
              <w:rPr>
                <w:rFonts w:ascii="Cambria" w:hAnsi="Cambria" w:cs="Arial"/>
                <w:color w:val="000000" w:themeColor="text1"/>
                <w:sz w:val="20"/>
                <w:szCs w:val="20"/>
              </w:rPr>
              <w:t>Step</w:t>
            </w:r>
          </w:p>
        </w:tc>
        <w:tc>
          <w:tcPr>
            <w:tcW w:w="2128" w:type="dxa"/>
            <w:tcBorders>
              <w:top w:val="single" w:sz="4" w:space="0" w:color="auto"/>
              <w:left w:val="nil"/>
              <w:bottom w:val="single" w:sz="8" w:space="0" w:color="152935"/>
              <w:right w:val="single" w:sz="8" w:space="0" w:color="E0E0E0"/>
            </w:tcBorders>
            <w:shd w:val="clear" w:color="auto" w:fill="auto"/>
            <w:vAlign w:val="bottom"/>
          </w:tcPr>
          <w:p w14:paraId="6DCBF821" w14:textId="77777777" w:rsidR="00F04CEF" w:rsidRPr="00034BC5"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034BC5">
              <w:rPr>
                <w:rFonts w:ascii="Cambria" w:hAnsi="Cambria" w:cs="Arial"/>
                <w:color w:val="000000" w:themeColor="text1"/>
                <w:sz w:val="20"/>
                <w:szCs w:val="20"/>
              </w:rPr>
              <w:t>Chi-square</w:t>
            </w:r>
          </w:p>
        </w:tc>
        <w:tc>
          <w:tcPr>
            <w:tcW w:w="1761" w:type="dxa"/>
            <w:tcBorders>
              <w:top w:val="single" w:sz="4" w:space="0" w:color="auto"/>
              <w:left w:val="single" w:sz="8" w:space="0" w:color="E0E0E0"/>
              <w:bottom w:val="single" w:sz="8" w:space="0" w:color="152935"/>
              <w:right w:val="single" w:sz="8" w:space="0" w:color="E0E0E0"/>
            </w:tcBorders>
            <w:shd w:val="clear" w:color="auto" w:fill="auto"/>
            <w:vAlign w:val="bottom"/>
          </w:tcPr>
          <w:p w14:paraId="44FAED0B" w14:textId="77777777" w:rsidR="00F04CEF" w:rsidRPr="00034BC5"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034BC5">
              <w:rPr>
                <w:rFonts w:ascii="Cambria" w:hAnsi="Cambria" w:cs="Arial"/>
                <w:color w:val="000000" w:themeColor="text1"/>
                <w:sz w:val="20"/>
                <w:szCs w:val="20"/>
              </w:rPr>
              <w:t>Df</w:t>
            </w:r>
          </w:p>
        </w:tc>
        <w:tc>
          <w:tcPr>
            <w:tcW w:w="1762" w:type="dxa"/>
            <w:tcBorders>
              <w:top w:val="single" w:sz="4" w:space="0" w:color="auto"/>
              <w:left w:val="single" w:sz="8" w:space="0" w:color="E0E0E0"/>
              <w:bottom w:val="single" w:sz="8" w:space="0" w:color="152935"/>
              <w:right w:val="nil"/>
            </w:tcBorders>
            <w:shd w:val="clear" w:color="auto" w:fill="auto"/>
            <w:vAlign w:val="bottom"/>
          </w:tcPr>
          <w:p w14:paraId="69649DEE" w14:textId="77777777" w:rsidR="00F04CEF" w:rsidRPr="00034BC5"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034BC5">
              <w:rPr>
                <w:rFonts w:ascii="Cambria" w:hAnsi="Cambria" w:cs="Arial"/>
                <w:color w:val="000000" w:themeColor="text1"/>
                <w:sz w:val="20"/>
                <w:szCs w:val="20"/>
              </w:rPr>
              <w:t>Sig.</w:t>
            </w:r>
          </w:p>
        </w:tc>
      </w:tr>
      <w:tr w:rsidR="00034BC5" w:rsidRPr="00034BC5" w14:paraId="5384DFCC" w14:textId="77777777" w:rsidTr="00034BC5">
        <w:trPr>
          <w:cantSplit/>
          <w:trHeight w:val="43"/>
        </w:trPr>
        <w:tc>
          <w:tcPr>
            <w:tcW w:w="1260" w:type="dxa"/>
            <w:tcBorders>
              <w:top w:val="single" w:sz="8" w:space="0" w:color="152935"/>
              <w:left w:val="nil"/>
              <w:bottom w:val="single" w:sz="8" w:space="0" w:color="152935"/>
              <w:right w:val="nil"/>
            </w:tcBorders>
            <w:shd w:val="clear" w:color="auto" w:fill="auto"/>
          </w:tcPr>
          <w:p w14:paraId="5B04AB76" w14:textId="77777777" w:rsidR="00F04CEF" w:rsidRPr="00034BC5" w:rsidRDefault="000F4100">
            <w:pPr>
              <w:autoSpaceDE w:val="0"/>
              <w:autoSpaceDN w:val="0"/>
              <w:adjustRightInd w:val="0"/>
              <w:spacing w:after="0" w:line="240" w:lineRule="auto"/>
              <w:ind w:left="60" w:right="60"/>
              <w:rPr>
                <w:rFonts w:ascii="Cambria" w:hAnsi="Cambria" w:cs="Arial"/>
                <w:color w:val="000000" w:themeColor="text1"/>
                <w:sz w:val="20"/>
                <w:szCs w:val="20"/>
              </w:rPr>
            </w:pPr>
            <w:r w:rsidRPr="00034BC5">
              <w:rPr>
                <w:rFonts w:ascii="Cambria" w:hAnsi="Cambria" w:cs="Arial"/>
                <w:color w:val="000000" w:themeColor="text1"/>
                <w:sz w:val="20"/>
                <w:szCs w:val="20"/>
              </w:rPr>
              <w:t>1</w:t>
            </w:r>
          </w:p>
        </w:tc>
        <w:tc>
          <w:tcPr>
            <w:tcW w:w="2128" w:type="dxa"/>
            <w:tcBorders>
              <w:top w:val="single" w:sz="8" w:space="0" w:color="152935"/>
              <w:left w:val="nil"/>
              <w:bottom w:val="single" w:sz="8" w:space="0" w:color="152935"/>
              <w:right w:val="single" w:sz="8" w:space="0" w:color="E0E0E0"/>
            </w:tcBorders>
            <w:shd w:val="clear" w:color="auto" w:fill="auto"/>
          </w:tcPr>
          <w:p w14:paraId="5D32B591" w14:textId="77777777" w:rsidR="00F04CEF" w:rsidRPr="00034BC5"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034BC5">
              <w:rPr>
                <w:rFonts w:ascii="Cambria" w:hAnsi="Cambria" w:cs="Arial"/>
                <w:color w:val="000000" w:themeColor="text1"/>
                <w:sz w:val="20"/>
                <w:szCs w:val="20"/>
              </w:rPr>
              <w:t>12.327</w:t>
            </w:r>
          </w:p>
        </w:tc>
        <w:tc>
          <w:tcPr>
            <w:tcW w:w="1761" w:type="dxa"/>
            <w:tcBorders>
              <w:top w:val="single" w:sz="8" w:space="0" w:color="152935"/>
              <w:left w:val="single" w:sz="8" w:space="0" w:color="E0E0E0"/>
              <w:bottom w:val="single" w:sz="8" w:space="0" w:color="152935"/>
              <w:right w:val="single" w:sz="8" w:space="0" w:color="E0E0E0"/>
            </w:tcBorders>
            <w:shd w:val="clear" w:color="auto" w:fill="auto"/>
          </w:tcPr>
          <w:p w14:paraId="7D6C647F" w14:textId="77777777" w:rsidR="00F04CEF" w:rsidRPr="00034BC5"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034BC5">
              <w:rPr>
                <w:rFonts w:ascii="Cambria" w:hAnsi="Cambria" w:cs="Arial"/>
                <w:color w:val="000000" w:themeColor="text1"/>
                <w:sz w:val="20"/>
                <w:szCs w:val="20"/>
              </w:rPr>
              <w:t>8</w:t>
            </w:r>
          </w:p>
        </w:tc>
        <w:tc>
          <w:tcPr>
            <w:tcW w:w="1762" w:type="dxa"/>
            <w:tcBorders>
              <w:top w:val="single" w:sz="8" w:space="0" w:color="152935"/>
              <w:left w:val="single" w:sz="8" w:space="0" w:color="E0E0E0"/>
              <w:bottom w:val="single" w:sz="8" w:space="0" w:color="152935"/>
              <w:right w:val="nil"/>
            </w:tcBorders>
            <w:shd w:val="clear" w:color="auto" w:fill="auto"/>
          </w:tcPr>
          <w:p w14:paraId="425860C3" w14:textId="77777777" w:rsidR="00F04CEF" w:rsidRPr="00034BC5"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034BC5">
              <w:rPr>
                <w:rFonts w:ascii="Cambria" w:hAnsi="Cambria" w:cs="Arial"/>
                <w:color w:val="000000" w:themeColor="text1"/>
                <w:sz w:val="20"/>
                <w:szCs w:val="20"/>
              </w:rPr>
              <w:t>.137</w:t>
            </w:r>
          </w:p>
        </w:tc>
      </w:tr>
    </w:tbl>
    <w:p w14:paraId="4FA1741D" w14:textId="77777777" w:rsidR="00610C0F" w:rsidRDefault="00610C0F" w:rsidP="00610C0F">
      <w:pPr>
        <w:spacing w:after="0" w:line="240" w:lineRule="auto"/>
        <w:jc w:val="both"/>
        <w:rPr>
          <w:rFonts w:ascii="Times New Roman" w:hAnsi="Times New Roman" w:cs="Times New Roman"/>
          <w:color w:val="010205"/>
          <w:sz w:val="24"/>
          <w:szCs w:val="24"/>
        </w:rPr>
      </w:pPr>
    </w:p>
    <w:p w14:paraId="78E3510A" w14:textId="77777777" w:rsidR="00F04CEF" w:rsidRDefault="000F4100" w:rsidP="00610C0F">
      <w:pPr>
        <w:spacing w:after="0" w:line="240" w:lineRule="auto"/>
        <w:ind w:firstLine="567"/>
        <w:jc w:val="both"/>
        <w:rPr>
          <w:rFonts w:ascii="Cambria" w:hAnsi="Cambria" w:cs="Times New Roman"/>
          <w:color w:val="010205"/>
          <w:sz w:val="21"/>
          <w:szCs w:val="21"/>
        </w:rPr>
      </w:pPr>
      <w:r w:rsidRPr="00765CC8">
        <w:rPr>
          <w:rFonts w:ascii="Cambria" w:hAnsi="Cambria" w:cs="Times New Roman"/>
          <w:color w:val="010205"/>
          <w:sz w:val="21"/>
          <w:szCs w:val="21"/>
        </w:rPr>
        <w:t xml:space="preserve">Based on Table 3 </w:t>
      </w:r>
      <w:r w:rsidR="008E6DD7" w:rsidRPr="00765CC8">
        <w:rPr>
          <w:rFonts w:ascii="Cambria" w:hAnsi="Cambria" w:cs="Times New Roman"/>
          <w:color w:val="010205"/>
          <w:sz w:val="21"/>
          <w:szCs w:val="21"/>
        </w:rPr>
        <w:t xml:space="preserve">of the </w:t>
      </w:r>
      <w:r w:rsidR="008E6DD7" w:rsidRPr="00765CC8">
        <w:rPr>
          <w:rFonts w:ascii="Cambria" w:hAnsi="Cambria" w:cs="Times New Roman"/>
          <w:i/>
          <w:color w:val="010205"/>
          <w:sz w:val="21"/>
          <w:szCs w:val="21"/>
        </w:rPr>
        <w:t xml:space="preserve">Hosmer and Lameshow Test </w:t>
      </w:r>
      <w:r w:rsidR="008E6DD7" w:rsidRPr="00765CC8">
        <w:rPr>
          <w:rFonts w:ascii="Cambria" w:hAnsi="Cambria" w:cs="Times New Roman"/>
          <w:color w:val="010205"/>
          <w:sz w:val="21"/>
          <w:szCs w:val="21"/>
        </w:rPr>
        <w:t xml:space="preserve">above, it can be seen that the magnitude of the </w:t>
      </w:r>
      <w:r w:rsidR="008E6DD7" w:rsidRPr="00765CC8">
        <w:rPr>
          <w:rFonts w:ascii="Cambria" w:hAnsi="Cambria" w:cs="Times New Roman"/>
          <w:i/>
          <w:color w:val="010205"/>
          <w:sz w:val="21"/>
          <w:szCs w:val="21"/>
        </w:rPr>
        <w:t xml:space="preserve">Hosmer and Lameshow Test </w:t>
      </w:r>
      <w:r w:rsidR="008E6DD7" w:rsidRPr="00765CC8">
        <w:rPr>
          <w:rFonts w:ascii="Cambria" w:hAnsi="Cambria" w:cs="Times New Roman"/>
          <w:color w:val="010205"/>
          <w:sz w:val="21"/>
          <w:szCs w:val="21"/>
        </w:rPr>
        <w:t>statistical value is 12.327 with a significance value of 0.137 where the value is greater than 0.05, so hypothesis 0 is accepted. The regression model is suitable for further analysis because there is no real difference between the observed classifications.</w:t>
      </w:r>
      <w:r w:rsidR="00041152">
        <w:rPr>
          <w:rFonts w:ascii="Cambria" w:hAnsi="Cambria" w:cs="Times New Roman"/>
          <w:color w:val="010205"/>
          <w:sz w:val="21"/>
          <w:szCs w:val="21"/>
        </w:rPr>
        <w:t xml:space="preserve"> </w:t>
      </w:r>
      <w:r w:rsidR="008E6DD7" w:rsidRPr="00765CC8">
        <w:rPr>
          <w:rFonts w:ascii="Cambria" w:hAnsi="Cambria" w:cs="Times New Roman"/>
          <w:color w:val="010205"/>
          <w:sz w:val="21"/>
          <w:szCs w:val="21"/>
        </w:rPr>
        <w:t>The model is acceptable because it fits the observation data.</w:t>
      </w:r>
    </w:p>
    <w:p w14:paraId="7FF06090" w14:textId="77777777" w:rsidR="00610C0F" w:rsidRDefault="00610C0F">
      <w:pPr>
        <w:spacing w:after="0" w:line="240" w:lineRule="auto"/>
        <w:contextualSpacing/>
        <w:jc w:val="both"/>
        <w:rPr>
          <w:rFonts w:ascii="Cambria" w:hAnsi="Cambria"/>
          <w:b/>
          <w:i/>
          <w:color w:val="010205"/>
          <w:sz w:val="21"/>
          <w:szCs w:val="21"/>
        </w:rPr>
      </w:pPr>
    </w:p>
    <w:p w14:paraId="43A8F5E7" w14:textId="77777777" w:rsidR="00F04CEF" w:rsidRDefault="000F4100">
      <w:pPr>
        <w:spacing w:after="0" w:line="240" w:lineRule="auto"/>
        <w:contextualSpacing/>
        <w:jc w:val="both"/>
        <w:rPr>
          <w:rFonts w:ascii="Cambria" w:hAnsi="Cambria"/>
          <w:b/>
          <w:i/>
          <w:color w:val="010205"/>
          <w:sz w:val="21"/>
          <w:szCs w:val="21"/>
        </w:rPr>
      </w:pPr>
      <w:r w:rsidRPr="00765CC8">
        <w:rPr>
          <w:rFonts w:ascii="Cambria" w:hAnsi="Cambria"/>
          <w:b/>
          <w:i/>
          <w:color w:val="010205"/>
          <w:sz w:val="21"/>
          <w:szCs w:val="21"/>
        </w:rPr>
        <w:t>Assessing Overall Model Fit</w:t>
      </w:r>
    </w:p>
    <w:p w14:paraId="43EE6FC4" w14:textId="43B0FF6E" w:rsidR="00F04CEF" w:rsidRDefault="000F4100">
      <w:pPr>
        <w:spacing w:after="0" w:line="240" w:lineRule="auto"/>
        <w:ind w:firstLine="567"/>
        <w:jc w:val="both"/>
        <w:rPr>
          <w:rFonts w:ascii="Cambria" w:hAnsi="Cambria"/>
          <w:color w:val="010205"/>
          <w:sz w:val="21"/>
          <w:szCs w:val="21"/>
        </w:rPr>
      </w:pPr>
      <w:r w:rsidRPr="00765CC8">
        <w:rPr>
          <w:rFonts w:ascii="Cambria" w:hAnsi="Cambria"/>
          <w:color w:val="010205"/>
          <w:sz w:val="21"/>
          <w:szCs w:val="21"/>
        </w:rPr>
        <w:t xml:space="preserve">Assessing the overall </w:t>
      </w:r>
      <w:r w:rsidRPr="00765CC8">
        <w:rPr>
          <w:rFonts w:ascii="Cambria" w:hAnsi="Cambria"/>
          <w:i/>
          <w:color w:val="010205"/>
          <w:sz w:val="21"/>
          <w:szCs w:val="21"/>
        </w:rPr>
        <w:t>model</w:t>
      </w:r>
      <w:r w:rsidRPr="00765CC8">
        <w:rPr>
          <w:rFonts w:ascii="Cambria" w:hAnsi="Cambria"/>
          <w:color w:val="010205"/>
          <w:sz w:val="21"/>
          <w:szCs w:val="21"/>
        </w:rPr>
        <w:t xml:space="preserve"> in this study was carried out with the </w:t>
      </w:r>
      <w:r w:rsidRPr="00765CC8">
        <w:rPr>
          <w:rFonts w:ascii="Cambria" w:hAnsi="Cambria"/>
          <w:i/>
          <w:color w:val="010205"/>
          <w:sz w:val="21"/>
          <w:szCs w:val="21"/>
        </w:rPr>
        <w:t xml:space="preserve">likelihood </w:t>
      </w:r>
      <w:r w:rsidRPr="00765CC8">
        <w:rPr>
          <w:rFonts w:ascii="Cambria" w:hAnsi="Cambria"/>
          <w:color w:val="010205"/>
          <w:sz w:val="21"/>
          <w:szCs w:val="21"/>
        </w:rPr>
        <w:t>ratio test</w:t>
      </w:r>
      <w:r w:rsidR="00041152">
        <w:rPr>
          <w:rFonts w:ascii="Cambria" w:hAnsi="Cambria"/>
          <w:color w:val="010205"/>
          <w:sz w:val="21"/>
          <w:szCs w:val="21"/>
        </w:rPr>
        <w:t xml:space="preserve"> </w:t>
      </w:r>
      <w:r w:rsidRPr="00765CC8">
        <w:rPr>
          <w:rFonts w:ascii="Cambria" w:hAnsi="Cambria"/>
          <w:i/>
          <w:color w:val="010205"/>
          <w:sz w:val="21"/>
          <w:szCs w:val="21"/>
        </w:rPr>
        <w:t xml:space="preserve">Log Likelihood Value </w:t>
      </w:r>
      <w:r w:rsidRPr="00765CC8">
        <w:rPr>
          <w:rFonts w:ascii="Cambria" w:hAnsi="Cambria"/>
          <w:color w:val="010205"/>
          <w:sz w:val="21"/>
          <w:szCs w:val="21"/>
        </w:rPr>
        <w:t xml:space="preserve">will be shown in the following tables: </w:t>
      </w:r>
      <w:r w:rsidRPr="00765CC8">
        <w:rPr>
          <w:rFonts w:ascii="Cambria" w:hAnsi="Cambria" w:cs="Times New Roman"/>
          <w:color w:val="010205"/>
          <w:sz w:val="21"/>
          <w:szCs w:val="21"/>
        </w:rPr>
        <w:t xml:space="preserve">Initial </w:t>
      </w:r>
      <w:r w:rsidR="00041152" w:rsidRPr="00765CC8">
        <w:rPr>
          <w:rFonts w:ascii="Cambria" w:hAnsi="Cambria" w:cs="Times New Roman"/>
          <w:i/>
          <w:color w:val="010205"/>
          <w:sz w:val="21"/>
          <w:szCs w:val="21"/>
        </w:rPr>
        <w:t xml:space="preserve">Output beginning </w:t>
      </w:r>
      <w:r w:rsidR="006373D6">
        <w:rPr>
          <w:rFonts w:ascii="Cambria" w:hAnsi="Cambria" w:cs="Times New Roman"/>
          <w:i/>
          <w:color w:val="010205"/>
          <w:sz w:val="21"/>
          <w:szCs w:val="21"/>
        </w:rPr>
        <w:t xml:space="preserve">initial </w:t>
      </w:r>
      <w:r w:rsidR="00041152" w:rsidRPr="00765CC8">
        <w:rPr>
          <w:rFonts w:ascii="Cambria" w:hAnsi="Cambria" w:cs="Times New Roman"/>
          <w:i/>
          <w:color w:val="010205"/>
          <w:sz w:val="21"/>
          <w:szCs w:val="21"/>
        </w:rPr>
        <w:t>-2Log Likelihood</w:t>
      </w:r>
      <w:r w:rsidR="006373D6">
        <w:rPr>
          <w:rFonts w:ascii="Cambria" w:hAnsi="Cambria" w:cs="Times New Roman"/>
          <w:i/>
          <w:color w:val="010205"/>
          <w:sz w:val="21"/>
          <w:szCs w:val="21"/>
        </w:rPr>
        <w:t xml:space="preserve"> </w:t>
      </w:r>
      <w:r w:rsidR="00041152" w:rsidRPr="00765CC8">
        <w:rPr>
          <w:rFonts w:ascii="Cambria" w:hAnsi="Cambria" w:cs="Times New Roman"/>
          <w:color w:val="010205"/>
          <w:sz w:val="21"/>
          <w:szCs w:val="21"/>
        </w:rPr>
        <w:t>(</w:t>
      </w:r>
      <w:r w:rsidR="00041152" w:rsidRPr="00765CC8">
        <w:rPr>
          <w:rFonts w:ascii="Cambria" w:hAnsi="Cambria" w:cs="Times New Roman"/>
          <w:i/>
          <w:color w:val="010205"/>
          <w:sz w:val="21"/>
          <w:szCs w:val="21"/>
        </w:rPr>
        <w:t xml:space="preserve">Block Number </w:t>
      </w:r>
      <w:r w:rsidR="00041152" w:rsidRPr="00765CC8">
        <w:rPr>
          <w:rFonts w:ascii="Cambria" w:hAnsi="Cambria" w:cs="Times New Roman"/>
          <w:color w:val="010205"/>
          <w:sz w:val="21"/>
          <w:szCs w:val="21"/>
        </w:rPr>
        <w:t>0)</w:t>
      </w:r>
      <w:r w:rsidR="00B87401">
        <w:rPr>
          <w:rFonts w:ascii="Cambria" w:hAnsi="Cambria" w:cs="Times New Roman"/>
          <w:color w:val="010205"/>
          <w:sz w:val="21"/>
          <w:szCs w:val="21"/>
        </w:rPr>
        <w:t>.</w:t>
      </w:r>
    </w:p>
    <w:p w14:paraId="2D428BAB" w14:textId="77777777" w:rsidR="00765CC8" w:rsidRDefault="00765CC8" w:rsidP="00765CC8">
      <w:pPr>
        <w:spacing w:after="0" w:line="240" w:lineRule="auto"/>
        <w:jc w:val="center"/>
        <w:rPr>
          <w:rFonts w:ascii="Cambria" w:hAnsi="Cambria" w:cs="Times New Roman"/>
          <w:b/>
          <w:color w:val="010205"/>
          <w:sz w:val="20"/>
          <w:szCs w:val="20"/>
        </w:rPr>
      </w:pPr>
    </w:p>
    <w:p w14:paraId="43B560F5" w14:textId="77777777" w:rsidR="00610C0F" w:rsidRDefault="00610C0F">
      <w:pPr>
        <w:spacing w:after="0" w:line="240" w:lineRule="auto"/>
        <w:jc w:val="center"/>
        <w:rPr>
          <w:rFonts w:ascii="Cambria" w:hAnsi="Cambria" w:cs="Times New Roman"/>
          <w:b/>
          <w:color w:val="FF0000"/>
          <w:sz w:val="20"/>
          <w:szCs w:val="20"/>
        </w:rPr>
      </w:pPr>
    </w:p>
    <w:p w14:paraId="20557F62" w14:textId="77777777" w:rsidR="00610C0F" w:rsidRDefault="00610C0F">
      <w:pPr>
        <w:spacing w:after="0" w:line="240" w:lineRule="auto"/>
        <w:jc w:val="center"/>
        <w:rPr>
          <w:rFonts w:ascii="Cambria" w:hAnsi="Cambria" w:cs="Times New Roman"/>
          <w:b/>
          <w:color w:val="FF0000"/>
          <w:sz w:val="20"/>
          <w:szCs w:val="20"/>
        </w:rPr>
      </w:pPr>
    </w:p>
    <w:p w14:paraId="0B04870E" w14:textId="77777777" w:rsidR="00610C0F" w:rsidRDefault="00610C0F">
      <w:pPr>
        <w:spacing w:after="0" w:line="240" w:lineRule="auto"/>
        <w:jc w:val="center"/>
        <w:rPr>
          <w:rFonts w:ascii="Cambria" w:hAnsi="Cambria" w:cs="Times New Roman"/>
          <w:b/>
          <w:color w:val="FF0000"/>
          <w:sz w:val="20"/>
          <w:szCs w:val="20"/>
        </w:rPr>
      </w:pPr>
    </w:p>
    <w:p w14:paraId="6CF4F450" w14:textId="2F7BF15A" w:rsidR="00F04CEF" w:rsidRPr="00610C0F" w:rsidRDefault="000F4100" w:rsidP="00CD4C2D">
      <w:pPr>
        <w:spacing w:after="0" w:line="240" w:lineRule="auto"/>
        <w:jc w:val="center"/>
        <w:rPr>
          <w:rFonts w:ascii="Cambria" w:hAnsi="Cambria" w:cs="Times New Roman"/>
          <w:b/>
          <w:color w:val="000000" w:themeColor="text1"/>
          <w:sz w:val="20"/>
          <w:szCs w:val="20"/>
        </w:rPr>
      </w:pPr>
      <w:bookmarkStart w:id="0" w:name="_GoBack"/>
      <w:bookmarkEnd w:id="0"/>
      <w:r w:rsidRPr="00610C0F">
        <w:rPr>
          <w:rFonts w:ascii="Cambria" w:hAnsi="Cambria" w:cs="Times New Roman"/>
          <w:b/>
          <w:color w:val="000000" w:themeColor="text1"/>
          <w:sz w:val="20"/>
          <w:szCs w:val="20"/>
        </w:rPr>
        <w:lastRenderedPageBreak/>
        <w:t>Table 4.</w:t>
      </w:r>
      <w:r w:rsidR="00E44512" w:rsidRPr="00610C0F">
        <w:rPr>
          <w:rFonts w:ascii="Cambria" w:hAnsi="Cambria" w:cs="Times New Roman"/>
          <w:b/>
          <w:color w:val="000000" w:themeColor="text1"/>
          <w:sz w:val="20"/>
          <w:szCs w:val="20"/>
        </w:rPr>
        <w:t xml:space="preserve"> </w:t>
      </w:r>
      <w:r w:rsidR="00E44512" w:rsidRPr="00610C0F">
        <w:rPr>
          <w:rFonts w:ascii="Times New Roman" w:hAnsi="Times New Roman" w:cs="Times New Roman"/>
          <w:b/>
          <w:color w:val="000000" w:themeColor="text1"/>
          <w:sz w:val="21"/>
          <w:szCs w:val="21"/>
        </w:rPr>
        <w:t>Overall Model Fit</w:t>
      </w:r>
      <w:r w:rsidR="000629BA" w:rsidRPr="00610C0F">
        <w:rPr>
          <w:rFonts w:ascii="Times New Roman" w:hAnsi="Times New Roman" w:cs="Times New Roman"/>
          <w:b/>
          <w:color w:val="000000" w:themeColor="text1"/>
          <w:sz w:val="21"/>
          <w:szCs w:val="21"/>
        </w:rPr>
        <w:t xml:space="preserve"> (Block Number 0)</w:t>
      </w:r>
    </w:p>
    <w:tbl>
      <w:tblPr>
        <w:tblW w:w="43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737"/>
        <w:gridCol w:w="1476"/>
        <w:gridCol w:w="1292"/>
      </w:tblGrid>
      <w:tr w:rsidR="00610C0F" w:rsidRPr="00610C0F" w14:paraId="1675FECE" w14:textId="77777777" w:rsidTr="00610C0F">
        <w:trPr>
          <w:cantSplit/>
          <w:jc w:val="center"/>
        </w:trPr>
        <w:tc>
          <w:tcPr>
            <w:tcW w:w="4333" w:type="dxa"/>
            <w:gridSpan w:val="4"/>
            <w:tcBorders>
              <w:top w:val="single" w:sz="4" w:space="0" w:color="auto"/>
              <w:left w:val="nil"/>
              <w:bottom w:val="single" w:sz="4" w:space="0" w:color="auto"/>
              <w:right w:val="nil"/>
            </w:tcBorders>
            <w:shd w:val="clear" w:color="auto" w:fill="auto"/>
            <w:vAlign w:val="center"/>
          </w:tcPr>
          <w:p w14:paraId="0C4D8F10" w14:textId="77777777" w:rsidR="00F04CEF" w:rsidRPr="00610C0F" w:rsidRDefault="000F4100">
            <w:pPr>
              <w:autoSpaceDE w:val="0"/>
              <w:autoSpaceDN w:val="0"/>
              <w:adjustRightInd w:val="0"/>
              <w:spacing w:after="0" w:line="320" w:lineRule="atLeast"/>
              <w:ind w:left="60" w:right="60"/>
              <w:jc w:val="center"/>
              <w:rPr>
                <w:rFonts w:ascii="Cambria" w:hAnsi="Cambria" w:cs="Arial"/>
                <w:color w:val="000000" w:themeColor="text1"/>
                <w:sz w:val="20"/>
                <w:szCs w:val="20"/>
              </w:rPr>
            </w:pPr>
            <w:r w:rsidRPr="00610C0F">
              <w:rPr>
                <w:rFonts w:ascii="Cambria" w:hAnsi="Cambria" w:cs="Arial"/>
                <w:b/>
                <w:bCs/>
                <w:color w:val="000000" w:themeColor="text1"/>
                <w:sz w:val="20"/>
                <w:szCs w:val="20"/>
              </w:rPr>
              <w:t>Iteration History</w:t>
            </w:r>
            <w:r w:rsidRPr="00610C0F">
              <w:rPr>
                <w:rFonts w:ascii="Cambria" w:hAnsi="Cambria" w:cs="Arial"/>
                <w:b/>
                <w:bCs/>
                <w:color w:val="000000" w:themeColor="text1"/>
                <w:sz w:val="20"/>
                <w:szCs w:val="20"/>
                <w:vertAlign w:val="superscript"/>
              </w:rPr>
              <w:t>a,b,c</w:t>
            </w:r>
          </w:p>
        </w:tc>
      </w:tr>
      <w:tr w:rsidR="00610C0F" w:rsidRPr="00610C0F" w14:paraId="6ACEAEB1" w14:textId="77777777" w:rsidTr="00610C0F">
        <w:trPr>
          <w:cantSplit/>
          <w:jc w:val="center"/>
        </w:trPr>
        <w:tc>
          <w:tcPr>
            <w:tcW w:w="1567" w:type="dxa"/>
            <w:gridSpan w:val="2"/>
            <w:vMerge w:val="restart"/>
            <w:tcBorders>
              <w:top w:val="single" w:sz="4" w:space="0" w:color="auto"/>
              <w:left w:val="nil"/>
              <w:bottom w:val="single" w:sz="4" w:space="0" w:color="auto"/>
              <w:right w:val="nil"/>
            </w:tcBorders>
            <w:shd w:val="clear" w:color="auto" w:fill="auto"/>
            <w:vAlign w:val="bottom"/>
          </w:tcPr>
          <w:p w14:paraId="47BCDBD5" w14:textId="77777777" w:rsidR="00F04CEF" w:rsidRPr="00610C0F" w:rsidRDefault="000F4100">
            <w:pPr>
              <w:autoSpaceDE w:val="0"/>
              <w:autoSpaceDN w:val="0"/>
              <w:adjustRightInd w:val="0"/>
              <w:spacing w:after="0" w:line="320" w:lineRule="atLeast"/>
              <w:ind w:left="60" w:right="60"/>
              <w:rPr>
                <w:rFonts w:ascii="Cambria" w:hAnsi="Cambria" w:cs="Arial"/>
                <w:color w:val="000000" w:themeColor="text1"/>
                <w:sz w:val="20"/>
                <w:szCs w:val="20"/>
              </w:rPr>
            </w:pPr>
            <w:r w:rsidRPr="00610C0F">
              <w:rPr>
                <w:rFonts w:ascii="Cambria" w:hAnsi="Cambria" w:cs="Arial"/>
                <w:color w:val="000000" w:themeColor="text1"/>
                <w:sz w:val="20"/>
                <w:szCs w:val="20"/>
              </w:rPr>
              <w:t>Iteration</w:t>
            </w:r>
          </w:p>
        </w:tc>
        <w:tc>
          <w:tcPr>
            <w:tcW w:w="1475" w:type="dxa"/>
            <w:vMerge w:val="restart"/>
            <w:tcBorders>
              <w:top w:val="single" w:sz="4" w:space="0" w:color="auto"/>
              <w:left w:val="nil"/>
              <w:bottom w:val="single" w:sz="4" w:space="0" w:color="auto"/>
              <w:right w:val="single" w:sz="8" w:space="0" w:color="E0E0E0"/>
            </w:tcBorders>
            <w:shd w:val="clear" w:color="auto" w:fill="auto"/>
            <w:vAlign w:val="bottom"/>
          </w:tcPr>
          <w:p w14:paraId="334A60A8" w14:textId="77777777" w:rsidR="00F04CEF" w:rsidRPr="00610C0F" w:rsidRDefault="000F4100">
            <w:pPr>
              <w:autoSpaceDE w:val="0"/>
              <w:autoSpaceDN w:val="0"/>
              <w:adjustRightInd w:val="0"/>
              <w:spacing w:after="0" w:line="320" w:lineRule="atLeast"/>
              <w:ind w:left="60" w:right="60"/>
              <w:jc w:val="center"/>
              <w:rPr>
                <w:rFonts w:ascii="Cambria" w:hAnsi="Cambria" w:cs="Arial"/>
                <w:color w:val="000000" w:themeColor="text1"/>
                <w:sz w:val="20"/>
                <w:szCs w:val="20"/>
              </w:rPr>
            </w:pPr>
            <w:r w:rsidRPr="00610C0F">
              <w:rPr>
                <w:rFonts w:ascii="Cambria" w:hAnsi="Cambria" w:cs="Arial"/>
                <w:color w:val="000000" w:themeColor="text1"/>
                <w:sz w:val="20"/>
                <w:szCs w:val="20"/>
              </w:rPr>
              <w:t>-2 Log likelihood</w:t>
            </w:r>
          </w:p>
        </w:tc>
        <w:tc>
          <w:tcPr>
            <w:tcW w:w="1291" w:type="dxa"/>
            <w:tcBorders>
              <w:top w:val="single" w:sz="4" w:space="0" w:color="auto"/>
              <w:left w:val="single" w:sz="8" w:space="0" w:color="E0E0E0"/>
              <w:bottom w:val="single" w:sz="4" w:space="0" w:color="auto"/>
              <w:right w:val="nil"/>
            </w:tcBorders>
            <w:shd w:val="clear" w:color="auto" w:fill="auto"/>
            <w:vAlign w:val="bottom"/>
          </w:tcPr>
          <w:p w14:paraId="476AE48C" w14:textId="77777777" w:rsidR="00F04CEF" w:rsidRPr="00610C0F" w:rsidRDefault="000F4100">
            <w:pPr>
              <w:autoSpaceDE w:val="0"/>
              <w:autoSpaceDN w:val="0"/>
              <w:adjustRightInd w:val="0"/>
              <w:spacing w:after="0" w:line="320" w:lineRule="atLeast"/>
              <w:ind w:left="60" w:right="60"/>
              <w:jc w:val="center"/>
              <w:rPr>
                <w:rFonts w:ascii="Cambria" w:hAnsi="Cambria" w:cs="Arial"/>
                <w:color w:val="000000" w:themeColor="text1"/>
                <w:sz w:val="20"/>
                <w:szCs w:val="20"/>
              </w:rPr>
            </w:pPr>
            <w:r w:rsidRPr="00610C0F">
              <w:rPr>
                <w:rFonts w:ascii="Cambria" w:hAnsi="Cambria" w:cs="Arial"/>
                <w:color w:val="000000" w:themeColor="text1"/>
                <w:sz w:val="20"/>
                <w:szCs w:val="20"/>
              </w:rPr>
              <w:t>Coefficients</w:t>
            </w:r>
          </w:p>
        </w:tc>
      </w:tr>
      <w:tr w:rsidR="00610C0F" w:rsidRPr="00610C0F" w14:paraId="1F9C2F23" w14:textId="77777777" w:rsidTr="00610C0F">
        <w:trPr>
          <w:cantSplit/>
          <w:jc w:val="center"/>
        </w:trPr>
        <w:tc>
          <w:tcPr>
            <w:tcW w:w="1567" w:type="dxa"/>
            <w:gridSpan w:val="2"/>
            <w:vMerge/>
            <w:tcBorders>
              <w:top w:val="single" w:sz="4" w:space="0" w:color="auto"/>
              <w:left w:val="nil"/>
              <w:bottom w:val="nil"/>
              <w:right w:val="nil"/>
            </w:tcBorders>
            <w:shd w:val="clear" w:color="auto" w:fill="auto"/>
            <w:vAlign w:val="bottom"/>
          </w:tcPr>
          <w:p w14:paraId="1610A25B" w14:textId="77777777" w:rsidR="008E6DD7" w:rsidRPr="00610C0F" w:rsidRDefault="008E6DD7" w:rsidP="00765CC8">
            <w:pPr>
              <w:autoSpaceDE w:val="0"/>
              <w:autoSpaceDN w:val="0"/>
              <w:adjustRightInd w:val="0"/>
              <w:spacing w:after="0" w:line="240" w:lineRule="auto"/>
              <w:rPr>
                <w:rFonts w:ascii="Cambria" w:hAnsi="Cambria" w:cs="Arial"/>
                <w:color w:val="000000" w:themeColor="text1"/>
                <w:sz w:val="20"/>
                <w:szCs w:val="20"/>
              </w:rPr>
            </w:pPr>
          </w:p>
        </w:tc>
        <w:tc>
          <w:tcPr>
            <w:tcW w:w="1475" w:type="dxa"/>
            <w:vMerge/>
            <w:tcBorders>
              <w:top w:val="single" w:sz="4" w:space="0" w:color="auto"/>
              <w:left w:val="nil"/>
              <w:bottom w:val="nil"/>
              <w:right w:val="single" w:sz="8" w:space="0" w:color="E0E0E0"/>
            </w:tcBorders>
            <w:shd w:val="clear" w:color="auto" w:fill="auto"/>
            <w:vAlign w:val="bottom"/>
          </w:tcPr>
          <w:p w14:paraId="17313FD3" w14:textId="77777777" w:rsidR="008E6DD7" w:rsidRPr="00610C0F" w:rsidRDefault="008E6DD7" w:rsidP="00765CC8">
            <w:pPr>
              <w:autoSpaceDE w:val="0"/>
              <w:autoSpaceDN w:val="0"/>
              <w:adjustRightInd w:val="0"/>
              <w:spacing w:after="0" w:line="240" w:lineRule="auto"/>
              <w:rPr>
                <w:rFonts w:ascii="Cambria" w:hAnsi="Cambria" w:cs="Arial"/>
                <w:color w:val="000000" w:themeColor="text1"/>
                <w:sz w:val="20"/>
                <w:szCs w:val="20"/>
              </w:rPr>
            </w:pPr>
          </w:p>
        </w:tc>
        <w:tc>
          <w:tcPr>
            <w:tcW w:w="1291" w:type="dxa"/>
            <w:tcBorders>
              <w:top w:val="single" w:sz="4" w:space="0" w:color="auto"/>
              <w:left w:val="single" w:sz="8" w:space="0" w:color="E0E0E0"/>
              <w:bottom w:val="single" w:sz="8" w:space="0" w:color="152935"/>
              <w:right w:val="nil"/>
            </w:tcBorders>
            <w:shd w:val="clear" w:color="auto" w:fill="auto"/>
            <w:vAlign w:val="bottom"/>
          </w:tcPr>
          <w:p w14:paraId="576A2F0F" w14:textId="77777777" w:rsidR="00F04CEF" w:rsidRPr="00610C0F" w:rsidRDefault="000F4100">
            <w:pPr>
              <w:autoSpaceDE w:val="0"/>
              <w:autoSpaceDN w:val="0"/>
              <w:adjustRightInd w:val="0"/>
              <w:spacing w:after="0" w:line="320" w:lineRule="atLeast"/>
              <w:ind w:left="60" w:right="60"/>
              <w:jc w:val="center"/>
              <w:rPr>
                <w:rFonts w:ascii="Cambria" w:hAnsi="Cambria" w:cs="Arial"/>
                <w:color w:val="000000" w:themeColor="text1"/>
                <w:sz w:val="20"/>
                <w:szCs w:val="20"/>
              </w:rPr>
            </w:pPr>
            <w:r w:rsidRPr="00610C0F">
              <w:rPr>
                <w:rFonts w:ascii="Cambria" w:hAnsi="Cambria" w:cs="Arial"/>
                <w:color w:val="000000" w:themeColor="text1"/>
                <w:sz w:val="20"/>
                <w:szCs w:val="20"/>
              </w:rPr>
              <w:t>Constant</w:t>
            </w:r>
          </w:p>
        </w:tc>
      </w:tr>
      <w:tr w:rsidR="00610C0F" w:rsidRPr="00610C0F" w14:paraId="74F13C07" w14:textId="77777777" w:rsidTr="00610C0F">
        <w:trPr>
          <w:cantSplit/>
          <w:jc w:val="center"/>
        </w:trPr>
        <w:tc>
          <w:tcPr>
            <w:tcW w:w="830" w:type="dxa"/>
            <w:vMerge w:val="restart"/>
            <w:tcBorders>
              <w:top w:val="single" w:sz="8" w:space="0" w:color="152935"/>
              <w:left w:val="nil"/>
              <w:bottom w:val="single" w:sz="8" w:space="0" w:color="152935"/>
              <w:right w:val="nil"/>
            </w:tcBorders>
            <w:shd w:val="clear" w:color="auto" w:fill="auto"/>
          </w:tcPr>
          <w:p w14:paraId="45C91FA4" w14:textId="77777777" w:rsidR="00F04CEF" w:rsidRPr="00610C0F" w:rsidRDefault="000F4100">
            <w:pPr>
              <w:autoSpaceDE w:val="0"/>
              <w:autoSpaceDN w:val="0"/>
              <w:adjustRightInd w:val="0"/>
              <w:spacing w:after="0" w:line="320" w:lineRule="atLeast"/>
              <w:ind w:left="60" w:right="60"/>
              <w:rPr>
                <w:rFonts w:ascii="Cambria" w:hAnsi="Cambria" w:cs="Arial"/>
                <w:color w:val="000000" w:themeColor="text1"/>
                <w:sz w:val="20"/>
                <w:szCs w:val="20"/>
              </w:rPr>
            </w:pPr>
            <w:r w:rsidRPr="00610C0F">
              <w:rPr>
                <w:rFonts w:ascii="Cambria" w:hAnsi="Cambria" w:cs="Arial"/>
                <w:color w:val="000000" w:themeColor="text1"/>
                <w:sz w:val="20"/>
                <w:szCs w:val="20"/>
              </w:rPr>
              <w:t>Step 0</w:t>
            </w:r>
          </w:p>
        </w:tc>
        <w:tc>
          <w:tcPr>
            <w:tcW w:w="737" w:type="dxa"/>
            <w:tcBorders>
              <w:top w:val="single" w:sz="8" w:space="0" w:color="152935"/>
              <w:left w:val="nil"/>
              <w:bottom w:val="single" w:sz="8" w:space="0" w:color="AEAEAE"/>
              <w:right w:val="nil"/>
            </w:tcBorders>
            <w:shd w:val="clear" w:color="auto" w:fill="auto"/>
          </w:tcPr>
          <w:p w14:paraId="4FCFACD2" w14:textId="77777777" w:rsidR="00F04CEF" w:rsidRPr="00610C0F" w:rsidRDefault="000F4100">
            <w:pPr>
              <w:autoSpaceDE w:val="0"/>
              <w:autoSpaceDN w:val="0"/>
              <w:adjustRightInd w:val="0"/>
              <w:spacing w:after="0" w:line="320" w:lineRule="atLeast"/>
              <w:ind w:left="60" w:right="60"/>
              <w:rPr>
                <w:rFonts w:ascii="Cambria" w:hAnsi="Cambria" w:cs="Arial"/>
                <w:color w:val="000000" w:themeColor="text1"/>
                <w:sz w:val="20"/>
                <w:szCs w:val="20"/>
              </w:rPr>
            </w:pPr>
            <w:r w:rsidRPr="00610C0F">
              <w:rPr>
                <w:rFonts w:ascii="Cambria" w:hAnsi="Cambria" w:cs="Arial"/>
                <w:color w:val="000000" w:themeColor="text1"/>
                <w:sz w:val="20"/>
                <w:szCs w:val="20"/>
              </w:rPr>
              <w:t>1</w:t>
            </w:r>
          </w:p>
        </w:tc>
        <w:tc>
          <w:tcPr>
            <w:tcW w:w="1475" w:type="dxa"/>
            <w:tcBorders>
              <w:top w:val="single" w:sz="8" w:space="0" w:color="152935"/>
              <w:left w:val="nil"/>
              <w:bottom w:val="single" w:sz="8" w:space="0" w:color="AEAEAE"/>
              <w:right w:val="single" w:sz="8" w:space="0" w:color="E0E0E0"/>
            </w:tcBorders>
            <w:shd w:val="clear" w:color="auto" w:fill="auto"/>
          </w:tcPr>
          <w:p w14:paraId="6D25D0C0" w14:textId="77777777" w:rsidR="00F04CEF" w:rsidRPr="00610C0F" w:rsidRDefault="000F4100">
            <w:pPr>
              <w:autoSpaceDE w:val="0"/>
              <w:autoSpaceDN w:val="0"/>
              <w:adjustRightInd w:val="0"/>
              <w:spacing w:after="0" w:line="320" w:lineRule="atLeast"/>
              <w:ind w:left="60" w:right="60"/>
              <w:jc w:val="right"/>
              <w:rPr>
                <w:rFonts w:ascii="Cambria" w:hAnsi="Cambria" w:cs="Arial"/>
                <w:color w:val="000000" w:themeColor="text1"/>
                <w:sz w:val="20"/>
                <w:szCs w:val="20"/>
              </w:rPr>
            </w:pPr>
            <w:r w:rsidRPr="00610C0F">
              <w:rPr>
                <w:rFonts w:ascii="Cambria" w:hAnsi="Cambria" w:cs="Arial"/>
                <w:color w:val="000000" w:themeColor="text1"/>
                <w:sz w:val="20"/>
                <w:szCs w:val="20"/>
              </w:rPr>
              <w:t>215.132</w:t>
            </w:r>
          </w:p>
        </w:tc>
        <w:tc>
          <w:tcPr>
            <w:tcW w:w="1291" w:type="dxa"/>
            <w:tcBorders>
              <w:top w:val="single" w:sz="8" w:space="0" w:color="152935"/>
              <w:left w:val="single" w:sz="8" w:space="0" w:color="E0E0E0"/>
              <w:bottom w:val="single" w:sz="8" w:space="0" w:color="AEAEAE"/>
              <w:right w:val="nil"/>
            </w:tcBorders>
            <w:shd w:val="clear" w:color="auto" w:fill="auto"/>
          </w:tcPr>
          <w:p w14:paraId="5EC63522" w14:textId="77777777" w:rsidR="00F04CEF" w:rsidRPr="00610C0F" w:rsidRDefault="000F4100">
            <w:pPr>
              <w:autoSpaceDE w:val="0"/>
              <w:autoSpaceDN w:val="0"/>
              <w:adjustRightInd w:val="0"/>
              <w:spacing w:after="0" w:line="320" w:lineRule="atLeast"/>
              <w:ind w:left="60" w:right="60"/>
              <w:jc w:val="right"/>
              <w:rPr>
                <w:rFonts w:ascii="Cambria" w:hAnsi="Cambria" w:cs="Arial"/>
                <w:color w:val="000000" w:themeColor="text1"/>
                <w:sz w:val="20"/>
                <w:szCs w:val="20"/>
              </w:rPr>
            </w:pPr>
            <w:r w:rsidRPr="00610C0F">
              <w:rPr>
                <w:rFonts w:ascii="Cambria" w:hAnsi="Cambria" w:cs="Arial"/>
                <w:color w:val="000000" w:themeColor="text1"/>
                <w:sz w:val="20"/>
                <w:szCs w:val="20"/>
              </w:rPr>
              <w:t>-1.345</w:t>
            </w:r>
          </w:p>
        </w:tc>
      </w:tr>
      <w:tr w:rsidR="00610C0F" w:rsidRPr="00610C0F" w14:paraId="5DB12C54" w14:textId="77777777" w:rsidTr="00610C0F">
        <w:trPr>
          <w:cantSplit/>
          <w:jc w:val="center"/>
        </w:trPr>
        <w:tc>
          <w:tcPr>
            <w:tcW w:w="830" w:type="dxa"/>
            <w:vMerge/>
            <w:tcBorders>
              <w:top w:val="single" w:sz="8" w:space="0" w:color="152935"/>
              <w:left w:val="nil"/>
              <w:bottom w:val="single" w:sz="8" w:space="0" w:color="152935"/>
              <w:right w:val="nil"/>
            </w:tcBorders>
            <w:shd w:val="clear" w:color="auto" w:fill="auto"/>
          </w:tcPr>
          <w:p w14:paraId="6598E136" w14:textId="77777777" w:rsidR="008E6DD7" w:rsidRPr="00610C0F" w:rsidRDefault="008E6DD7" w:rsidP="00765CC8">
            <w:pPr>
              <w:autoSpaceDE w:val="0"/>
              <w:autoSpaceDN w:val="0"/>
              <w:adjustRightInd w:val="0"/>
              <w:spacing w:after="0" w:line="240" w:lineRule="auto"/>
              <w:rPr>
                <w:rFonts w:ascii="Cambria" w:hAnsi="Cambria" w:cs="Arial"/>
                <w:color w:val="000000" w:themeColor="text1"/>
                <w:sz w:val="20"/>
                <w:szCs w:val="20"/>
              </w:rPr>
            </w:pPr>
          </w:p>
        </w:tc>
        <w:tc>
          <w:tcPr>
            <w:tcW w:w="737" w:type="dxa"/>
            <w:tcBorders>
              <w:top w:val="single" w:sz="8" w:space="0" w:color="AEAEAE"/>
              <w:left w:val="nil"/>
              <w:bottom w:val="single" w:sz="8" w:space="0" w:color="AEAEAE"/>
              <w:right w:val="nil"/>
            </w:tcBorders>
            <w:shd w:val="clear" w:color="auto" w:fill="auto"/>
          </w:tcPr>
          <w:p w14:paraId="3504BA72" w14:textId="77777777" w:rsidR="00F04CEF" w:rsidRPr="00610C0F" w:rsidRDefault="000F4100">
            <w:pPr>
              <w:autoSpaceDE w:val="0"/>
              <w:autoSpaceDN w:val="0"/>
              <w:adjustRightInd w:val="0"/>
              <w:spacing w:after="0" w:line="320" w:lineRule="atLeast"/>
              <w:ind w:left="60" w:right="60"/>
              <w:rPr>
                <w:rFonts w:ascii="Cambria" w:hAnsi="Cambria" w:cs="Arial"/>
                <w:color w:val="000000" w:themeColor="text1"/>
                <w:sz w:val="20"/>
                <w:szCs w:val="20"/>
              </w:rPr>
            </w:pPr>
            <w:r w:rsidRPr="00610C0F">
              <w:rPr>
                <w:rFonts w:ascii="Cambria" w:hAnsi="Cambria" w:cs="Arial"/>
                <w:color w:val="000000" w:themeColor="text1"/>
                <w:sz w:val="20"/>
                <w:szCs w:val="20"/>
              </w:rPr>
              <w:t>2</w:t>
            </w:r>
          </w:p>
        </w:tc>
        <w:tc>
          <w:tcPr>
            <w:tcW w:w="1475" w:type="dxa"/>
            <w:tcBorders>
              <w:top w:val="single" w:sz="8" w:space="0" w:color="AEAEAE"/>
              <w:left w:val="nil"/>
              <w:bottom w:val="single" w:sz="8" w:space="0" w:color="AEAEAE"/>
              <w:right w:val="single" w:sz="8" w:space="0" w:color="E0E0E0"/>
            </w:tcBorders>
            <w:shd w:val="clear" w:color="auto" w:fill="auto"/>
          </w:tcPr>
          <w:p w14:paraId="11717B7D" w14:textId="77777777" w:rsidR="00F04CEF" w:rsidRPr="00610C0F" w:rsidRDefault="000F4100">
            <w:pPr>
              <w:autoSpaceDE w:val="0"/>
              <w:autoSpaceDN w:val="0"/>
              <w:adjustRightInd w:val="0"/>
              <w:spacing w:after="0" w:line="320" w:lineRule="atLeast"/>
              <w:ind w:left="60" w:right="60"/>
              <w:jc w:val="right"/>
              <w:rPr>
                <w:rFonts w:ascii="Cambria" w:hAnsi="Cambria" w:cs="Arial"/>
                <w:color w:val="000000" w:themeColor="text1"/>
                <w:sz w:val="20"/>
                <w:szCs w:val="20"/>
              </w:rPr>
            </w:pPr>
            <w:r w:rsidRPr="00610C0F">
              <w:rPr>
                <w:rFonts w:ascii="Cambria" w:hAnsi="Cambria" w:cs="Arial"/>
                <w:color w:val="000000" w:themeColor="text1"/>
                <w:sz w:val="20"/>
                <w:szCs w:val="20"/>
              </w:rPr>
              <w:t>212.326</w:t>
            </w:r>
          </w:p>
        </w:tc>
        <w:tc>
          <w:tcPr>
            <w:tcW w:w="1291" w:type="dxa"/>
            <w:tcBorders>
              <w:top w:val="single" w:sz="8" w:space="0" w:color="AEAEAE"/>
              <w:left w:val="single" w:sz="8" w:space="0" w:color="E0E0E0"/>
              <w:bottom w:val="single" w:sz="8" w:space="0" w:color="AEAEAE"/>
              <w:right w:val="nil"/>
            </w:tcBorders>
            <w:shd w:val="clear" w:color="auto" w:fill="auto"/>
          </w:tcPr>
          <w:p w14:paraId="499B163E" w14:textId="77777777" w:rsidR="00F04CEF" w:rsidRPr="00610C0F" w:rsidRDefault="000F4100">
            <w:pPr>
              <w:autoSpaceDE w:val="0"/>
              <w:autoSpaceDN w:val="0"/>
              <w:adjustRightInd w:val="0"/>
              <w:spacing w:after="0" w:line="320" w:lineRule="atLeast"/>
              <w:ind w:left="60" w:right="60"/>
              <w:jc w:val="right"/>
              <w:rPr>
                <w:rFonts w:ascii="Cambria" w:hAnsi="Cambria" w:cs="Arial"/>
                <w:color w:val="000000" w:themeColor="text1"/>
                <w:sz w:val="20"/>
                <w:szCs w:val="20"/>
              </w:rPr>
            </w:pPr>
            <w:r w:rsidRPr="00610C0F">
              <w:rPr>
                <w:rFonts w:ascii="Cambria" w:hAnsi="Cambria" w:cs="Arial"/>
                <w:color w:val="000000" w:themeColor="text1"/>
                <w:sz w:val="20"/>
                <w:szCs w:val="20"/>
              </w:rPr>
              <w:t>-1.606</w:t>
            </w:r>
          </w:p>
        </w:tc>
      </w:tr>
      <w:tr w:rsidR="00610C0F" w:rsidRPr="00610C0F" w14:paraId="217B8763" w14:textId="77777777" w:rsidTr="00610C0F">
        <w:trPr>
          <w:cantSplit/>
          <w:jc w:val="center"/>
        </w:trPr>
        <w:tc>
          <w:tcPr>
            <w:tcW w:w="830" w:type="dxa"/>
            <w:vMerge/>
            <w:tcBorders>
              <w:top w:val="single" w:sz="8" w:space="0" w:color="152935"/>
              <w:left w:val="nil"/>
              <w:bottom w:val="single" w:sz="8" w:space="0" w:color="152935"/>
              <w:right w:val="nil"/>
            </w:tcBorders>
            <w:shd w:val="clear" w:color="auto" w:fill="auto"/>
          </w:tcPr>
          <w:p w14:paraId="70FE6A41" w14:textId="77777777" w:rsidR="008E6DD7" w:rsidRPr="00610C0F" w:rsidRDefault="008E6DD7" w:rsidP="00765CC8">
            <w:pPr>
              <w:autoSpaceDE w:val="0"/>
              <w:autoSpaceDN w:val="0"/>
              <w:adjustRightInd w:val="0"/>
              <w:spacing w:after="0" w:line="240" w:lineRule="auto"/>
              <w:rPr>
                <w:rFonts w:ascii="Cambria" w:hAnsi="Cambria" w:cs="Arial"/>
                <w:color w:val="000000" w:themeColor="text1"/>
                <w:sz w:val="20"/>
                <w:szCs w:val="20"/>
              </w:rPr>
            </w:pPr>
          </w:p>
        </w:tc>
        <w:tc>
          <w:tcPr>
            <w:tcW w:w="737" w:type="dxa"/>
            <w:tcBorders>
              <w:top w:val="single" w:sz="8" w:space="0" w:color="AEAEAE"/>
              <w:left w:val="nil"/>
              <w:bottom w:val="single" w:sz="8" w:space="0" w:color="AEAEAE"/>
              <w:right w:val="nil"/>
            </w:tcBorders>
            <w:shd w:val="clear" w:color="auto" w:fill="auto"/>
          </w:tcPr>
          <w:p w14:paraId="6B3F3459" w14:textId="77777777" w:rsidR="00F04CEF" w:rsidRPr="00610C0F" w:rsidRDefault="000F4100">
            <w:pPr>
              <w:autoSpaceDE w:val="0"/>
              <w:autoSpaceDN w:val="0"/>
              <w:adjustRightInd w:val="0"/>
              <w:spacing w:after="0" w:line="320" w:lineRule="atLeast"/>
              <w:ind w:left="60" w:right="60"/>
              <w:rPr>
                <w:rFonts w:ascii="Cambria" w:hAnsi="Cambria" w:cs="Arial"/>
                <w:color w:val="000000" w:themeColor="text1"/>
                <w:sz w:val="20"/>
                <w:szCs w:val="20"/>
              </w:rPr>
            </w:pPr>
            <w:r w:rsidRPr="00610C0F">
              <w:rPr>
                <w:rFonts w:ascii="Cambria" w:hAnsi="Cambria" w:cs="Arial"/>
                <w:color w:val="000000" w:themeColor="text1"/>
                <w:sz w:val="20"/>
                <w:szCs w:val="20"/>
              </w:rPr>
              <w:t>3</w:t>
            </w:r>
          </w:p>
        </w:tc>
        <w:tc>
          <w:tcPr>
            <w:tcW w:w="1475" w:type="dxa"/>
            <w:tcBorders>
              <w:top w:val="single" w:sz="8" w:space="0" w:color="AEAEAE"/>
              <w:left w:val="nil"/>
              <w:bottom w:val="single" w:sz="8" w:space="0" w:color="AEAEAE"/>
              <w:right w:val="single" w:sz="8" w:space="0" w:color="E0E0E0"/>
            </w:tcBorders>
            <w:shd w:val="clear" w:color="auto" w:fill="auto"/>
          </w:tcPr>
          <w:p w14:paraId="72C83A88" w14:textId="77777777" w:rsidR="00F04CEF" w:rsidRPr="00610C0F" w:rsidRDefault="000F4100">
            <w:pPr>
              <w:autoSpaceDE w:val="0"/>
              <w:autoSpaceDN w:val="0"/>
              <w:adjustRightInd w:val="0"/>
              <w:spacing w:after="0" w:line="320" w:lineRule="atLeast"/>
              <w:ind w:left="60" w:right="60"/>
              <w:jc w:val="right"/>
              <w:rPr>
                <w:rFonts w:ascii="Cambria" w:hAnsi="Cambria" w:cs="Arial"/>
                <w:color w:val="000000" w:themeColor="text1"/>
                <w:sz w:val="20"/>
                <w:szCs w:val="20"/>
              </w:rPr>
            </w:pPr>
            <w:r w:rsidRPr="00610C0F">
              <w:rPr>
                <w:rFonts w:ascii="Cambria" w:hAnsi="Cambria" w:cs="Arial"/>
                <w:color w:val="000000" w:themeColor="text1"/>
                <w:sz w:val="20"/>
                <w:szCs w:val="20"/>
              </w:rPr>
              <w:t>212.308</w:t>
            </w:r>
          </w:p>
        </w:tc>
        <w:tc>
          <w:tcPr>
            <w:tcW w:w="1291" w:type="dxa"/>
            <w:tcBorders>
              <w:top w:val="single" w:sz="8" w:space="0" w:color="AEAEAE"/>
              <w:left w:val="single" w:sz="8" w:space="0" w:color="E0E0E0"/>
              <w:bottom w:val="single" w:sz="8" w:space="0" w:color="AEAEAE"/>
              <w:right w:val="nil"/>
            </w:tcBorders>
            <w:shd w:val="clear" w:color="auto" w:fill="auto"/>
          </w:tcPr>
          <w:p w14:paraId="067A6B85" w14:textId="77777777" w:rsidR="00F04CEF" w:rsidRPr="00610C0F" w:rsidRDefault="000F4100">
            <w:pPr>
              <w:autoSpaceDE w:val="0"/>
              <w:autoSpaceDN w:val="0"/>
              <w:adjustRightInd w:val="0"/>
              <w:spacing w:after="0" w:line="320" w:lineRule="atLeast"/>
              <w:ind w:left="60" w:right="60"/>
              <w:jc w:val="right"/>
              <w:rPr>
                <w:rFonts w:ascii="Cambria" w:hAnsi="Cambria" w:cs="Arial"/>
                <w:color w:val="000000" w:themeColor="text1"/>
                <w:sz w:val="20"/>
                <w:szCs w:val="20"/>
              </w:rPr>
            </w:pPr>
            <w:r w:rsidRPr="00610C0F">
              <w:rPr>
                <w:rFonts w:ascii="Cambria" w:hAnsi="Cambria" w:cs="Arial"/>
                <w:color w:val="000000" w:themeColor="text1"/>
                <w:sz w:val="20"/>
                <w:szCs w:val="20"/>
              </w:rPr>
              <w:t>-1.630</w:t>
            </w:r>
          </w:p>
        </w:tc>
      </w:tr>
      <w:tr w:rsidR="00610C0F" w:rsidRPr="00610C0F" w14:paraId="076844B5" w14:textId="77777777" w:rsidTr="00610C0F">
        <w:trPr>
          <w:cantSplit/>
          <w:jc w:val="center"/>
        </w:trPr>
        <w:tc>
          <w:tcPr>
            <w:tcW w:w="830" w:type="dxa"/>
            <w:vMerge/>
            <w:tcBorders>
              <w:top w:val="single" w:sz="8" w:space="0" w:color="152935"/>
              <w:left w:val="nil"/>
              <w:bottom w:val="single" w:sz="8" w:space="0" w:color="152935"/>
              <w:right w:val="nil"/>
            </w:tcBorders>
            <w:shd w:val="clear" w:color="auto" w:fill="auto"/>
          </w:tcPr>
          <w:p w14:paraId="1B05B20A" w14:textId="77777777" w:rsidR="008E6DD7" w:rsidRPr="00610C0F" w:rsidRDefault="008E6DD7" w:rsidP="00765CC8">
            <w:pPr>
              <w:autoSpaceDE w:val="0"/>
              <w:autoSpaceDN w:val="0"/>
              <w:adjustRightInd w:val="0"/>
              <w:spacing w:after="0" w:line="240" w:lineRule="auto"/>
              <w:rPr>
                <w:rFonts w:ascii="Cambria" w:hAnsi="Cambria" w:cs="Arial"/>
                <w:color w:val="000000" w:themeColor="text1"/>
                <w:sz w:val="20"/>
                <w:szCs w:val="20"/>
              </w:rPr>
            </w:pPr>
          </w:p>
        </w:tc>
        <w:tc>
          <w:tcPr>
            <w:tcW w:w="737" w:type="dxa"/>
            <w:tcBorders>
              <w:top w:val="single" w:sz="8" w:space="0" w:color="AEAEAE"/>
              <w:left w:val="nil"/>
              <w:bottom w:val="single" w:sz="8" w:space="0" w:color="152935"/>
              <w:right w:val="nil"/>
            </w:tcBorders>
            <w:shd w:val="clear" w:color="auto" w:fill="auto"/>
          </w:tcPr>
          <w:p w14:paraId="448BF1A4" w14:textId="77777777" w:rsidR="00F04CEF" w:rsidRPr="00610C0F" w:rsidRDefault="000F4100">
            <w:pPr>
              <w:autoSpaceDE w:val="0"/>
              <w:autoSpaceDN w:val="0"/>
              <w:adjustRightInd w:val="0"/>
              <w:spacing w:after="0" w:line="320" w:lineRule="atLeast"/>
              <w:ind w:left="60" w:right="60"/>
              <w:rPr>
                <w:rFonts w:ascii="Cambria" w:hAnsi="Cambria" w:cs="Arial"/>
                <w:color w:val="000000" w:themeColor="text1"/>
                <w:sz w:val="20"/>
                <w:szCs w:val="20"/>
              </w:rPr>
            </w:pPr>
            <w:r w:rsidRPr="00610C0F">
              <w:rPr>
                <w:rFonts w:ascii="Cambria" w:hAnsi="Cambria" w:cs="Arial"/>
                <w:color w:val="000000" w:themeColor="text1"/>
                <w:sz w:val="20"/>
                <w:szCs w:val="20"/>
              </w:rPr>
              <w:t>4</w:t>
            </w:r>
          </w:p>
        </w:tc>
        <w:tc>
          <w:tcPr>
            <w:tcW w:w="1475" w:type="dxa"/>
            <w:tcBorders>
              <w:top w:val="single" w:sz="8" w:space="0" w:color="AEAEAE"/>
              <w:left w:val="nil"/>
              <w:bottom w:val="single" w:sz="8" w:space="0" w:color="152935"/>
              <w:right w:val="single" w:sz="8" w:space="0" w:color="E0E0E0"/>
            </w:tcBorders>
            <w:shd w:val="clear" w:color="auto" w:fill="auto"/>
          </w:tcPr>
          <w:p w14:paraId="47C1E969" w14:textId="77777777" w:rsidR="00F04CEF" w:rsidRPr="00610C0F" w:rsidRDefault="000F4100">
            <w:pPr>
              <w:autoSpaceDE w:val="0"/>
              <w:autoSpaceDN w:val="0"/>
              <w:adjustRightInd w:val="0"/>
              <w:spacing w:after="0" w:line="320" w:lineRule="atLeast"/>
              <w:ind w:left="60" w:right="60"/>
              <w:jc w:val="right"/>
              <w:rPr>
                <w:rFonts w:ascii="Cambria" w:hAnsi="Cambria" w:cs="Arial"/>
                <w:color w:val="000000" w:themeColor="text1"/>
                <w:sz w:val="20"/>
                <w:szCs w:val="20"/>
              </w:rPr>
            </w:pPr>
            <w:r w:rsidRPr="00610C0F">
              <w:rPr>
                <w:rFonts w:ascii="Cambria" w:hAnsi="Cambria" w:cs="Arial"/>
                <w:color w:val="000000" w:themeColor="text1"/>
                <w:sz w:val="20"/>
                <w:szCs w:val="20"/>
              </w:rPr>
              <w:t>212.308</w:t>
            </w:r>
          </w:p>
        </w:tc>
        <w:tc>
          <w:tcPr>
            <w:tcW w:w="1291" w:type="dxa"/>
            <w:tcBorders>
              <w:top w:val="single" w:sz="8" w:space="0" w:color="AEAEAE"/>
              <w:left w:val="single" w:sz="8" w:space="0" w:color="E0E0E0"/>
              <w:bottom w:val="single" w:sz="8" w:space="0" w:color="152935"/>
              <w:right w:val="nil"/>
            </w:tcBorders>
            <w:shd w:val="clear" w:color="auto" w:fill="auto"/>
          </w:tcPr>
          <w:p w14:paraId="752429E6" w14:textId="77777777" w:rsidR="00F04CEF" w:rsidRPr="00610C0F" w:rsidRDefault="000F4100">
            <w:pPr>
              <w:autoSpaceDE w:val="0"/>
              <w:autoSpaceDN w:val="0"/>
              <w:adjustRightInd w:val="0"/>
              <w:spacing w:after="0" w:line="320" w:lineRule="atLeast"/>
              <w:ind w:left="60" w:right="60"/>
              <w:jc w:val="right"/>
              <w:rPr>
                <w:rFonts w:ascii="Cambria" w:hAnsi="Cambria" w:cs="Arial"/>
                <w:color w:val="000000" w:themeColor="text1"/>
                <w:sz w:val="20"/>
                <w:szCs w:val="20"/>
              </w:rPr>
            </w:pPr>
            <w:r w:rsidRPr="00610C0F">
              <w:rPr>
                <w:rFonts w:ascii="Cambria" w:hAnsi="Cambria" w:cs="Arial"/>
                <w:color w:val="000000" w:themeColor="text1"/>
                <w:sz w:val="20"/>
                <w:szCs w:val="20"/>
              </w:rPr>
              <w:t>-1.630</w:t>
            </w:r>
          </w:p>
        </w:tc>
      </w:tr>
      <w:tr w:rsidR="00610C0F" w:rsidRPr="00610C0F" w14:paraId="6BB99408" w14:textId="77777777" w:rsidTr="00610C0F">
        <w:trPr>
          <w:cantSplit/>
          <w:trHeight w:val="290"/>
          <w:jc w:val="center"/>
        </w:trPr>
        <w:tc>
          <w:tcPr>
            <w:tcW w:w="4333" w:type="dxa"/>
            <w:gridSpan w:val="4"/>
            <w:tcBorders>
              <w:top w:val="nil"/>
              <w:left w:val="nil"/>
              <w:bottom w:val="nil"/>
              <w:right w:val="nil"/>
            </w:tcBorders>
            <w:shd w:val="clear" w:color="auto" w:fill="auto"/>
          </w:tcPr>
          <w:p w14:paraId="462099D0" w14:textId="77777777" w:rsidR="00F04CEF" w:rsidRPr="00610C0F" w:rsidRDefault="000F4100">
            <w:pPr>
              <w:autoSpaceDE w:val="0"/>
              <w:autoSpaceDN w:val="0"/>
              <w:adjustRightInd w:val="0"/>
              <w:spacing w:after="0" w:line="320" w:lineRule="atLeast"/>
              <w:ind w:left="60" w:right="60"/>
              <w:rPr>
                <w:rFonts w:ascii="Cambria" w:hAnsi="Cambria" w:cs="Arial"/>
                <w:color w:val="000000" w:themeColor="text1"/>
                <w:sz w:val="20"/>
                <w:szCs w:val="20"/>
              </w:rPr>
            </w:pPr>
            <w:proofErr w:type="gramStart"/>
            <w:r w:rsidRPr="00610C0F">
              <w:rPr>
                <w:rFonts w:ascii="Cambria" w:hAnsi="Cambria" w:cs="Arial"/>
                <w:color w:val="000000" w:themeColor="text1"/>
                <w:sz w:val="20"/>
                <w:szCs w:val="20"/>
              </w:rPr>
              <w:t>a</w:t>
            </w:r>
            <w:proofErr w:type="gramEnd"/>
            <w:r w:rsidRPr="00610C0F">
              <w:rPr>
                <w:rFonts w:ascii="Cambria" w:hAnsi="Cambria" w:cs="Arial"/>
                <w:color w:val="000000" w:themeColor="text1"/>
                <w:sz w:val="20"/>
                <w:szCs w:val="20"/>
              </w:rPr>
              <w:t>. Constant is included in the model.</w:t>
            </w:r>
          </w:p>
        </w:tc>
      </w:tr>
      <w:tr w:rsidR="00610C0F" w:rsidRPr="00610C0F" w14:paraId="0A04AA1E" w14:textId="77777777" w:rsidTr="00610C0F">
        <w:trPr>
          <w:cantSplit/>
          <w:jc w:val="center"/>
        </w:trPr>
        <w:tc>
          <w:tcPr>
            <w:tcW w:w="4333" w:type="dxa"/>
            <w:gridSpan w:val="4"/>
            <w:tcBorders>
              <w:top w:val="nil"/>
              <w:left w:val="nil"/>
              <w:bottom w:val="nil"/>
              <w:right w:val="nil"/>
            </w:tcBorders>
            <w:shd w:val="clear" w:color="auto" w:fill="auto"/>
          </w:tcPr>
          <w:p w14:paraId="4970DE15" w14:textId="77777777" w:rsidR="00F04CEF" w:rsidRPr="00610C0F" w:rsidRDefault="000F4100">
            <w:pPr>
              <w:autoSpaceDE w:val="0"/>
              <w:autoSpaceDN w:val="0"/>
              <w:adjustRightInd w:val="0"/>
              <w:spacing w:after="0" w:line="320" w:lineRule="atLeast"/>
              <w:ind w:left="60" w:right="60"/>
              <w:rPr>
                <w:rFonts w:ascii="Cambria" w:hAnsi="Cambria" w:cs="Arial"/>
                <w:color w:val="000000" w:themeColor="text1"/>
                <w:sz w:val="20"/>
                <w:szCs w:val="20"/>
              </w:rPr>
            </w:pPr>
            <w:r w:rsidRPr="00610C0F">
              <w:rPr>
                <w:rFonts w:ascii="Cambria" w:hAnsi="Cambria" w:cs="Arial"/>
                <w:color w:val="000000" w:themeColor="text1"/>
                <w:sz w:val="20"/>
                <w:szCs w:val="20"/>
              </w:rPr>
              <w:t>b. Initial -2 Log-Likelihood: 212.308</w:t>
            </w:r>
          </w:p>
        </w:tc>
      </w:tr>
      <w:tr w:rsidR="00610C0F" w:rsidRPr="00610C0F" w14:paraId="2339B551" w14:textId="77777777" w:rsidTr="00610C0F">
        <w:trPr>
          <w:cantSplit/>
          <w:jc w:val="center"/>
        </w:trPr>
        <w:tc>
          <w:tcPr>
            <w:tcW w:w="4333" w:type="dxa"/>
            <w:gridSpan w:val="4"/>
            <w:tcBorders>
              <w:top w:val="nil"/>
              <w:left w:val="nil"/>
              <w:bottom w:val="nil"/>
              <w:right w:val="nil"/>
            </w:tcBorders>
            <w:shd w:val="clear" w:color="auto" w:fill="auto"/>
          </w:tcPr>
          <w:p w14:paraId="6FFEF63F" w14:textId="77777777" w:rsidR="00F04CEF" w:rsidRPr="00610C0F" w:rsidRDefault="000F4100">
            <w:pPr>
              <w:autoSpaceDE w:val="0"/>
              <w:autoSpaceDN w:val="0"/>
              <w:adjustRightInd w:val="0"/>
              <w:spacing w:after="0" w:line="320" w:lineRule="atLeast"/>
              <w:ind w:left="60" w:right="60"/>
              <w:rPr>
                <w:rFonts w:ascii="Cambria" w:hAnsi="Cambria" w:cs="Arial"/>
                <w:color w:val="000000" w:themeColor="text1"/>
                <w:sz w:val="20"/>
                <w:szCs w:val="20"/>
              </w:rPr>
            </w:pPr>
            <w:r w:rsidRPr="00610C0F">
              <w:rPr>
                <w:rFonts w:ascii="Cambria" w:hAnsi="Cambria" w:cs="Arial"/>
                <w:color w:val="000000" w:themeColor="text1"/>
                <w:sz w:val="20"/>
                <w:szCs w:val="20"/>
              </w:rPr>
              <w:t>c. Estimation terminated at iteration number 4 because parameter estimates changed by less than .001.</w:t>
            </w:r>
          </w:p>
        </w:tc>
      </w:tr>
    </w:tbl>
    <w:p w14:paraId="77EDA396" w14:textId="77777777" w:rsidR="00F04CEF" w:rsidRDefault="000F4100">
      <w:pPr>
        <w:spacing w:line="480" w:lineRule="auto"/>
        <w:jc w:val="center"/>
        <w:rPr>
          <w:rFonts w:ascii="Times New Roman" w:hAnsi="Times New Roman" w:cs="Times New Roman"/>
          <w:color w:val="010205"/>
          <w:sz w:val="24"/>
          <w:szCs w:val="24"/>
        </w:rPr>
      </w:pPr>
      <w:r>
        <w:rPr>
          <w:rFonts w:ascii="Times New Roman" w:hAnsi="Times New Roman" w:cs="Times New Roman"/>
          <w:i/>
          <w:color w:val="010205"/>
          <w:sz w:val="24"/>
          <w:szCs w:val="24"/>
        </w:rPr>
        <w:t xml:space="preserve">Output beginning -2Log </w:t>
      </w:r>
      <w:proofErr w:type="spellStart"/>
      <w:r>
        <w:rPr>
          <w:rFonts w:ascii="Times New Roman" w:hAnsi="Times New Roman" w:cs="Times New Roman"/>
          <w:i/>
          <w:color w:val="010205"/>
          <w:sz w:val="24"/>
          <w:szCs w:val="24"/>
        </w:rPr>
        <w:t>Likehood</w:t>
      </w:r>
      <w:proofErr w:type="spellEnd"/>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end (</w:t>
      </w:r>
      <w:r>
        <w:rPr>
          <w:rFonts w:ascii="Times New Roman" w:hAnsi="Times New Roman" w:cs="Times New Roman"/>
          <w:i/>
          <w:color w:val="010205"/>
          <w:sz w:val="24"/>
          <w:szCs w:val="24"/>
        </w:rPr>
        <w:t xml:space="preserve">Block Number </w:t>
      </w:r>
      <w:r>
        <w:rPr>
          <w:rFonts w:ascii="Times New Roman" w:hAnsi="Times New Roman" w:cs="Times New Roman"/>
          <w:color w:val="010205"/>
          <w:sz w:val="24"/>
          <w:szCs w:val="24"/>
        </w:rPr>
        <w:t>1)</w:t>
      </w:r>
    </w:p>
    <w:p w14:paraId="72A9B66A" w14:textId="337943EA" w:rsidR="00F04CEF" w:rsidRPr="00230DA3" w:rsidRDefault="000F4100">
      <w:pPr>
        <w:autoSpaceDE w:val="0"/>
        <w:autoSpaceDN w:val="0"/>
        <w:adjustRightInd w:val="0"/>
        <w:spacing w:after="0" w:line="240" w:lineRule="auto"/>
        <w:jc w:val="center"/>
        <w:rPr>
          <w:rFonts w:ascii="Cambria" w:hAnsi="Cambria" w:cs="Times New Roman"/>
          <w:b/>
          <w:color w:val="000000" w:themeColor="text1"/>
          <w:sz w:val="20"/>
          <w:szCs w:val="20"/>
        </w:rPr>
      </w:pPr>
      <w:proofErr w:type="gramStart"/>
      <w:r w:rsidRPr="00230DA3">
        <w:rPr>
          <w:rFonts w:ascii="Cambria" w:hAnsi="Cambria" w:cs="Times New Roman"/>
          <w:b/>
          <w:color w:val="000000" w:themeColor="text1"/>
          <w:sz w:val="20"/>
          <w:szCs w:val="20"/>
        </w:rPr>
        <w:t>Table 5.</w:t>
      </w:r>
      <w:proofErr w:type="gramEnd"/>
      <w:r w:rsidR="000629BA" w:rsidRPr="00230DA3">
        <w:rPr>
          <w:rFonts w:ascii="Cambria" w:hAnsi="Cambria" w:cs="Times New Roman"/>
          <w:b/>
          <w:color w:val="000000" w:themeColor="text1"/>
          <w:sz w:val="20"/>
          <w:szCs w:val="20"/>
        </w:rPr>
        <w:t xml:space="preserve"> </w:t>
      </w:r>
      <w:r w:rsidR="000629BA" w:rsidRPr="00230DA3">
        <w:rPr>
          <w:rFonts w:ascii="Times New Roman" w:hAnsi="Times New Roman" w:cs="Times New Roman"/>
          <w:b/>
          <w:color w:val="000000" w:themeColor="text1"/>
          <w:sz w:val="21"/>
          <w:szCs w:val="21"/>
        </w:rPr>
        <w:t>Overall Model Fit (Block Number 1)</w:t>
      </w:r>
    </w:p>
    <w:tbl>
      <w:tblPr>
        <w:tblW w:w="79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9"/>
        <w:gridCol w:w="737"/>
        <w:gridCol w:w="1476"/>
        <w:gridCol w:w="1061"/>
        <w:gridCol w:w="1323"/>
        <w:gridCol w:w="1030"/>
        <w:gridCol w:w="1476"/>
      </w:tblGrid>
      <w:tr w:rsidR="00E73D9F" w:rsidRPr="00230DA3" w14:paraId="56694A8F" w14:textId="77777777" w:rsidTr="00DD6E6C">
        <w:trPr>
          <w:cantSplit/>
          <w:jc w:val="center"/>
        </w:trPr>
        <w:tc>
          <w:tcPr>
            <w:tcW w:w="7928" w:type="dxa"/>
            <w:gridSpan w:val="7"/>
            <w:tcBorders>
              <w:top w:val="single" w:sz="4" w:space="0" w:color="auto"/>
              <w:left w:val="nil"/>
              <w:bottom w:val="single" w:sz="4" w:space="0" w:color="auto"/>
              <w:right w:val="nil"/>
            </w:tcBorders>
            <w:shd w:val="clear" w:color="auto" w:fill="auto"/>
            <w:vAlign w:val="center"/>
          </w:tcPr>
          <w:p w14:paraId="73C7E356" w14:textId="2DFC673E" w:rsidR="00F04CEF" w:rsidRPr="00230DA3" w:rsidRDefault="000F4100">
            <w:pPr>
              <w:autoSpaceDE w:val="0"/>
              <w:autoSpaceDN w:val="0"/>
              <w:adjustRightInd w:val="0"/>
              <w:spacing w:after="0" w:line="240" w:lineRule="auto"/>
              <w:ind w:left="60" w:right="60"/>
              <w:jc w:val="center"/>
              <w:rPr>
                <w:rFonts w:ascii="Cambria" w:hAnsi="Cambria" w:cs="Arial"/>
                <w:color w:val="010205"/>
                <w:sz w:val="21"/>
                <w:szCs w:val="21"/>
              </w:rPr>
            </w:pPr>
            <w:r w:rsidRPr="00230DA3">
              <w:rPr>
                <w:rFonts w:ascii="Cambria" w:hAnsi="Cambria" w:cs="Arial"/>
                <w:b/>
                <w:bCs/>
                <w:color w:val="010205"/>
                <w:sz w:val="21"/>
                <w:szCs w:val="21"/>
              </w:rPr>
              <w:t xml:space="preserve">Iteration History </w:t>
            </w:r>
            <w:proofErr w:type="spellStart"/>
            <w:r w:rsidR="00E44512" w:rsidRPr="00230DA3">
              <w:rPr>
                <w:rFonts w:ascii="Cambria" w:hAnsi="Cambria" w:cs="Arial"/>
                <w:b/>
                <w:bCs/>
                <w:color w:val="010205"/>
                <w:sz w:val="21"/>
                <w:szCs w:val="21"/>
                <w:vertAlign w:val="superscript"/>
              </w:rPr>
              <w:t>a,</w:t>
            </w:r>
            <w:r w:rsidRPr="00230DA3">
              <w:rPr>
                <w:rFonts w:ascii="Cambria" w:hAnsi="Cambria" w:cs="Arial"/>
                <w:b/>
                <w:bCs/>
                <w:color w:val="010205"/>
                <w:sz w:val="21"/>
                <w:szCs w:val="21"/>
                <w:vertAlign w:val="superscript"/>
              </w:rPr>
              <w:t>b,c,d</w:t>
            </w:r>
            <w:proofErr w:type="spellEnd"/>
          </w:p>
        </w:tc>
      </w:tr>
      <w:tr w:rsidR="00E73D9F" w:rsidRPr="00230DA3" w14:paraId="4D14F9BE" w14:textId="77777777" w:rsidTr="00DD6E6C">
        <w:trPr>
          <w:cantSplit/>
          <w:jc w:val="center"/>
        </w:trPr>
        <w:tc>
          <w:tcPr>
            <w:tcW w:w="1567" w:type="dxa"/>
            <w:gridSpan w:val="2"/>
            <w:vMerge w:val="restart"/>
            <w:tcBorders>
              <w:top w:val="single" w:sz="4" w:space="0" w:color="auto"/>
              <w:left w:val="nil"/>
              <w:bottom w:val="nil"/>
              <w:right w:val="nil"/>
            </w:tcBorders>
            <w:shd w:val="clear" w:color="auto" w:fill="auto"/>
            <w:vAlign w:val="bottom"/>
          </w:tcPr>
          <w:p w14:paraId="205E3495" w14:textId="77777777" w:rsidR="00F04CEF" w:rsidRPr="00230DA3" w:rsidRDefault="000F4100">
            <w:pPr>
              <w:autoSpaceDE w:val="0"/>
              <w:autoSpaceDN w:val="0"/>
              <w:adjustRightInd w:val="0"/>
              <w:spacing w:after="0" w:line="240" w:lineRule="auto"/>
              <w:ind w:left="60" w:right="60"/>
              <w:rPr>
                <w:rFonts w:ascii="Cambria" w:hAnsi="Cambria" w:cs="Arial"/>
                <w:color w:val="264A60"/>
                <w:sz w:val="21"/>
                <w:szCs w:val="21"/>
              </w:rPr>
            </w:pPr>
            <w:r w:rsidRPr="00230DA3">
              <w:rPr>
                <w:rFonts w:ascii="Cambria" w:hAnsi="Cambria" w:cs="Arial"/>
                <w:color w:val="264A60"/>
                <w:sz w:val="21"/>
                <w:szCs w:val="21"/>
              </w:rPr>
              <w:t>Iteration</w:t>
            </w:r>
          </w:p>
        </w:tc>
        <w:tc>
          <w:tcPr>
            <w:tcW w:w="1475" w:type="dxa"/>
            <w:vMerge w:val="restart"/>
            <w:tcBorders>
              <w:top w:val="single" w:sz="4" w:space="0" w:color="auto"/>
              <w:left w:val="nil"/>
              <w:bottom w:val="nil"/>
              <w:right w:val="single" w:sz="8" w:space="0" w:color="E0E0E0"/>
            </w:tcBorders>
            <w:shd w:val="clear" w:color="auto" w:fill="auto"/>
            <w:vAlign w:val="bottom"/>
          </w:tcPr>
          <w:p w14:paraId="5913E96E" w14:textId="77777777" w:rsidR="00F04CEF" w:rsidRPr="00230DA3" w:rsidRDefault="000F4100">
            <w:pPr>
              <w:autoSpaceDE w:val="0"/>
              <w:autoSpaceDN w:val="0"/>
              <w:adjustRightInd w:val="0"/>
              <w:spacing w:after="0" w:line="240" w:lineRule="auto"/>
              <w:ind w:left="60" w:right="60"/>
              <w:jc w:val="center"/>
              <w:rPr>
                <w:rFonts w:ascii="Cambria" w:hAnsi="Cambria" w:cs="Arial"/>
                <w:color w:val="264A60"/>
                <w:sz w:val="21"/>
                <w:szCs w:val="21"/>
              </w:rPr>
            </w:pPr>
            <w:r w:rsidRPr="00230DA3">
              <w:rPr>
                <w:rFonts w:ascii="Cambria" w:hAnsi="Cambria" w:cs="Arial"/>
                <w:color w:val="264A60"/>
                <w:sz w:val="21"/>
                <w:szCs w:val="21"/>
              </w:rPr>
              <w:t>-2 Log likelihood</w:t>
            </w:r>
          </w:p>
        </w:tc>
        <w:tc>
          <w:tcPr>
            <w:tcW w:w="4886" w:type="dxa"/>
            <w:gridSpan w:val="4"/>
            <w:tcBorders>
              <w:top w:val="single" w:sz="4" w:space="0" w:color="auto"/>
              <w:left w:val="single" w:sz="8" w:space="0" w:color="E0E0E0"/>
              <w:bottom w:val="nil"/>
              <w:right w:val="nil"/>
            </w:tcBorders>
            <w:shd w:val="clear" w:color="auto" w:fill="auto"/>
            <w:vAlign w:val="bottom"/>
          </w:tcPr>
          <w:p w14:paraId="6BEF0EBB" w14:textId="77777777" w:rsidR="00F04CEF" w:rsidRPr="00230DA3" w:rsidRDefault="000F4100">
            <w:pPr>
              <w:autoSpaceDE w:val="0"/>
              <w:autoSpaceDN w:val="0"/>
              <w:adjustRightInd w:val="0"/>
              <w:spacing w:after="0" w:line="240" w:lineRule="auto"/>
              <w:ind w:left="60" w:right="60"/>
              <w:jc w:val="center"/>
              <w:rPr>
                <w:rFonts w:ascii="Cambria" w:hAnsi="Cambria" w:cs="Arial"/>
                <w:color w:val="264A60"/>
                <w:sz w:val="21"/>
                <w:szCs w:val="21"/>
              </w:rPr>
            </w:pPr>
            <w:r w:rsidRPr="00230DA3">
              <w:rPr>
                <w:rFonts w:ascii="Cambria" w:hAnsi="Cambria" w:cs="Arial"/>
                <w:color w:val="264A60"/>
                <w:sz w:val="21"/>
                <w:szCs w:val="21"/>
              </w:rPr>
              <w:t>Coefficients</w:t>
            </w:r>
          </w:p>
        </w:tc>
      </w:tr>
      <w:tr w:rsidR="00E73D9F" w:rsidRPr="00230DA3" w14:paraId="47BF3DB9" w14:textId="77777777" w:rsidTr="00230DA3">
        <w:trPr>
          <w:cantSplit/>
          <w:jc w:val="center"/>
        </w:trPr>
        <w:tc>
          <w:tcPr>
            <w:tcW w:w="1567" w:type="dxa"/>
            <w:gridSpan w:val="2"/>
            <w:vMerge/>
            <w:tcBorders>
              <w:top w:val="nil"/>
              <w:left w:val="nil"/>
              <w:bottom w:val="nil"/>
              <w:right w:val="nil"/>
            </w:tcBorders>
            <w:shd w:val="clear" w:color="auto" w:fill="auto"/>
            <w:vAlign w:val="bottom"/>
          </w:tcPr>
          <w:p w14:paraId="38BDD7BF" w14:textId="77777777" w:rsidR="008E6DD7" w:rsidRPr="00230DA3" w:rsidRDefault="008E6DD7" w:rsidP="00765CC8">
            <w:pPr>
              <w:autoSpaceDE w:val="0"/>
              <w:autoSpaceDN w:val="0"/>
              <w:adjustRightInd w:val="0"/>
              <w:spacing w:after="0" w:line="240" w:lineRule="auto"/>
              <w:rPr>
                <w:rFonts w:ascii="Cambria" w:hAnsi="Cambria" w:cs="Arial"/>
                <w:color w:val="264A60"/>
                <w:sz w:val="21"/>
                <w:szCs w:val="21"/>
              </w:rPr>
            </w:pPr>
          </w:p>
        </w:tc>
        <w:tc>
          <w:tcPr>
            <w:tcW w:w="1475" w:type="dxa"/>
            <w:vMerge/>
            <w:tcBorders>
              <w:top w:val="nil"/>
              <w:left w:val="nil"/>
              <w:bottom w:val="nil"/>
              <w:right w:val="single" w:sz="8" w:space="0" w:color="E0E0E0"/>
            </w:tcBorders>
            <w:shd w:val="clear" w:color="auto" w:fill="auto"/>
            <w:vAlign w:val="bottom"/>
          </w:tcPr>
          <w:p w14:paraId="660A9F8A" w14:textId="77777777" w:rsidR="008E6DD7" w:rsidRPr="00230DA3" w:rsidRDefault="008E6DD7" w:rsidP="00765CC8">
            <w:pPr>
              <w:autoSpaceDE w:val="0"/>
              <w:autoSpaceDN w:val="0"/>
              <w:adjustRightInd w:val="0"/>
              <w:spacing w:after="0" w:line="240" w:lineRule="auto"/>
              <w:rPr>
                <w:rFonts w:ascii="Cambria" w:hAnsi="Cambria" w:cs="Arial"/>
                <w:color w:val="264A60"/>
                <w:sz w:val="21"/>
                <w:szCs w:val="21"/>
              </w:rPr>
            </w:pPr>
          </w:p>
        </w:tc>
        <w:tc>
          <w:tcPr>
            <w:tcW w:w="1060" w:type="dxa"/>
            <w:tcBorders>
              <w:top w:val="nil"/>
              <w:left w:val="single" w:sz="8" w:space="0" w:color="E0E0E0"/>
              <w:bottom w:val="single" w:sz="8" w:space="0" w:color="152935"/>
              <w:right w:val="single" w:sz="8" w:space="0" w:color="E0E0E0"/>
            </w:tcBorders>
            <w:shd w:val="clear" w:color="auto" w:fill="auto"/>
            <w:vAlign w:val="bottom"/>
          </w:tcPr>
          <w:p w14:paraId="40975337" w14:textId="77777777" w:rsidR="00F04CEF" w:rsidRPr="00230DA3" w:rsidRDefault="000F4100">
            <w:pPr>
              <w:autoSpaceDE w:val="0"/>
              <w:autoSpaceDN w:val="0"/>
              <w:adjustRightInd w:val="0"/>
              <w:spacing w:after="0" w:line="240" w:lineRule="auto"/>
              <w:ind w:left="60" w:right="60"/>
              <w:jc w:val="center"/>
              <w:rPr>
                <w:rFonts w:ascii="Cambria" w:hAnsi="Cambria" w:cs="Arial"/>
                <w:color w:val="264A60"/>
                <w:sz w:val="21"/>
                <w:szCs w:val="21"/>
              </w:rPr>
            </w:pPr>
            <w:r w:rsidRPr="00230DA3">
              <w:rPr>
                <w:rFonts w:ascii="Cambria" w:hAnsi="Cambria" w:cs="Arial"/>
                <w:color w:val="264A60"/>
                <w:sz w:val="21"/>
                <w:szCs w:val="21"/>
              </w:rPr>
              <w:t>Constant</w:t>
            </w:r>
          </w:p>
        </w:tc>
        <w:tc>
          <w:tcPr>
            <w:tcW w:w="1322" w:type="dxa"/>
            <w:tcBorders>
              <w:top w:val="nil"/>
              <w:left w:val="single" w:sz="8" w:space="0" w:color="E0E0E0"/>
              <w:bottom w:val="single" w:sz="8" w:space="0" w:color="152935"/>
              <w:right w:val="single" w:sz="8" w:space="0" w:color="E0E0E0"/>
            </w:tcBorders>
            <w:shd w:val="clear" w:color="auto" w:fill="auto"/>
            <w:vAlign w:val="bottom"/>
          </w:tcPr>
          <w:p w14:paraId="086035E8" w14:textId="77777777" w:rsidR="00F04CEF" w:rsidRPr="00230DA3" w:rsidRDefault="000F4100">
            <w:pPr>
              <w:autoSpaceDE w:val="0"/>
              <w:autoSpaceDN w:val="0"/>
              <w:adjustRightInd w:val="0"/>
              <w:spacing w:after="0" w:line="240" w:lineRule="auto"/>
              <w:ind w:left="60" w:right="60"/>
              <w:jc w:val="center"/>
              <w:rPr>
                <w:rFonts w:ascii="Cambria" w:hAnsi="Cambria" w:cs="Arial"/>
                <w:color w:val="264A60"/>
                <w:sz w:val="21"/>
                <w:szCs w:val="21"/>
              </w:rPr>
            </w:pPr>
            <w:r w:rsidRPr="00230DA3">
              <w:rPr>
                <w:rFonts w:ascii="Cambria" w:hAnsi="Cambria" w:cs="Arial"/>
                <w:color w:val="264A60"/>
                <w:sz w:val="21"/>
                <w:szCs w:val="21"/>
              </w:rPr>
              <w:t>Profitability</w:t>
            </w:r>
          </w:p>
        </w:tc>
        <w:tc>
          <w:tcPr>
            <w:tcW w:w="1029" w:type="dxa"/>
            <w:tcBorders>
              <w:top w:val="nil"/>
              <w:left w:val="single" w:sz="8" w:space="0" w:color="E0E0E0"/>
              <w:bottom w:val="single" w:sz="8" w:space="0" w:color="152935"/>
              <w:right w:val="single" w:sz="8" w:space="0" w:color="E0E0E0"/>
            </w:tcBorders>
            <w:shd w:val="clear" w:color="auto" w:fill="auto"/>
            <w:vAlign w:val="bottom"/>
          </w:tcPr>
          <w:p w14:paraId="6E00BF59" w14:textId="77777777" w:rsidR="00F04CEF" w:rsidRPr="00230DA3" w:rsidRDefault="000F4100">
            <w:pPr>
              <w:autoSpaceDE w:val="0"/>
              <w:autoSpaceDN w:val="0"/>
              <w:adjustRightInd w:val="0"/>
              <w:spacing w:after="0" w:line="240" w:lineRule="auto"/>
              <w:ind w:left="60" w:right="60"/>
              <w:jc w:val="center"/>
              <w:rPr>
                <w:rFonts w:ascii="Cambria" w:hAnsi="Cambria" w:cs="Arial"/>
                <w:color w:val="264A60"/>
                <w:sz w:val="21"/>
                <w:szCs w:val="21"/>
              </w:rPr>
            </w:pPr>
            <w:r w:rsidRPr="00230DA3">
              <w:rPr>
                <w:rFonts w:ascii="Cambria" w:hAnsi="Cambria" w:cs="Arial"/>
                <w:color w:val="264A60"/>
                <w:sz w:val="21"/>
                <w:szCs w:val="21"/>
              </w:rPr>
              <w:t>leverage</w:t>
            </w:r>
          </w:p>
        </w:tc>
        <w:tc>
          <w:tcPr>
            <w:tcW w:w="1475" w:type="dxa"/>
            <w:tcBorders>
              <w:top w:val="nil"/>
              <w:left w:val="single" w:sz="8" w:space="0" w:color="E0E0E0"/>
              <w:bottom w:val="single" w:sz="8" w:space="0" w:color="152935"/>
              <w:right w:val="nil"/>
            </w:tcBorders>
            <w:shd w:val="clear" w:color="auto" w:fill="auto"/>
            <w:vAlign w:val="bottom"/>
          </w:tcPr>
          <w:p w14:paraId="2DB9B0C5" w14:textId="77777777" w:rsidR="00F04CEF" w:rsidRPr="00230DA3" w:rsidRDefault="000F4100">
            <w:pPr>
              <w:autoSpaceDE w:val="0"/>
              <w:autoSpaceDN w:val="0"/>
              <w:adjustRightInd w:val="0"/>
              <w:spacing w:after="0" w:line="240" w:lineRule="auto"/>
              <w:ind w:left="60" w:right="60"/>
              <w:jc w:val="center"/>
              <w:rPr>
                <w:rFonts w:ascii="Cambria" w:hAnsi="Cambria" w:cs="Arial"/>
                <w:color w:val="264A60"/>
                <w:sz w:val="21"/>
                <w:szCs w:val="21"/>
              </w:rPr>
            </w:pPr>
            <w:r w:rsidRPr="00230DA3">
              <w:rPr>
                <w:rFonts w:ascii="Cambria" w:hAnsi="Cambria" w:cs="Arial"/>
                <w:color w:val="264A60"/>
                <w:sz w:val="21"/>
                <w:szCs w:val="21"/>
              </w:rPr>
              <w:t>company growth</w:t>
            </w:r>
          </w:p>
        </w:tc>
      </w:tr>
      <w:tr w:rsidR="00E73D9F" w:rsidRPr="00230DA3" w14:paraId="277256A3" w14:textId="77777777" w:rsidTr="00230DA3">
        <w:trPr>
          <w:cantSplit/>
          <w:jc w:val="center"/>
        </w:trPr>
        <w:tc>
          <w:tcPr>
            <w:tcW w:w="830" w:type="dxa"/>
            <w:vMerge w:val="restart"/>
            <w:tcBorders>
              <w:top w:val="single" w:sz="8" w:space="0" w:color="152935"/>
              <w:left w:val="nil"/>
              <w:bottom w:val="single" w:sz="8" w:space="0" w:color="152935"/>
              <w:right w:val="nil"/>
            </w:tcBorders>
            <w:shd w:val="clear" w:color="auto" w:fill="auto"/>
          </w:tcPr>
          <w:p w14:paraId="0EAFB8FA" w14:textId="77777777" w:rsidR="00F04CEF" w:rsidRPr="00230DA3" w:rsidRDefault="000F4100">
            <w:pPr>
              <w:autoSpaceDE w:val="0"/>
              <w:autoSpaceDN w:val="0"/>
              <w:adjustRightInd w:val="0"/>
              <w:spacing w:after="0" w:line="240" w:lineRule="auto"/>
              <w:ind w:left="60" w:right="60"/>
              <w:rPr>
                <w:rFonts w:ascii="Cambria" w:hAnsi="Cambria" w:cs="Arial"/>
                <w:color w:val="264A60"/>
                <w:sz w:val="21"/>
                <w:szCs w:val="21"/>
              </w:rPr>
            </w:pPr>
            <w:r w:rsidRPr="00230DA3">
              <w:rPr>
                <w:rFonts w:ascii="Cambria" w:hAnsi="Cambria" w:cs="Arial"/>
                <w:color w:val="264A60"/>
                <w:sz w:val="21"/>
                <w:szCs w:val="21"/>
              </w:rPr>
              <w:t>Step 1</w:t>
            </w:r>
          </w:p>
        </w:tc>
        <w:tc>
          <w:tcPr>
            <w:tcW w:w="737" w:type="dxa"/>
            <w:tcBorders>
              <w:top w:val="single" w:sz="8" w:space="0" w:color="152935"/>
              <w:left w:val="nil"/>
              <w:bottom w:val="single" w:sz="8" w:space="0" w:color="AEAEAE"/>
              <w:right w:val="nil"/>
            </w:tcBorders>
            <w:shd w:val="clear" w:color="auto" w:fill="auto"/>
          </w:tcPr>
          <w:p w14:paraId="06580F56" w14:textId="77777777" w:rsidR="00F04CEF" w:rsidRPr="00230DA3" w:rsidRDefault="000F4100">
            <w:pPr>
              <w:autoSpaceDE w:val="0"/>
              <w:autoSpaceDN w:val="0"/>
              <w:adjustRightInd w:val="0"/>
              <w:spacing w:after="0" w:line="240" w:lineRule="auto"/>
              <w:ind w:left="60" w:right="60"/>
              <w:rPr>
                <w:rFonts w:ascii="Cambria" w:hAnsi="Cambria" w:cs="Arial"/>
                <w:color w:val="264A60"/>
                <w:sz w:val="21"/>
                <w:szCs w:val="21"/>
              </w:rPr>
            </w:pPr>
            <w:r w:rsidRPr="00230DA3">
              <w:rPr>
                <w:rFonts w:ascii="Cambria" w:hAnsi="Cambria" w:cs="Arial"/>
                <w:color w:val="264A60"/>
                <w:sz w:val="21"/>
                <w:szCs w:val="21"/>
              </w:rPr>
              <w:t>1</w:t>
            </w:r>
          </w:p>
        </w:tc>
        <w:tc>
          <w:tcPr>
            <w:tcW w:w="1475" w:type="dxa"/>
            <w:tcBorders>
              <w:top w:val="single" w:sz="8" w:space="0" w:color="152935"/>
              <w:left w:val="nil"/>
              <w:bottom w:val="single" w:sz="8" w:space="0" w:color="AEAEAE"/>
              <w:right w:val="single" w:sz="8" w:space="0" w:color="E0E0E0"/>
            </w:tcBorders>
            <w:shd w:val="clear" w:color="auto" w:fill="auto"/>
          </w:tcPr>
          <w:p w14:paraId="7B5118C6"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179.929</w:t>
            </w:r>
          </w:p>
        </w:tc>
        <w:tc>
          <w:tcPr>
            <w:tcW w:w="1060" w:type="dxa"/>
            <w:tcBorders>
              <w:top w:val="single" w:sz="8" w:space="0" w:color="152935"/>
              <w:left w:val="single" w:sz="8" w:space="0" w:color="E0E0E0"/>
              <w:bottom w:val="single" w:sz="8" w:space="0" w:color="AEAEAE"/>
              <w:right w:val="single" w:sz="8" w:space="0" w:color="E0E0E0"/>
            </w:tcBorders>
            <w:shd w:val="clear" w:color="auto" w:fill="auto"/>
          </w:tcPr>
          <w:p w14:paraId="71306F85"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-1.335</w:t>
            </w:r>
          </w:p>
        </w:tc>
        <w:tc>
          <w:tcPr>
            <w:tcW w:w="1322" w:type="dxa"/>
            <w:tcBorders>
              <w:top w:val="single" w:sz="8" w:space="0" w:color="152935"/>
              <w:left w:val="single" w:sz="8" w:space="0" w:color="E0E0E0"/>
              <w:bottom w:val="single" w:sz="8" w:space="0" w:color="AEAEAE"/>
              <w:right w:val="single" w:sz="8" w:space="0" w:color="E0E0E0"/>
            </w:tcBorders>
            <w:shd w:val="clear" w:color="auto" w:fill="auto"/>
          </w:tcPr>
          <w:p w14:paraId="6A332A70"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-.030</w:t>
            </w:r>
          </w:p>
        </w:tc>
        <w:tc>
          <w:tcPr>
            <w:tcW w:w="1029" w:type="dxa"/>
            <w:tcBorders>
              <w:top w:val="single" w:sz="8" w:space="0" w:color="152935"/>
              <w:left w:val="single" w:sz="8" w:space="0" w:color="E0E0E0"/>
              <w:bottom w:val="single" w:sz="8" w:space="0" w:color="AEAEAE"/>
              <w:right w:val="single" w:sz="8" w:space="0" w:color="E0E0E0"/>
            </w:tcBorders>
            <w:shd w:val="clear" w:color="auto" w:fill="auto"/>
          </w:tcPr>
          <w:p w14:paraId="47F004E5"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.000</w:t>
            </w:r>
          </w:p>
        </w:tc>
        <w:tc>
          <w:tcPr>
            <w:tcW w:w="1475" w:type="dxa"/>
            <w:tcBorders>
              <w:top w:val="single" w:sz="8" w:space="0" w:color="152935"/>
              <w:left w:val="single" w:sz="8" w:space="0" w:color="E0E0E0"/>
              <w:bottom w:val="single" w:sz="8" w:space="0" w:color="AEAEAE"/>
              <w:right w:val="nil"/>
            </w:tcBorders>
            <w:shd w:val="clear" w:color="auto" w:fill="auto"/>
          </w:tcPr>
          <w:p w14:paraId="5DF8A8D8"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-.016</w:t>
            </w:r>
          </w:p>
        </w:tc>
      </w:tr>
      <w:tr w:rsidR="00E73D9F" w:rsidRPr="00230DA3" w14:paraId="6BC25E02" w14:textId="77777777" w:rsidTr="00230DA3">
        <w:trPr>
          <w:cantSplit/>
          <w:jc w:val="center"/>
        </w:trPr>
        <w:tc>
          <w:tcPr>
            <w:tcW w:w="830" w:type="dxa"/>
            <w:vMerge/>
            <w:tcBorders>
              <w:top w:val="single" w:sz="8" w:space="0" w:color="152935"/>
              <w:left w:val="nil"/>
              <w:bottom w:val="single" w:sz="8" w:space="0" w:color="152935"/>
              <w:right w:val="nil"/>
            </w:tcBorders>
            <w:shd w:val="clear" w:color="auto" w:fill="auto"/>
          </w:tcPr>
          <w:p w14:paraId="687281D4" w14:textId="77777777" w:rsidR="008E6DD7" w:rsidRPr="00230DA3" w:rsidRDefault="008E6DD7" w:rsidP="00765CC8">
            <w:pPr>
              <w:autoSpaceDE w:val="0"/>
              <w:autoSpaceDN w:val="0"/>
              <w:adjustRightInd w:val="0"/>
              <w:spacing w:after="0" w:line="240" w:lineRule="auto"/>
              <w:rPr>
                <w:rFonts w:ascii="Cambria" w:hAnsi="Cambria" w:cs="Arial"/>
                <w:color w:val="010205"/>
                <w:sz w:val="21"/>
                <w:szCs w:val="21"/>
              </w:rPr>
            </w:pPr>
          </w:p>
        </w:tc>
        <w:tc>
          <w:tcPr>
            <w:tcW w:w="737" w:type="dxa"/>
            <w:tcBorders>
              <w:top w:val="single" w:sz="8" w:space="0" w:color="AEAEAE"/>
              <w:left w:val="nil"/>
              <w:bottom w:val="single" w:sz="8" w:space="0" w:color="AEAEAE"/>
              <w:right w:val="nil"/>
            </w:tcBorders>
            <w:shd w:val="clear" w:color="auto" w:fill="auto"/>
          </w:tcPr>
          <w:p w14:paraId="0BEBA153" w14:textId="77777777" w:rsidR="00F04CEF" w:rsidRPr="00230DA3" w:rsidRDefault="000F4100">
            <w:pPr>
              <w:autoSpaceDE w:val="0"/>
              <w:autoSpaceDN w:val="0"/>
              <w:adjustRightInd w:val="0"/>
              <w:spacing w:after="0" w:line="240" w:lineRule="auto"/>
              <w:ind w:left="60" w:right="60"/>
              <w:rPr>
                <w:rFonts w:ascii="Cambria" w:hAnsi="Cambria" w:cs="Arial"/>
                <w:color w:val="264A60"/>
                <w:sz w:val="21"/>
                <w:szCs w:val="21"/>
              </w:rPr>
            </w:pPr>
            <w:r w:rsidRPr="00230DA3">
              <w:rPr>
                <w:rFonts w:ascii="Cambria" w:hAnsi="Cambria" w:cs="Arial"/>
                <w:color w:val="264A60"/>
                <w:sz w:val="21"/>
                <w:szCs w:val="21"/>
              </w:rPr>
              <w:t>2</w:t>
            </w:r>
          </w:p>
        </w:tc>
        <w:tc>
          <w:tcPr>
            <w:tcW w:w="1475" w:type="dxa"/>
            <w:tcBorders>
              <w:top w:val="single" w:sz="8" w:space="0" w:color="AEAEAE"/>
              <w:left w:val="nil"/>
              <w:bottom w:val="single" w:sz="8" w:space="0" w:color="AEAEAE"/>
              <w:right w:val="single" w:sz="8" w:space="0" w:color="E0E0E0"/>
            </w:tcBorders>
            <w:shd w:val="clear" w:color="auto" w:fill="auto"/>
          </w:tcPr>
          <w:p w14:paraId="69989191"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161.644</w:t>
            </w:r>
          </w:p>
        </w:tc>
        <w:tc>
          <w:tcPr>
            <w:tcW w:w="1060" w:type="dxa"/>
            <w:tcBorders>
              <w:top w:val="single" w:sz="8" w:space="0" w:color="AEAEAE"/>
              <w:left w:val="single" w:sz="8" w:space="0" w:color="E0E0E0"/>
              <w:bottom w:val="single" w:sz="8" w:space="0" w:color="AEAEAE"/>
              <w:right w:val="single" w:sz="8" w:space="0" w:color="E0E0E0"/>
            </w:tcBorders>
            <w:shd w:val="clear" w:color="auto" w:fill="auto"/>
          </w:tcPr>
          <w:p w14:paraId="1D154C28"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-1.693</w:t>
            </w:r>
          </w:p>
        </w:tc>
        <w:tc>
          <w:tcPr>
            <w:tcW w:w="1322" w:type="dxa"/>
            <w:tcBorders>
              <w:top w:val="single" w:sz="8" w:space="0" w:color="AEAEAE"/>
              <w:left w:val="single" w:sz="8" w:space="0" w:color="E0E0E0"/>
              <w:bottom w:val="single" w:sz="8" w:space="0" w:color="AEAEAE"/>
              <w:right w:val="single" w:sz="8" w:space="0" w:color="E0E0E0"/>
            </w:tcBorders>
            <w:shd w:val="clear" w:color="auto" w:fill="auto"/>
          </w:tcPr>
          <w:p w14:paraId="55176442"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-.070</w:t>
            </w:r>
          </w:p>
        </w:tc>
        <w:tc>
          <w:tcPr>
            <w:tcW w:w="1029" w:type="dxa"/>
            <w:tcBorders>
              <w:top w:val="single" w:sz="8" w:space="0" w:color="AEAEAE"/>
              <w:left w:val="single" w:sz="8" w:space="0" w:color="E0E0E0"/>
              <w:bottom w:val="single" w:sz="8" w:space="0" w:color="AEAEAE"/>
              <w:right w:val="single" w:sz="8" w:space="0" w:color="E0E0E0"/>
            </w:tcBorders>
            <w:shd w:val="clear" w:color="auto" w:fill="auto"/>
          </w:tcPr>
          <w:p w14:paraId="7D6E2DFC"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.000</w:t>
            </w:r>
          </w:p>
        </w:tc>
        <w:tc>
          <w:tcPr>
            <w:tcW w:w="1475" w:type="dxa"/>
            <w:tcBorders>
              <w:top w:val="single" w:sz="8" w:space="0" w:color="AEAEAE"/>
              <w:left w:val="single" w:sz="8" w:space="0" w:color="E0E0E0"/>
              <w:bottom w:val="single" w:sz="8" w:space="0" w:color="AEAEAE"/>
              <w:right w:val="nil"/>
            </w:tcBorders>
            <w:shd w:val="clear" w:color="auto" w:fill="auto"/>
          </w:tcPr>
          <w:p w14:paraId="06E71FFA"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-.023</w:t>
            </w:r>
          </w:p>
        </w:tc>
      </w:tr>
      <w:tr w:rsidR="00E73D9F" w:rsidRPr="00230DA3" w14:paraId="7F1802EB" w14:textId="77777777" w:rsidTr="00230DA3">
        <w:trPr>
          <w:cantSplit/>
          <w:jc w:val="center"/>
        </w:trPr>
        <w:tc>
          <w:tcPr>
            <w:tcW w:w="830" w:type="dxa"/>
            <w:vMerge/>
            <w:tcBorders>
              <w:top w:val="single" w:sz="8" w:space="0" w:color="152935"/>
              <w:left w:val="nil"/>
              <w:bottom w:val="single" w:sz="8" w:space="0" w:color="152935"/>
              <w:right w:val="nil"/>
            </w:tcBorders>
            <w:shd w:val="clear" w:color="auto" w:fill="auto"/>
          </w:tcPr>
          <w:p w14:paraId="1A9D68AB" w14:textId="77777777" w:rsidR="008E6DD7" w:rsidRPr="00230DA3" w:rsidRDefault="008E6DD7" w:rsidP="00765CC8">
            <w:pPr>
              <w:autoSpaceDE w:val="0"/>
              <w:autoSpaceDN w:val="0"/>
              <w:adjustRightInd w:val="0"/>
              <w:spacing w:after="0" w:line="240" w:lineRule="auto"/>
              <w:rPr>
                <w:rFonts w:ascii="Cambria" w:hAnsi="Cambria" w:cs="Arial"/>
                <w:color w:val="010205"/>
                <w:sz w:val="21"/>
                <w:szCs w:val="21"/>
              </w:rPr>
            </w:pPr>
          </w:p>
        </w:tc>
        <w:tc>
          <w:tcPr>
            <w:tcW w:w="737" w:type="dxa"/>
            <w:tcBorders>
              <w:top w:val="single" w:sz="8" w:space="0" w:color="AEAEAE"/>
              <w:left w:val="nil"/>
              <w:bottom w:val="single" w:sz="8" w:space="0" w:color="AEAEAE"/>
              <w:right w:val="nil"/>
            </w:tcBorders>
            <w:shd w:val="clear" w:color="auto" w:fill="auto"/>
          </w:tcPr>
          <w:p w14:paraId="23C51801" w14:textId="77777777" w:rsidR="00F04CEF" w:rsidRPr="00230DA3" w:rsidRDefault="000F4100">
            <w:pPr>
              <w:autoSpaceDE w:val="0"/>
              <w:autoSpaceDN w:val="0"/>
              <w:adjustRightInd w:val="0"/>
              <w:spacing w:after="0" w:line="240" w:lineRule="auto"/>
              <w:ind w:left="60" w:right="60"/>
              <w:rPr>
                <w:rFonts w:ascii="Cambria" w:hAnsi="Cambria" w:cs="Arial"/>
                <w:color w:val="264A60"/>
                <w:sz w:val="21"/>
                <w:szCs w:val="21"/>
              </w:rPr>
            </w:pPr>
            <w:r w:rsidRPr="00230DA3">
              <w:rPr>
                <w:rFonts w:ascii="Cambria" w:hAnsi="Cambria" w:cs="Arial"/>
                <w:color w:val="264A60"/>
                <w:sz w:val="21"/>
                <w:szCs w:val="21"/>
              </w:rPr>
              <w:t>3</w:t>
            </w:r>
          </w:p>
        </w:tc>
        <w:tc>
          <w:tcPr>
            <w:tcW w:w="1475" w:type="dxa"/>
            <w:tcBorders>
              <w:top w:val="single" w:sz="8" w:space="0" w:color="AEAEAE"/>
              <w:left w:val="nil"/>
              <w:bottom w:val="single" w:sz="8" w:space="0" w:color="AEAEAE"/>
              <w:right w:val="single" w:sz="8" w:space="0" w:color="E0E0E0"/>
            </w:tcBorders>
            <w:shd w:val="clear" w:color="auto" w:fill="auto"/>
          </w:tcPr>
          <w:p w14:paraId="5B369476"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156.897</w:t>
            </w:r>
          </w:p>
        </w:tc>
        <w:tc>
          <w:tcPr>
            <w:tcW w:w="1060" w:type="dxa"/>
            <w:tcBorders>
              <w:top w:val="single" w:sz="8" w:space="0" w:color="AEAEAE"/>
              <w:left w:val="single" w:sz="8" w:space="0" w:color="E0E0E0"/>
              <w:bottom w:val="single" w:sz="8" w:space="0" w:color="AEAEAE"/>
              <w:right w:val="single" w:sz="8" w:space="0" w:color="E0E0E0"/>
            </w:tcBorders>
            <w:shd w:val="clear" w:color="auto" w:fill="auto"/>
          </w:tcPr>
          <w:p w14:paraId="57EA5240"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-1.761</w:t>
            </w:r>
          </w:p>
        </w:tc>
        <w:tc>
          <w:tcPr>
            <w:tcW w:w="1322" w:type="dxa"/>
            <w:tcBorders>
              <w:top w:val="single" w:sz="8" w:space="0" w:color="AEAEAE"/>
              <w:left w:val="single" w:sz="8" w:space="0" w:color="E0E0E0"/>
              <w:bottom w:val="single" w:sz="8" w:space="0" w:color="AEAEAE"/>
              <w:right w:val="single" w:sz="8" w:space="0" w:color="E0E0E0"/>
            </w:tcBorders>
            <w:shd w:val="clear" w:color="auto" w:fill="auto"/>
          </w:tcPr>
          <w:p w14:paraId="536243DB"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-.116</w:t>
            </w:r>
          </w:p>
        </w:tc>
        <w:tc>
          <w:tcPr>
            <w:tcW w:w="1029" w:type="dxa"/>
            <w:tcBorders>
              <w:top w:val="single" w:sz="8" w:space="0" w:color="AEAEAE"/>
              <w:left w:val="single" w:sz="8" w:space="0" w:color="E0E0E0"/>
              <w:bottom w:val="single" w:sz="8" w:space="0" w:color="AEAEAE"/>
              <w:right w:val="single" w:sz="8" w:space="0" w:color="E0E0E0"/>
            </w:tcBorders>
            <w:shd w:val="clear" w:color="auto" w:fill="auto"/>
          </w:tcPr>
          <w:p w14:paraId="7BD203E5"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.000</w:t>
            </w:r>
          </w:p>
        </w:tc>
        <w:tc>
          <w:tcPr>
            <w:tcW w:w="1475" w:type="dxa"/>
            <w:tcBorders>
              <w:top w:val="single" w:sz="8" w:space="0" w:color="AEAEAE"/>
              <w:left w:val="single" w:sz="8" w:space="0" w:color="E0E0E0"/>
              <w:bottom w:val="single" w:sz="8" w:space="0" w:color="AEAEAE"/>
              <w:right w:val="nil"/>
            </w:tcBorders>
            <w:shd w:val="clear" w:color="auto" w:fill="auto"/>
          </w:tcPr>
          <w:p w14:paraId="42EC5224"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-.023</w:t>
            </w:r>
          </w:p>
        </w:tc>
      </w:tr>
      <w:tr w:rsidR="00E73D9F" w:rsidRPr="00230DA3" w14:paraId="7D1612CA" w14:textId="77777777" w:rsidTr="00230DA3">
        <w:trPr>
          <w:cantSplit/>
          <w:jc w:val="center"/>
        </w:trPr>
        <w:tc>
          <w:tcPr>
            <w:tcW w:w="830" w:type="dxa"/>
            <w:vMerge/>
            <w:tcBorders>
              <w:top w:val="single" w:sz="8" w:space="0" w:color="152935"/>
              <w:left w:val="nil"/>
              <w:bottom w:val="single" w:sz="8" w:space="0" w:color="152935"/>
              <w:right w:val="nil"/>
            </w:tcBorders>
            <w:shd w:val="clear" w:color="auto" w:fill="auto"/>
          </w:tcPr>
          <w:p w14:paraId="5734FB63" w14:textId="77777777" w:rsidR="008E6DD7" w:rsidRPr="00230DA3" w:rsidRDefault="008E6DD7" w:rsidP="00765CC8">
            <w:pPr>
              <w:autoSpaceDE w:val="0"/>
              <w:autoSpaceDN w:val="0"/>
              <w:adjustRightInd w:val="0"/>
              <w:spacing w:after="0" w:line="240" w:lineRule="auto"/>
              <w:rPr>
                <w:rFonts w:ascii="Cambria" w:hAnsi="Cambria" w:cs="Arial"/>
                <w:color w:val="010205"/>
                <w:sz w:val="21"/>
                <w:szCs w:val="21"/>
              </w:rPr>
            </w:pPr>
          </w:p>
        </w:tc>
        <w:tc>
          <w:tcPr>
            <w:tcW w:w="737" w:type="dxa"/>
            <w:tcBorders>
              <w:top w:val="single" w:sz="8" w:space="0" w:color="AEAEAE"/>
              <w:left w:val="nil"/>
              <w:bottom w:val="single" w:sz="8" w:space="0" w:color="AEAEAE"/>
              <w:right w:val="nil"/>
            </w:tcBorders>
            <w:shd w:val="clear" w:color="auto" w:fill="auto"/>
          </w:tcPr>
          <w:p w14:paraId="269CF549" w14:textId="77777777" w:rsidR="00F04CEF" w:rsidRPr="00230DA3" w:rsidRDefault="000F4100">
            <w:pPr>
              <w:autoSpaceDE w:val="0"/>
              <w:autoSpaceDN w:val="0"/>
              <w:adjustRightInd w:val="0"/>
              <w:spacing w:after="0" w:line="240" w:lineRule="auto"/>
              <w:ind w:left="60" w:right="60"/>
              <w:rPr>
                <w:rFonts w:ascii="Cambria" w:hAnsi="Cambria" w:cs="Arial"/>
                <w:color w:val="264A60"/>
                <w:sz w:val="21"/>
                <w:szCs w:val="21"/>
              </w:rPr>
            </w:pPr>
            <w:r w:rsidRPr="00230DA3">
              <w:rPr>
                <w:rFonts w:ascii="Cambria" w:hAnsi="Cambria" w:cs="Arial"/>
                <w:color w:val="264A60"/>
                <w:sz w:val="21"/>
                <w:szCs w:val="21"/>
              </w:rPr>
              <w:t>4</w:t>
            </w:r>
          </w:p>
        </w:tc>
        <w:tc>
          <w:tcPr>
            <w:tcW w:w="1475" w:type="dxa"/>
            <w:tcBorders>
              <w:top w:val="single" w:sz="8" w:space="0" w:color="AEAEAE"/>
              <w:left w:val="nil"/>
              <w:bottom w:val="single" w:sz="8" w:space="0" w:color="AEAEAE"/>
              <w:right w:val="single" w:sz="8" w:space="0" w:color="E0E0E0"/>
            </w:tcBorders>
            <w:shd w:val="clear" w:color="auto" w:fill="auto"/>
          </w:tcPr>
          <w:p w14:paraId="6E7AAFB5"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156.391</w:t>
            </w:r>
          </w:p>
        </w:tc>
        <w:tc>
          <w:tcPr>
            <w:tcW w:w="1060" w:type="dxa"/>
            <w:tcBorders>
              <w:top w:val="single" w:sz="8" w:space="0" w:color="AEAEAE"/>
              <w:left w:val="single" w:sz="8" w:space="0" w:color="E0E0E0"/>
              <w:bottom w:val="single" w:sz="8" w:space="0" w:color="AEAEAE"/>
              <w:right w:val="single" w:sz="8" w:space="0" w:color="E0E0E0"/>
            </w:tcBorders>
            <w:shd w:val="clear" w:color="auto" w:fill="auto"/>
          </w:tcPr>
          <w:p w14:paraId="73B3A9D0"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-1.766</w:t>
            </w:r>
          </w:p>
        </w:tc>
        <w:tc>
          <w:tcPr>
            <w:tcW w:w="1322" w:type="dxa"/>
            <w:tcBorders>
              <w:top w:val="single" w:sz="8" w:space="0" w:color="AEAEAE"/>
              <w:left w:val="single" w:sz="8" w:space="0" w:color="E0E0E0"/>
              <w:bottom w:val="single" w:sz="8" w:space="0" w:color="AEAEAE"/>
              <w:right w:val="single" w:sz="8" w:space="0" w:color="E0E0E0"/>
            </w:tcBorders>
            <w:shd w:val="clear" w:color="auto" w:fill="auto"/>
          </w:tcPr>
          <w:p w14:paraId="4E868287"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-.139</w:t>
            </w:r>
          </w:p>
        </w:tc>
        <w:tc>
          <w:tcPr>
            <w:tcW w:w="1029" w:type="dxa"/>
            <w:tcBorders>
              <w:top w:val="single" w:sz="8" w:space="0" w:color="AEAEAE"/>
              <w:left w:val="single" w:sz="8" w:space="0" w:color="E0E0E0"/>
              <w:bottom w:val="single" w:sz="8" w:space="0" w:color="AEAEAE"/>
              <w:right w:val="single" w:sz="8" w:space="0" w:color="E0E0E0"/>
            </w:tcBorders>
            <w:shd w:val="clear" w:color="auto" w:fill="auto"/>
          </w:tcPr>
          <w:p w14:paraId="194A5986"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.000</w:t>
            </w:r>
          </w:p>
        </w:tc>
        <w:tc>
          <w:tcPr>
            <w:tcW w:w="1475" w:type="dxa"/>
            <w:tcBorders>
              <w:top w:val="single" w:sz="8" w:space="0" w:color="AEAEAE"/>
              <w:left w:val="single" w:sz="8" w:space="0" w:color="E0E0E0"/>
              <w:bottom w:val="single" w:sz="8" w:space="0" w:color="AEAEAE"/>
              <w:right w:val="nil"/>
            </w:tcBorders>
            <w:shd w:val="clear" w:color="auto" w:fill="auto"/>
          </w:tcPr>
          <w:p w14:paraId="54593369"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-.022</w:t>
            </w:r>
          </w:p>
        </w:tc>
      </w:tr>
      <w:tr w:rsidR="00E73D9F" w:rsidRPr="00230DA3" w14:paraId="45E853FC" w14:textId="77777777" w:rsidTr="00230DA3">
        <w:trPr>
          <w:cantSplit/>
          <w:jc w:val="center"/>
        </w:trPr>
        <w:tc>
          <w:tcPr>
            <w:tcW w:w="830" w:type="dxa"/>
            <w:vMerge/>
            <w:tcBorders>
              <w:top w:val="single" w:sz="8" w:space="0" w:color="152935"/>
              <w:left w:val="nil"/>
              <w:bottom w:val="single" w:sz="8" w:space="0" w:color="152935"/>
              <w:right w:val="nil"/>
            </w:tcBorders>
            <w:shd w:val="clear" w:color="auto" w:fill="auto"/>
          </w:tcPr>
          <w:p w14:paraId="52DBD2CE" w14:textId="77777777" w:rsidR="008E6DD7" w:rsidRPr="00230DA3" w:rsidRDefault="008E6DD7" w:rsidP="00765CC8">
            <w:pPr>
              <w:autoSpaceDE w:val="0"/>
              <w:autoSpaceDN w:val="0"/>
              <w:adjustRightInd w:val="0"/>
              <w:spacing w:after="0" w:line="240" w:lineRule="auto"/>
              <w:rPr>
                <w:rFonts w:ascii="Cambria" w:hAnsi="Cambria" w:cs="Arial"/>
                <w:color w:val="010205"/>
                <w:sz w:val="21"/>
                <w:szCs w:val="21"/>
              </w:rPr>
            </w:pPr>
          </w:p>
        </w:tc>
        <w:tc>
          <w:tcPr>
            <w:tcW w:w="737" w:type="dxa"/>
            <w:tcBorders>
              <w:top w:val="single" w:sz="8" w:space="0" w:color="AEAEAE"/>
              <w:left w:val="nil"/>
              <w:bottom w:val="single" w:sz="8" w:space="0" w:color="AEAEAE"/>
              <w:right w:val="nil"/>
            </w:tcBorders>
            <w:shd w:val="clear" w:color="auto" w:fill="auto"/>
          </w:tcPr>
          <w:p w14:paraId="563319C0" w14:textId="77777777" w:rsidR="00F04CEF" w:rsidRPr="00230DA3" w:rsidRDefault="000F4100">
            <w:pPr>
              <w:autoSpaceDE w:val="0"/>
              <w:autoSpaceDN w:val="0"/>
              <w:adjustRightInd w:val="0"/>
              <w:spacing w:after="0" w:line="240" w:lineRule="auto"/>
              <w:ind w:left="60" w:right="60"/>
              <w:rPr>
                <w:rFonts w:ascii="Cambria" w:hAnsi="Cambria" w:cs="Arial"/>
                <w:color w:val="264A60"/>
                <w:sz w:val="21"/>
                <w:szCs w:val="21"/>
              </w:rPr>
            </w:pPr>
            <w:r w:rsidRPr="00230DA3">
              <w:rPr>
                <w:rFonts w:ascii="Cambria" w:hAnsi="Cambria" w:cs="Arial"/>
                <w:color w:val="264A60"/>
                <w:sz w:val="21"/>
                <w:szCs w:val="21"/>
              </w:rPr>
              <w:t>5</w:t>
            </w:r>
          </w:p>
        </w:tc>
        <w:tc>
          <w:tcPr>
            <w:tcW w:w="1475" w:type="dxa"/>
            <w:tcBorders>
              <w:top w:val="single" w:sz="8" w:space="0" w:color="AEAEAE"/>
              <w:left w:val="nil"/>
              <w:bottom w:val="single" w:sz="8" w:space="0" w:color="AEAEAE"/>
              <w:right w:val="single" w:sz="8" w:space="0" w:color="E0E0E0"/>
            </w:tcBorders>
            <w:shd w:val="clear" w:color="auto" w:fill="auto"/>
          </w:tcPr>
          <w:p w14:paraId="016FD0B1"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156.385</w:t>
            </w:r>
          </w:p>
        </w:tc>
        <w:tc>
          <w:tcPr>
            <w:tcW w:w="1060" w:type="dxa"/>
            <w:tcBorders>
              <w:top w:val="single" w:sz="8" w:space="0" w:color="AEAEAE"/>
              <w:left w:val="single" w:sz="8" w:space="0" w:color="E0E0E0"/>
              <w:bottom w:val="single" w:sz="8" w:space="0" w:color="AEAEAE"/>
              <w:right w:val="single" w:sz="8" w:space="0" w:color="E0E0E0"/>
            </w:tcBorders>
            <w:shd w:val="clear" w:color="auto" w:fill="auto"/>
          </w:tcPr>
          <w:p w14:paraId="39A5C608"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-1.769</w:t>
            </w:r>
          </w:p>
        </w:tc>
        <w:tc>
          <w:tcPr>
            <w:tcW w:w="1322" w:type="dxa"/>
            <w:tcBorders>
              <w:top w:val="single" w:sz="8" w:space="0" w:color="AEAEAE"/>
              <w:left w:val="single" w:sz="8" w:space="0" w:color="E0E0E0"/>
              <w:bottom w:val="single" w:sz="8" w:space="0" w:color="AEAEAE"/>
              <w:right w:val="single" w:sz="8" w:space="0" w:color="E0E0E0"/>
            </w:tcBorders>
            <w:shd w:val="clear" w:color="auto" w:fill="auto"/>
          </w:tcPr>
          <w:p w14:paraId="27AAEF6F"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 xml:space="preserve"> -.142</w:t>
            </w:r>
          </w:p>
        </w:tc>
        <w:tc>
          <w:tcPr>
            <w:tcW w:w="1029" w:type="dxa"/>
            <w:tcBorders>
              <w:top w:val="single" w:sz="8" w:space="0" w:color="AEAEAE"/>
              <w:left w:val="single" w:sz="8" w:space="0" w:color="E0E0E0"/>
              <w:bottom w:val="single" w:sz="8" w:space="0" w:color="AEAEAE"/>
              <w:right w:val="single" w:sz="8" w:space="0" w:color="E0E0E0"/>
            </w:tcBorders>
            <w:shd w:val="clear" w:color="auto" w:fill="auto"/>
          </w:tcPr>
          <w:p w14:paraId="63B0420D"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.000</w:t>
            </w:r>
          </w:p>
        </w:tc>
        <w:tc>
          <w:tcPr>
            <w:tcW w:w="1475" w:type="dxa"/>
            <w:tcBorders>
              <w:top w:val="single" w:sz="8" w:space="0" w:color="AEAEAE"/>
              <w:left w:val="single" w:sz="8" w:space="0" w:color="E0E0E0"/>
              <w:bottom w:val="single" w:sz="8" w:space="0" w:color="AEAEAE"/>
              <w:right w:val="nil"/>
            </w:tcBorders>
            <w:shd w:val="clear" w:color="auto" w:fill="auto"/>
          </w:tcPr>
          <w:p w14:paraId="7BE2C68F"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-.022</w:t>
            </w:r>
          </w:p>
        </w:tc>
      </w:tr>
      <w:tr w:rsidR="00E73D9F" w:rsidRPr="00230DA3" w14:paraId="03734922" w14:textId="77777777" w:rsidTr="00230DA3">
        <w:trPr>
          <w:cantSplit/>
          <w:jc w:val="center"/>
        </w:trPr>
        <w:tc>
          <w:tcPr>
            <w:tcW w:w="830" w:type="dxa"/>
            <w:vMerge/>
            <w:tcBorders>
              <w:top w:val="single" w:sz="8" w:space="0" w:color="152935"/>
              <w:left w:val="nil"/>
              <w:bottom w:val="single" w:sz="8" w:space="0" w:color="152935"/>
              <w:right w:val="nil"/>
            </w:tcBorders>
            <w:shd w:val="clear" w:color="auto" w:fill="auto"/>
          </w:tcPr>
          <w:p w14:paraId="7CEAC415" w14:textId="77777777" w:rsidR="008E6DD7" w:rsidRPr="00230DA3" w:rsidRDefault="008E6DD7" w:rsidP="00765CC8">
            <w:pPr>
              <w:autoSpaceDE w:val="0"/>
              <w:autoSpaceDN w:val="0"/>
              <w:adjustRightInd w:val="0"/>
              <w:spacing w:after="0" w:line="240" w:lineRule="auto"/>
              <w:rPr>
                <w:rFonts w:ascii="Cambria" w:hAnsi="Cambria" w:cs="Arial"/>
                <w:color w:val="010205"/>
                <w:sz w:val="21"/>
                <w:szCs w:val="21"/>
              </w:rPr>
            </w:pPr>
          </w:p>
        </w:tc>
        <w:tc>
          <w:tcPr>
            <w:tcW w:w="737" w:type="dxa"/>
            <w:tcBorders>
              <w:top w:val="single" w:sz="8" w:space="0" w:color="AEAEAE"/>
              <w:left w:val="nil"/>
              <w:bottom w:val="single" w:sz="8" w:space="0" w:color="152935"/>
              <w:right w:val="nil"/>
            </w:tcBorders>
            <w:shd w:val="clear" w:color="auto" w:fill="auto"/>
          </w:tcPr>
          <w:p w14:paraId="55715C27" w14:textId="77777777" w:rsidR="00F04CEF" w:rsidRPr="00230DA3" w:rsidRDefault="000F4100">
            <w:pPr>
              <w:autoSpaceDE w:val="0"/>
              <w:autoSpaceDN w:val="0"/>
              <w:adjustRightInd w:val="0"/>
              <w:spacing w:after="0" w:line="240" w:lineRule="auto"/>
              <w:ind w:left="60" w:right="60"/>
              <w:rPr>
                <w:rFonts w:ascii="Cambria" w:hAnsi="Cambria" w:cs="Arial"/>
                <w:color w:val="264A60"/>
                <w:sz w:val="21"/>
                <w:szCs w:val="21"/>
              </w:rPr>
            </w:pPr>
            <w:r w:rsidRPr="00230DA3">
              <w:rPr>
                <w:rFonts w:ascii="Cambria" w:hAnsi="Cambria" w:cs="Arial"/>
                <w:color w:val="264A60"/>
                <w:sz w:val="21"/>
                <w:szCs w:val="21"/>
              </w:rPr>
              <w:t>6</w:t>
            </w:r>
          </w:p>
        </w:tc>
        <w:tc>
          <w:tcPr>
            <w:tcW w:w="1475" w:type="dxa"/>
            <w:tcBorders>
              <w:top w:val="single" w:sz="8" w:space="0" w:color="AEAEAE"/>
              <w:left w:val="nil"/>
              <w:bottom w:val="single" w:sz="8" w:space="0" w:color="152935"/>
              <w:right w:val="single" w:sz="8" w:space="0" w:color="E0E0E0"/>
            </w:tcBorders>
            <w:shd w:val="clear" w:color="auto" w:fill="auto"/>
          </w:tcPr>
          <w:p w14:paraId="78E92E30"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156.385</w:t>
            </w:r>
          </w:p>
        </w:tc>
        <w:tc>
          <w:tcPr>
            <w:tcW w:w="1060" w:type="dxa"/>
            <w:tcBorders>
              <w:top w:val="single" w:sz="8" w:space="0" w:color="AEAEAE"/>
              <w:left w:val="single" w:sz="8" w:space="0" w:color="E0E0E0"/>
              <w:bottom w:val="single" w:sz="8" w:space="0" w:color="152935"/>
              <w:right w:val="single" w:sz="8" w:space="0" w:color="E0E0E0"/>
            </w:tcBorders>
            <w:shd w:val="clear" w:color="auto" w:fill="auto"/>
          </w:tcPr>
          <w:p w14:paraId="249DE877"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-1.769</w:t>
            </w:r>
          </w:p>
        </w:tc>
        <w:tc>
          <w:tcPr>
            <w:tcW w:w="1322" w:type="dxa"/>
            <w:tcBorders>
              <w:top w:val="single" w:sz="8" w:space="0" w:color="AEAEAE"/>
              <w:left w:val="single" w:sz="8" w:space="0" w:color="E0E0E0"/>
              <w:bottom w:val="single" w:sz="8" w:space="0" w:color="152935"/>
              <w:right w:val="single" w:sz="8" w:space="0" w:color="E0E0E0"/>
            </w:tcBorders>
            <w:shd w:val="clear" w:color="auto" w:fill="auto"/>
          </w:tcPr>
          <w:p w14:paraId="58EBEEFA"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-.142</w:t>
            </w:r>
          </w:p>
        </w:tc>
        <w:tc>
          <w:tcPr>
            <w:tcW w:w="1029" w:type="dxa"/>
            <w:tcBorders>
              <w:top w:val="single" w:sz="8" w:space="0" w:color="AEAEAE"/>
              <w:left w:val="single" w:sz="8" w:space="0" w:color="E0E0E0"/>
              <w:bottom w:val="single" w:sz="8" w:space="0" w:color="152935"/>
              <w:right w:val="single" w:sz="8" w:space="0" w:color="E0E0E0"/>
            </w:tcBorders>
            <w:shd w:val="clear" w:color="auto" w:fill="auto"/>
          </w:tcPr>
          <w:p w14:paraId="6E3BCD2D"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.000</w:t>
            </w:r>
          </w:p>
        </w:tc>
        <w:tc>
          <w:tcPr>
            <w:tcW w:w="1475" w:type="dxa"/>
            <w:tcBorders>
              <w:top w:val="single" w:sz="8" w:space="0" w:color="AEAEAE"/>
              <w:left w:val="single" w:sz="8" w:space="0" w:color="E0E0E0"/>
              <w:bottom w:val="single" w:sz="8" w:space="0" w:color="152935"/>
              <w:right w:val="nil"/>
            </w:tcBorders>
            <w:shd w:val="clear" w:color="auto" w:fill="auto"/>
          </w:tcPr>
          <w:p w14:paraId="073B27D2" w14:textId="77777777" w:rsidR="00F04CEF" w:rsidRPr="00230DA3" w:rsidRDefault="000F4100">
            <w:pPr>
              <w:autoSpaceDE w:val="0"/>
              <w:autoSpaceDN w:val="0"/>
              <w:adjustRightInd w:val="0"/>
              <w:spacing w:after="0" w:line="240" w:lineRule="auto"/>
              <w:ind w:left="60" w:right="60"/>
              <w:jc w:val="right"/>
              <w:rPr>
                <w:rFonts w:ascii="Cambria" w:hAnsi="Cambria" w:cs="Arial"/>
                <w:color w:val="010205"/>
                <w:sz w:val="21"/>
                <w:szCs w:val="21"/>
              </w:rPr>
            </w:pPr>
            <w:r w:rsidRPr="00230DA3">
              <w:rPr>
                <w:rFonts w:ascii="Cambria" w:hAnsi="Cambria" w:cs="Arial"/>
                <w:color w:val="010205"/>
                <w:sz w:val="21"/>
                <w:szCs w:val="21"/>
              </w:rPr>
              <w:t>-.022</w:t>
            </w:r>
          </w:p>
        </w:tc>
      </w:tr>
      <w:tr w:rsidR="00E73D9F" w:rsidRPr="00230DA3" w14:paraId="5C9F18AA" w14:textId="77777777" w:rsidTr="00230DA3">
        <w:trPr>
          <w:cantSplit/>
          <w:jc w:val="center"/>
        </w:trPr>
        <w:tc>
          <w:tcPr>
            <w:tcW w:w="7928" w:type="dxa"/>
            <w:gridSpan w:val="7"/>
            <w:tcBorders>
              <w:top w:val="nil"/>
              <w:left w:val="nil"/>
              <w:bottom w:val="nil"/>
              <w:right w:val="nil"/>
            </w:tcBorders>
            <w:shd w:val="clear" w:color="auto" w:fill="auto"/>
          </w:tcPr>
          <w:p w14:paraId="78C94669" w14:textId="77777777" w:rsidR="00F04CEF" w:rsidRPr="00230DA3" w:rsidRDefault="000F4100">
            <w:pPr>
              <w:autoSpaceDE w:val="0"/>
              <w:autoSpaceDN w:val="0"/>
              <w:adjustRightInd w:val="0"/>
              <w:spacing w:after="0" w:line="240" w:lineRule="auto"/>
              <w:ind w:left="60" w:right="60"/>
              <w:rPr>
                <w:rFonts w:ascii="Cambria" w:hAnsi="Cambria" w:cs="Arial"/>
                <w:color w:val="010205"/>
                <w:sz w:val="21"/>
                <w:szCs w:val="21"/>
              </w:rPr>
            </w:pPr>
            <w:r w:rsidRPr="00230DA3">
              <w:rPr>
                <w:rFonts w:ascii="Cambria" w:hAnsi="Cambria" w:cs="Arial"/>
                <w:color w:val="010205"/>
                <w:sz w:val="21"/>
                <w:szCs w:val="21"/>
              </w:rPr>
              <w:t>a. Method: Enter</w:t>
            </w:r>
          </w:p>
        </w:tc>
      </w:tr>
      <w:tr w:rsidR="00E73D9F" w:rsidRPr="00230DA3" w14:paraId="3D90C36D" w14:textId="77777777" w:rsidTr="00230DA3">
        <w:trPr>
          <w:cantSplit/>
          <w:jc w:val="center"/>
        </w:trPr>
        <w:tc>
          <w:tcPr>
            <w:tcW w:w="7928" w:type="dxa"/>
            <w:gridSpan w:val="7"/>
            <w:tcBorders>
              <w:top w:val="nil"/>
              <w:left w:val="nil"/>
              <w:bottom w:val="nil"/>
              <w:right w:val="nil"/>
            </w:tcBorders>
            <w:shd w:val="clear" w:color="auto" w:fill="auto"/>
          </w:tcPr>
          <w:p w14:paraId="5E820899" w14:textId="77777777" w:rsidR="00F04CEF" w:rsidRPr="00230DA3" w:rsidRDefault="000F4100">
            <w:pPr>
              <w:autoSpaceDE w:val="0"/>
              <w:autoSpaceDN w:val="0"/>
              <w:adjustRightInd w:val="0"/>
              <w:spacing w:after="0" w:line="240" w:lineRule="auto"/>
              <w:ind w:left="60" w:right="60"/>
              <w:rPr>
                <w:rFonts w:ascii="Cambria" w:hAnsi="Cambria" w:cs="Arial"/>
                <w:color w:val="010205"/>
                <w:sz w:val="21"/>
                <w:szCs w:val="21"/>
              </w:rPr>
            </w:pPr>
            <w:proofErr w:type="gramStart"/>
            <w:r w:rsidRPr="00230DA3">
              <w:rPr>
                <w:rFonts w:ascii="Cambria" w:hAnsi="Cambria" w:cs="Arial"/>
                <w:color w:val="010205"/>
                <w:sz w:val="21"/>
                <w:szCs w:val="21"/>
              </w:rPr>
              <w:t>b</w:t>
            </w:r>
            <w:proofErr w:type="gramEnd"/>
            <w:r w:rsidRPr="00230DA3">
              <w:rPr>
                <w:rFonts w:ascii="Cambria" w:hAnsi="Cambria" w:cs="Arial"/>
                <w:color w:val="010205"/>
                <w:sz w:val="21"/>
                <w:szCs w:val="21"/>
              </w:rPr>
              <w:t>. Constant is included in the model.</w:t>
            </w:r>
          </w:p>
        </w:tc>
      </w:tr>
      <w:tr w:rsidR="00E73D9F" w:rsidRPr="00230DA3" w14:paraId="7EF57579" w14:textId="77777777" w:rsidTr="00230DA3">
        <w:trPr>
          <w:cantSplit/>
          <w:jc w:val="center"/>
        </w:trPr>
        <w:tc>
          <w:tcPr>
            <w:tcW w:w="7928" w:type="dxa"/>
            <w:gridSpan w:val="7"/>
            <w:tcBorders>
              <w:top w:val="nil"/>
              <w:left w:val="nil"/>
              <w:bottom w:val="nil"/>
              <w:right w:val="nil"/>
            </w:tcBorders>
            <w:shd w:val="clear" w:color="auto" w:fill="auto"/>
          </w:tcPr>
          <w:p w14:paraId="75A61160" w14:textId="77777777" w:rsidR="00F04CEF" w:rsidRPr="00230DA3" w:rsidRDefault="000F4100">
            <w:pPr>
              <w:autoSpaceDE w:val="0"/>
              <w:autoSpaceDN w:val="0"/>
              <w:adjustRightInd w:val="0"/>
              <w:spacing w:after="0" w:line="240" w:lineRule="auto"/>
              <w:ind w:left="60" w:right="60"/>
              <w:rPr>
                <w:rFonts w:ascii="Cambria" w:hAnsi="Cambria" w:cs="Arial"/>
                <w:color w:val="010205"/>
                <w:sz w:val="21"/>
                <w:szCs w:val="21"/>
              </w:rPr>
            </w:pPr>
            <w:r w:rsidRPr="00230DA3">
              <w:rPr>
                <w:rFonts w:ascii="Cambria" w:hAnsi="Cambria" w:cs="Arial"/>
                <w:color w:val="010205"/>
                <w:sz w:val="21"/>
                <w:szCs w:val="21"/>
              </w:rPr>
              <w:t>c. Initial -2 Log-Likelihood: 212.308</w:t>
            </w:r>
          </w:p>
        </w:tc>
      </w:tr>
      <w:tr w:rsidR="00E73D9F" w:rsidRPr="00230DA3" w14:paraId="47489977" w14:textId="77777777" w:rsidTr="00230DA3">
        <w:trPr>
          <w:cantSplit/>
          <w:jc w:val="center"/>
        </w:trPr>
        <w:tc>
          <w:tcPr>
            <w:tcW w:w="7928" w:type="dxa"/>
            <w:gridSpan w:val="7"/>
            <w:tcBorders>
              <w:top w:val="nil"/>
              <w:left w:val="nil"/>
              <w:bottom w:val="nil"/>
              <w:right w:val="nil"/>
            </w:tcBorders>
            <w:shd w:val="clear" w:color="auto" w:fill="auto"/>
          </w:tcPr>
          <w:p w14:paraId="29A8AEDA" w14:textId="77777777" w:rsidR="00F04CEF" w:rsidRPr="00230DA3" w:rsidRDefault="000F4100">
            <w:pPr>
              <w:autoSpaceDE w:val="0"/>
              <w:autoSpaceDN w:val="0"/>
              <w:adjustRightInd w:val="0"/>
              <w:spacing w:after="0" w:line="240" w:lineRule="auto"/>
              <w:ind w:left="60" w:right="60"/>
              <w:rPr>
                <w:rFonts w:ascii="Cambria" w:hAnsi="Cambria" w:cs="Arial"/>
                <w:color w:val="010205"/>
                <w:sz w:val="21"/>
                <w:szCs w:val="21"/>
              </w:rPr>
            </w:pPr>
            <w:r w:rsidRPr="00230DA3">
              <w:rPr>
                <w:rFonts w:ascii="Cambria" w:hAnsi="Cambria" w:cs="Arial"/>
                <w:color w:val="010205"/>
                <w:sz w:val="21"/>
                <w:szCs w:val="21"/>
              </w:rPr>
              <w:t>d. Estimation terminated at iteration number 6 because parameter estimates changed by less than .001.</w:t>
            </w:r>
          </w:p>
        </w:tc>
      </w:tr>
    </w:tbl>
    <w:p w14:paraId="785C9B75" w14:textId="77777777" w:rsidR="00230DA3" w:rsidRDefault="00230DA3" w:rsidP="00230DA3">
      <w:pPr>
        <w:spacing w:after="0" w:line="240" w:lineRule="auto"/>
        <w:jc w:val="both"/>
        <w:rPr>
          <w:rFonts w:ascii="Times New Roman" w:hAnsi="Times New Roman" w:cs="Times New Roman"/>
          <w:i/>
          <w:sz w:val="24"/>
          <w:szCs w:val="24"/>
        </w:rPr>
      </w:pPr>
    </w:p>
    <w:p w14:paraId="3D82BCEC" w14:textId="3826CE88" w:rsidR="00F04CEF" w:rsidRDefault="000F4100" w:rsidP="00230DA3">
      <w:pPr>
        <w:spacing w:after="0" w:line="240" w:lineRule="auto"/>
        <w:ind w:firstLine="567"/>
        <w:jc w:val="both"/>
        <w:rPr>
          <w:rFonts w:ascii="Cambria" w:hAnsi="Cambria" w:cs="Times New Roman"/>
          <w:color w:val="010205"/>
          <w:sz w:val="21"/>
          <w:szCs w:val="21"/>
        </w:rPr>
      </w:pPr>
      <w:r w:rsidRPr="00765CC8">
        <w:rPr>
          <w:rFonts w:ascii="Cambria" w:hAnsi="Cambria" w:cs="Times New Roman"/>
          <w:color w:val="010205"/>
          <w:sz w:val="21"/>
          <w:szCs w:val="21"/>
        </w:rPr>
        <w:t xml:space="preserve">Table </w:t>
      </w:r>
      <w:r w:rsidR="00025234">
        <w:rPr>
          <w:rFonts w:ascii="Cambria" w:hAnsi="Cambria" w:cs="Times New Roman"/>
          <w:color w:val="010205"/>
          <w:sz w:val="21"/>
          <w:szCs w:val="21"/>
        </w:rPr>
        <w:t>4</w:t>
      </w:r>
      <w:r w:rsidR="008E6DD7" w:rsidRPr="00765CC8">
        <w:rPr>
          <w:rFonts w:ascii="Cambria" w:hAnsi="Cambria" w:cs="Times New Roman"/>
          <w:color w:val="010205"/>
          <w:sz w:val="21"/>
          <w:szCs w:val="21"/>
        </w:rPr>
        <w:t xml:space="preserve"> shows that the initial </w:t>
      </w:r>
      <w:r w:rsidR="008E6DD7" w:rsidRPr="00765CC8">
        <w:rPr>
          <w:rFonts w:ascii="Cambria" w:hAnsi="Cambria" w:cs="Times New Roman"/>
          <w:i/>
          <w:color w:val="010205"/>
          <w:sz w:val="21"/>
          <w:szCs w:val="21"/>
        </w:rPr>
        <w:t xml:space="preserve">-2Log Likelihood (Block Number </w:t>
      </w:r>
      <w:r w:rsidR="008E6DD7" w:rsidRPr="00765CC8">
        <w:rPr>
          <w:rFonts w:ascii="Cambria" w:hAnsi="Cambria" w:cs="Times New Roman"/>
          <w:color w:val="010205"/>
          <w:sz w:val="21"/>
          <w:szCs w:val="21"/>
        </w:rPr>
        <w:t xml:space="preserve">0) has a value of 215.132, and in Table </w:t>
      </w:r>
      <w:r w:rsidR="00025234">
        <w:rPr>
          <w:rFonts w:ascii="Cambria" w:hAnsi="Cambria" w:cs="Times New Roman"/>
          <w:color w:val="010205"/>
          <w:sz w:val="21"/>
          <w:szCs w:val="21"/>
        </w:rPr>
        <w:t>5</w:t>
      </w:r>
      <w:r w:rsidR="008E6DD7" w:rsidRPr="00765CC8">
        <w:rPr>
          <w:rFonts w:ascii="Cambria" w:hAnsi="Cambria" w:cs="Times New Roman"/>
          <w:color w:val="010205"/>
          <w:sz w:val="21"/>
          <w:szCs w:val="21"/>
        </w:rPr>
        <w:t>, the final -2 Log likelihood value (</w:t>
      </w:r>
      <w:r w:rsidR="008E6DD7" w:rsidRPr="00765CC8">
        <w:rPr>
          <w:rFonts w:ascii="Cambria" w:hAnsi="Cambria" w:cs="Times New Roman"/>
          <w:i/>
          <w:color w:val="010205"/>
          <w:sz w:val="21"/>
          <w:szCs w:val="21"/>
        </w:rPr>
        <w:t xml:space="preserve">Block Number </w:t>
      </w:r>
      <w:r w:rsidR="008E6DD7" w:rsidRPr="00765CC8">
        <w:rPr>
          <w:rFonts w:ascii="Cambria" w:hAnsi="Cambria" w:cs="Times New Roman"/>
          <w:color w:val="010205"/>
          <w:sz w:val="21"/>
          <w:szCs w:val="21"/>
        </w:rPr>
        <w:t>1) has a value of 179.929</w:t>
      </w:r>
      <w:r w:rsidR="002A0F60">
        <w:rPr>
          <w:rFonts w:ascii="Cambria" w:hAnsi="Cambria" w:cs="Times New Roman"/>
          <w:color w:val="010205"/>
          <w:sz w:val="21"/>
          <w:szCs w:val="21"/>
        </w:rPr>
        <w:t>.</w:t>
      </w:r>
      <w:r w:rsidR="008E6DD7" w:rsidRPr="00765CC8">
        <w:rPr>
          <w:rFonts w:ascii="Cambria" w:hAnsi="Cambria" w:cs="Times New Roman"/>
          <w:color w:val="010205"/>
          <w:sz w:val="21"/>
          <w:szCs w:val="21"/>
        </w:rPr>
        <w:t xml:space="preserve"> </w:t>
      </w:r>
      <w:r w:rsidR="002A0F60">
        <w:rPr>
          <w:rFonts w:ascii="Cambria" w:hAnsi="Cambria" w:cs="Times New Roman"/>
          <w:color w:val="010205"/>
          <w:sz w:val="21"/>
          <w:szCs w:val="21"/>
        </w:rPr>
        <w:t>F</w:t>
      </w:r>
      <w:r w:rsidR="008E6DD7" w:rsidRPr="00765CC8">
        <w:rPr>
          <w:rFonts w:ascii="Cambria" w:hAnsi="Cambria" w:cs="Times New Roman"/>
          <w:color w:val="010205"/>
          <w:sz w:val="21"/>
          <w:szCs w:val="21"/>
        </w:rPr>
        <w:t>rom these two results</w:t>
      </w:r>
      <w:r w:rsidR="002A0F60">
        <w:rPr>
          <w:rFonts w:ascii="Cambria" w:hAnsi="Cambria" w:cs="Times New Roman"/>
          <w:color w:val="010205"/>
          <w:sz w:val="21"/>
          <w:szCs w:val="21"/>
        </w:rPr>
        <w:t xml:space="preserve">, </w:t>
      </w:r>
      <w:r w:rsidR="008E6DD7" w:rsidRPr="00765CC8">
        <w:rPr>
          <w:rFonts w:ascii="Cambria" w:hAnsi="Cambria" w:cs="Times New Roman"/>
          <w:color w:val="010205"/>
          <w:sz w:val="21"/>
          <w:szCs w:val="21"/>
        </w:rPr>
        <w:t xml:space="preserve">it can be concluded that there is a decrease in the -2 </w:t>
      </w:r>
      <w:r w:rsidR="008E6DD7" w:rsidRPr="00765CC8">
        <w:rPr>
          <w:rFonts w:ascii="Cambria" w:hAnsi="Cambria" w:cs="Times New Roman"/>
          <w:i/>
          <w:color w:val="010205"/>
          <w:sz w:val="21"/>
          <w:szCs w:val="21"/>
        </w:rPr>
        <w:t xml:space="preserve">Log likelihood </w:t>
      </w:r>
      <w:r w:rsidR="008E6DD7" w:rsidRPr="00765CC8">
        <w:rPr>
          <w:rFonts w:ascii="Cambria" w:hAnsi="Cambria" w:cs="Times New Roman"/>
          <w:color w:val="010205"/>
          <w:sz w:val="21"/>
          <w:szCs w:val="21"/>
        </w:rPr>
        <w:t xml:space="preserve">value. The reduction in the value between the initial </w:t>
      </w:r>
      <w:r w:rsidR="008E6DD7" w:rsidRPr="00765CC8">
        <w:rPr>
          <w:rFonts w:ascii="Cambria" w:hAnsi="Cambria" w:cs="Times New Roman"/>
          <w:i/>
          <w:color w:val="010205"/>
          <w:sz w:val="21"/>
          <w:szCs w:val="21"/>
        </w:rPr>
        <w:t xml:space="preserve">-2Log likelihood </w:t>
      </w:r>
      <w:r w:rsidR="008E6DD7" w:rsidRPr="00765CC8">
        <w:rPr>
          <w:rFonts w:ascii="Cambria" w:hAnsi="Cambria" w:cs="Times New Roman"/>
          <w:color w:val="010205"/>
          <w:sz w:val="21"/>
          <w:szCs w:val="21"/>
        </w:rPr>
        <w:t xml:space="preserve">and the final -2 Log </w:t>
      </w:r>
      <w:r w:rsidR="008E6DD7" w:rsidRPr="00765CC8">
        <w:rPr>
          <w:rFonts w:ascii="Cambria" w:hAnsi="Cambria" w:cs="Times New Roman"/>
          <w:i/>
          <w:color w:val="010205"/>
          <w:sz w:val="21"/>
          <w:szCs w:val="21"/>
        </w:rPr>
        <w:t xml:space="preserve">Likelihood </w:t>
      </w:r>
      <w:r w:rsidR="008E6DD7" w:rsidRPr="00765CC8">
        <w:rPr>
          <w:rFonts w:ascii="Cambria" w:hAnsi="Cambria" w:cs="Times New Roman"/>
          <w:color w:val="010205"/>
          <w:sz w:val="21"/>
          <w:szCs w:val="21"/>
        </w:rPr>
        <w:t>shows that this study has a good regression model. Thus</w:t>
      </w:r>
      <w:r w:rsidR="002A0F60">
        <w:rPr>
          <w:rFonts w:ascii="Cambria" w:hAnsi="Cambria" w:cs="Times New Roman"/>
          <w:color w:val="010205"/>
          <w:sz w:val="21"/>
          <w:szCs w:val="21"/>
        </w:rPr>
        <w:t>,</w:t>
      </w:r>
      <w:r w:rsidR="008E6DD7" w:rsidRPr="00765CC8">
        <w:rPr>
          <w:rFonts w:ascii="Cambria" w:hAnsi="Cambria" w:cs="Times New Roman"/>
          <w:color w:val="010205"/>
          <w:sz w:val="21"/>
          <w:szCs w:val="21"/>
        </w:rPr>
        <w:t xml:space="preserve"> H</w:t>
      </w:r>
      <w:r w:rsidR="008E6DD7" w:rsidRPr="00765CC8">
        <w:rPr>
          <w:rFonts w:ascii="Cambria" w:hAnsi="Cambria" w:cs="Times New Roman"/>
          <w:color w:val="010205"/>
          <w:sz w:val="21"/>
          <w:szCs w:val="21"/>
          <w:vertAlign w:val="subscript"/>
        </w:rPr>
        <w:t>0</w:t>
      </w:r>
      <w:r w:rsidR="008E6DD7" w:rsidRPr="00765CC8">
        <w:rPr>
          <w:rFonts w:ascii="Cambria" w:hAnsi="Cambria" w:cs="Times New Roman"/>
          <w:color w:val="010205"/>
          <w:sz w:val="21"/>
          <w:szCs w:val="21"/>
        </w:rPr>
        <w:t xml:space="preserve"> is accepted, so the hypothesized model fits the data.</w:t>
      </w:r>
    </w:p>
    <w:p w14:paraId="13C4C8E0" w14:textId="77777777" w:rsidR="00230DA3" w:rsidRDefault="00230DA3">
      <w:pPr>
        <w:autoSpaceDE w:val="0"/>
        <w:autoSpaceDN w:val="0"/>
        <w:adjustRightInd w:val="0"/>
        <w:spacing w:after="0" w:line="240" w:lineRule="auto"/>
        <w:contextualSpacing/>
        <w:rPr>
          <w:rFonts w:ascii="Cambria" w:hAnsi="Cambria" w:cs="Times New Roman"/>
          <w:color w:val="010205"/>
          <w:sz w:val="21"/>
          <w:szCs w:val="21"/>
        </w:rPr>
      </w:pPr>
    </w:p>
    <w:p w14:paraId="5B968FEF" w14:textId="77777777" w:rsidR="00F04CEF" w:rsidRDefault="000F4100">
      <w:pPr>
        <w:autoSpaceDE w:val="0"/>
        <w:autoSpaceDN w:val="0"/>
        <w:adjustRightInd w:val="0"/>
        <w:spacing w:after="0" w:line="240" w:lineRule="auto"/>
        <w:contextualSpacing/>
        <w:rPr>
          <w:rFonts w:ascii="Cambria" w:hAnsi="Cambria"/>
          <w:b/>
          <w:sz w:val="21"/>
          <w:szCs w:val="21"/>
        </w:rPr>
      </w:pPr>
      <w:r w:rsidRPr="00765CC8">
        <w:rPr>
          <w:rFonts w:ascii="Cambria" w:hAnsi="Cambria"/>
          <w:b/>
          <w:sz w:val="21"/>
          <w:szCs w:val="21"/>
        </w:rPr>
        <w:t>Coefficient of Determination</w:t>
      </w:r>
    </w:p>
    <w:p w14:paraId="3A1CBABC" w14:textId="77777777" w:rsidR="00F04CEF" w:rsidRDefault="000F4100">
      <w:pPr>
        <w:autoSpaceDE w:val="0"/>
        <w:autoSpaceDN w:val="0"/>
        <w:adjustRightInd w:val="0"/>
        <w:spacing w:line="240" w:lineRule="auto"/>
        <w:jc w:val="both"/>
        <w:rPr>
          <w:rFonts w:ascii="Cambria" w:hAnsi="Cambria" w:cs="Times New Roman"/>
          <w:b/>
          <w:sz w:val="21"/>
          <w:szCs w:val="21"/>
        </w:rPr>
      </w:pPr>
      <w:r w:rsidRPr="00765CC8">
        <w:rPr>
          <w:rFonts w:ascii="Cambria" w:hAnsi="Cambria" w:cs="Times New Roman"/>
          <w:sz w:val="21"/>
          <w:szCs w:val="21"/>
          <w:lang w:eastAsia="en-ID"/>
        </w:rPr>
        <w:t>The coefficient of determination (Nagelkereke R Square) determines how much the independent variable contributes to the dependent variable. The coefficient of determination in logistic regression can be seen in the Nagelkereke R Square value.</w:t>
      </w:r>
    </w:p>
    <w:p w14:paraId="7F5AE61B" w14:textId="77777777" w:rsidR="00230DA3" w:rsidRDefault="00230DA3">
      <w:pPr>
        <w:autoSpaceDE w:val="0"/>
        <w:autoSpaceDN w:val="0"/>
        <w:adjustRightInd w:val="0"/>
        <w:spacing w:after="0" w:line="480" w:lineRule="auto"/>
        <w:jc w:val="center"/>
        <w:rPr>
          <w:rFonts w:ascii="Cambria" w:hAnsi="Cambria" w:cs="Times New Roman"/>
          <w:b/>
          <w:color w:val="FF0000"/>
          <w:sz w:val="20"/>
          <w:szCs w:val="20"/>
        </w:rPr>
      </w:pPr>
    </w:p>
    <w:p w14:paraId="7B34A23F" w14:textId="5D1B25F4" w:rsidR="00F04CEF" w:rsidRPr="00CE13B2" w:rsidRDefault="000F4100" w:rsidP="00CE13B2">
      <w:pPr>
        <w:autoSpaceDE w:val="0"/>
        <w:autoSpaceDN w:val="0"/>
        <w:adjustRightInd w:val="0"/>
        <w:spacing w:after="0" w:line="240" w:lineRule="auto"/>
        <w:jc w:val="center"/>
        <w:rPr>
          <w:rFonts w:ascii="Cambria" w:hAnsi="Cambria" w:cs="Times New Roman"/>
          <w:b/>
          <w:color w:val="000000" w:themeColor="text1"/>
          <w:sz w:val="20"/>
          <w:szCs w:val="20"/>
        </w:rPr>
      </w:pPr>
      <w:proofErr w:type="gramStart"/>
      <w:r w:rsidRPr="00CE13B2">
        <w:rPr>
          <w:rFonts w:ascii="Cambria" w:hAnsi="Cambria" w:cs="Times New Roman"/>
          <w:b/>
          <w:color w:val="000000" w:themeColor="text1"/>
          <w:sz w:val="20"/>
          <w:szCs w:val="20"/>
        </w:rPr>
        <w:lastRenderedPageBreak/>
        <w:t xml:space="preserve">Table </w:t>
      </w:r>
      <w:r w:rsidR="00CE13B2" w:rsidRPr="00CE13B2">
        <w:rPr>
          <w:rFonts w:ascii="Cambria" w:hAnsi="Cambria" w:cs="Times New Roman"/>
          <w:b/>
          <w:color w:val="000000" w:themeColor="text1"/>
          <w:sz w:val="20"/>
          <w:szCs w:val="20"/>
        </w:rPr>
        <w:t>6.</w:t>
      </w:r>
      <w:proofErr w:type="gramEnd"/>
      <w:r w:rsidR="00CE13B2" w:rsidRPr="00CE13B2">
        <w:rPr>
          <w:rFonts w:ascii="Cambria" w:hAnsi="Cambria" w:cs="Times New Roman"/>
          <w:b/>
          <w:color w:val="000000" w:themeColor="text1"/>
          <w:sz w:val="20"/>
          <w:szCs w:val="20"/>
        </w:rPr>
        <w:t xml:space="preserve"> </w:t>
      </w:r>
      <w:r w:rsidR="00025234" w:rsidRPr="00CE13B2">
        <w:rPr>
          <w:rFonts w:ascii="Cambria" w:hAnsi="Cambria" w:cs="Times New Roman"/>
          <w:b/>
          <w:color w:val="000000" w:themeColor="text1"/>
          <w:sz w:val="21"/>
          <w:szCs w:val="21"/>
          <w:lang w:eastAsia="en-ID"/>
        </w:rPr>
        <w:t xml:space="preserve">The </w:t>
      </w:r>
      <w:r w:rsidR="00CE13B2">
        <w:rPr>
          <w:rFonts w:ascii="Cambria" w:hAnsi="Cambria" w:cs="Times New Roman"/>
          <w:b/>
          <w:color w:val="000000" w:themeColor="text1"/>
          <w:sz w:val="21"/>
          <w:szCs w:val="21"/>
          <w:lang w:eastAsia="en-ID"/>
        </w:rPr>
        <w:t>Coefficient o</w:t>
      </w:r>
      <w:r w:rsidR="00CE13B2" w:rsidRPr="00CE13B2">
        <w:rPr>
          <w:rFonts w:ascii="Cambria" w:hAnsi="Cambria" w:cs="Times New Roman"/>
          <w:b/>
          <w:color w:val="000000" w:themeColor="text1"/>
          <w:sz w:val="21"/>
          <w:szCs w:val="21"/>
          <w:lang w:eastAsia="en-ID"/>
        </w:rPr>
        <w:t>f Determination</w:t>
      </w:r>
    </w:p>
    <w:tbl>
      <w:tblPr>
        <w:tblpPr w:leftFromText="180" w:rightFromText="180" w:vertAnchor="text" w:horzAnchor="margin" w:tblpXSpec="right" w:tblpY="2"/>
        <w:tblW w:w="7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0"/>
        <w:gridCol w:w="2145"/>
        <w:gridCol w:w="2145"/>
        <w:gridCol w:w="2145"/>
      </w:tblGrid>
      <w:tr w:rsidR="00CE13B2" w:rsidRPr="00CE13B2" w14:paraId="3EB0AEAB" w14:textId="77777777" w:rsidTr="00CE13B2">
        <w:trPr>
          <w:cantSplit/>
          <w:trHeight w:val="285"/>
        </w:trPr>
        <w:tc>
          <w:tcPr>
            <w:tcW w:w="7505" w:type="dxa"/>
            <w:gridSpan w:val="4"/>
            <w:tcBorders>
              <w:top w:val="single" w:sz="4" w:space="0" w:color="auto"/>
              <w:left w:val="nil"/>
              <w:bottom w:val="single" w:sz="4" w:space="0" w:color="auto"/>
              <w:right w:val="nil"/>
            </w:tcBorders>
            <w:shd w:val="clear" w:color="auto" w:fill="auto"/>
            <w:vAlign w:val="center"/>
          </w:tcPr>
          <w:p w14:paraId="2D4156EE"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b/>
                <w:bCs/>
                <w:color w:val="000000" w:themeColor="text1"/>
                <w:sz w:val="20"/>
                <w:szCs w:val="20"/>
              </w:rPr>
              <w:t>Model Summary</w:t>
            </w:r>
          </w:p>
        </w:tc>
      </w:tr>
      <w:tr w:rsidR="00CE13B2" w:rsidRPr="00CE13B2" w14:paraId="3A5DE8CE" w14:textId="77777777" w:rsidTr="00CE13B2">
        <w:trPr>
          <w:cantSplit/>
          <w:trHeight w:val="138"/>
        </w:trPr>
        <w:tc>
          <w:tcPr>
            <w:tcW w:w="1070" w:type="dxa"/>
            <w:tcBorders>
              <w:top w:val="single" w:sz="4" w:space="0" w:color="auto"/>
              <w:left w:val="nil"/>
              <w:bottom w:val="single" w:sz="8" w:space="0" w:color="152935"/>
              <w:right w:val="nil"/>
            </w:tcBorders>
            <w:shd w:val="clear" w:color="auto" w:fill="auto"/>
            <w:vAlign w:val="bottom"/>
          </w:tcPr>
          <w:p w14:paraId="1B29B788" w14:textId="77777777" w:rsidR="00F04CEF" w:rsidRPr="00CE13B2" w:rsidRDefault="000F4100">
            <w:pPr>
              <w:autoSpaceDE w:val="0"/>
              <w:autoSpaceDN w:val="0"/>
              <w:adjustRightInd w:val="0"/>
              <w:spacing w:after="0" w:line="240" w:lineRule="auto"/>
              <w:ind w:left="60" w:right="60"/>
              <w:rPr>
                <w:rFonts w:ascii="Cambria" w:hAnsi="Cambria" w:cs="Arial"/>
                <w:color w:val="000000" w:themeColor="text1"/>
                <w:sz w:val="20"/>
                <w:szCs w:val="20"/>
              </w:rPr>
            </w:pPr>
            <w:r w:rsidRPr="00CE13B2">
              <w:rPr>
                <w:rFonts w:ascii="Cambria" w:hAnsi="Cambria" w:cs="Arial"/>
                <w:color w:val="000000" w:themeColor="text1"/>
                <w:sz w:val="20"/>
                <w:szCs w:val="20"/>
              </w:rPr>
              <w:t>Step</w:t>
            </w:r>
          </w:p>
        </w:tc>
        <w:tc>
          <w:tcPr>
            <w:tcW w:w="2145" w:type="dxa"/>
            <w:tcBorders>
              <w:top w:val="single" w:sz="4" w:space="0" w:color="auto"/>
              <w:left w:val="nil"/>
              <w:bottom w:val="single" w:sz="8" w:space="0" w:color="152935"/>
              <w:right w:val="single" w:sz="8" w:space="0" w:color="E0E0E0"/>
            </w:tcBorders>
            <w:shd w:val="clear" w:color="auto" w:fill="auto"/>
            <w:vAlign w:val="bottom"/>
          </w:tcPr>
          <w:p w14:paraId="2A7294FB"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color w:val="000000" w:themeColor="text1"/>
                <w:sz w:val="20"/>
                <w:szCs w:val="20"/>
              </w:rPr>
              <w:t>-2 Log likelihood</w:t>
            </w:r>
          </w:p>
        </w:tc>
        <w:tc>
          <w:tcPr>
            <w:tcW w:w="2145" w:type="dxa"/>
            <w:tcBorders>
              <w:top w:val="single" w:sz="4" w:space="0" w:color="auto"/>
              <w:left w:val="single" w:sz="8" w:space="0" w:color="E0E0E0"/>
              <w:bottom w:val="single" w:sz="8" w:space="0" w:color="152935"/>
              <w:right w:val="single" w:sz="8" w:space="0" w:color="E0E0E0"/>
            </w:tcBorders>
            <w:shd w:val="clear" w:color="auto" w:fill="auto"/>
            <w:vAlign w:val="bottom"/>
          </w:tcPr>
          <w:p w14:paraId="08CA19FC"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color w:val="000000" w:themeColor="text1"/>
                <w:sz w:val="20"/>
                <w:szCs w:val="20"/>
              </w:rPr>
              <w:t>Cox &amp; Snell R Square</w:t>
            </w:r>
          </w:p>
        </w:tc>
        <w:tc>
          <w:tcPr>
            <w:tcW w:w="2145" w:type="dxa"/>
            <w:tcBorders>
              <w:top w:val="single" w:sz="4" w:space="0" w:color="auto"/>
              <w:left w:val="single" w:sz="8" w:space="0" w:color="E0E0E0"/>
              <w:bottom w:val="single" w:sz="8" w:space="0" w:color="152935"/>
              <w:right w:val="nil"/>
            </w:tcBorders>
            <w:shd w:val="clear" w:color="auto" w:fill="auto"/>
            <w:vAlign w:val="bottom"/>
          </w:tcPr>
          <w:p w14:paraId="4C537FE2"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color w:val="000000" w:themeColor="text1"/>
                <w:sz w:val="20"/>
                <w:szCs w:val="20"/>
              </w:rPr>
              <w:t>Nagelkerke R Square</w:t>
            </w:r>
          </w:p>
        </w:tc>
      </w:tr>
      <w:tr w:rsidR="00CE13B2" w:rsidRPr="00CE13B2" w14:paraId="25BCFBD0" w14:textId="77777777" w:rsidTr="00CE13B2">
        <w:trPr>
          <w:cantSplit/>
          <w:trHeight w:val="300"/>
        </w:trPr>
        <w:tc>
          <w:tcPr>
            <w:tcW w:w="1070" w:type="dxa"/>
            <w:tcBorders>
              <w:top w:val="single" w:sz="8" w:space="0" w:color="152935"/>
              <w:left w:val="nil"/>
              <w:bottom w:val="single" w:sz="8" w:space="0" w:color="152935"/>
              <w:right w:val="nil"/>
            </w:tcBorders>
            <w:shd w:val="clear" w:color="auto" w:fill="auto"/>
          </w:tcPr>
          <w:p w14:paraId="3FB8E94C" w14:textId="77777777" w:rsidR="00F04CEF" w:rsidRPr="00CE13B2" w:rsidRDefault="000F4100">
            <w:pPr>
              <w:autoSpaceDE w:val="0"/>
              <w:autoSpaceDN w:val="0"/>
              <w:adjustRightInd w:val="0"/>
              <w:spacing w:after="0" w:line="240" w:lineRule="auto"/>
              <w:ind w:left="60" w:right="60"/>
              <w:rPr>
                <w:rFonts w:ascii="Cambria" w:hAnsi="Cambria" w:cs="Arial"/>
                <w:color w:val="000000" w:themeColor="text1"/>
                <w:sz w:val="20"/>
                <w:szCs w:val="20"/>
              </w:rPr>
            </w:pPr>
            <w:r w:rsidRPr="00CE13B2">
              <w:rPr>
                <w:rFonts w:ascii="Cambria" w:hAnsi="Cambria" w:cs="Arial"/>
                <w:color w:val="000000" w:themeColor="text1"/>
                <w:sz w:val="20"/>
                <w:szCs w:val="20"/>
              </w:rPr>
              <w:t>1</w:t>
            </w:r>
          </w:p>
        </w:tc>
        <w:tc>
          <w:tcPr>
            <w:tcW w:w="2145" w:type="dxa"/>
            <w:tcBorders>
              <w:top w:val="single" w:sz="8" w:space="0" w:color="152935"/>
              <w:left w:val="nil"/>
              <w:bottom w:val="single" w:sz="8" w:space="0" w:color="152935"/>
              <w:right w:val="single" w:sz="8" w:space="0" w:color="E0E0E0"/>
            </w:tcBorders>
            <w:shd w:val="clear" w:color="auto" w:fill="auto"/>
          </w:tcPr>
          <w:p w14:paraId="33DAE6DF"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156.385</w:t>
            </w:r>
            <w:r w:rsidRPr="00CE13B2">
              <w:rPr>
                <w:rFonts w:ascii="Cambria" w:hAnsi="Cambria" w:cs="Arial"/>
                <w:color w:val="000000" w:themeColor="text1"/>
                <w:sz w:val="20"/>
                <w:szCs w:val="20"/>
                <w:vertAlign w:val="superscript"/>
              </w:rPr>
              <w:t>a</w:t>
            </w:r>
          </w:p>
        </w:tc>
        <w:tc>
          <w:tcPr>
            <w:tcW w:w="2145" w:type="dxa"/>
            <w:tcBorders>
              <w:top w:val="single" w:sz="8" w:space="0" w:color="152935"/>
              <w:left w:val="single" w:sz="8" w:space="0" w:color="E0E0E0"/>
              <w:bottom w:val="single" w:sz="8" w:space="0" w:color="152935"/>
              <w:right w:val="single" w:sz="8" w:space="0" w:color="E0E0E0"/>
            </w:tcBorders>
            <w:shd w:val="clear" w:color="auto" w:fill="auto"/>
          </w:tcPr>
          <w:p w14:paraId="6FD7BFD1"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.209</w:t>
            </w:r>
          </w:p>
        </w:tc>
        <w:tc>
          <w:tcPr>
            <w:tcW w:w="2145" w:type="dxa"/>
            <w:tcBorders>
              <w:top w:val="single" w:sz="8" w:space="0" w:color="152935"/>
              <w:left w:val="single" w:sz="8" w:space="0" w:color="E0E0E0"/>
              <w:bottom w:val="single" w:sz="8" w:space="0" w:color="152935"/>
              <w:right w:val="nil"/>
            </w:tcBorders>
            <w:shd w:val="clear" w:color="auto" w:fill="auto"/>
          </w:tcPr>
          <w:p w14:paraId="42E6A7B7"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.355</w:t>
            </w:r>
          </w:p>
        </w:tc>
      </w:tr>
      <w:tr w:rsidR="00CE13B2" w:rsidRPr="00CE13B2" w14:paraId="6A0778F2" w14:textId="77777777" w:rsidTr="00CE13B2">
        <w:trPr>
          <w:cantSplit/>
          <w:trHeight w:val="281"/>
        </w:trPr>
        <w:tc>
          <w:tcPr>
            <w:tcW w:w="7505" w:type="dxa"/>
            <w:gridSpan w:val="4"/>
            <w:tcBorders>
              <w:top w:val="nil"/>
              <w:left w:val="nil"/>
              <w:bottom w:val="nil"/>
              <w:right w:val="nil"/>
            </w:tcBorders>
            <w:shd w:val="clear" w:color="auto" w:fill="auto"/>
          </w:tcPr>
          <w:p w14:paraId="5E15165B" w14:textId="77777777" w:rsidR="00F04CEF" w:rsidRPr="00CE13B2" w:rsidRDefault="000F4100">
            <w:pPr>
              <w:autoSpaceDE w:val="0"/>
              <w:autoSpaceDN w:val="0"/>
              <w:adjustRightInd w:val="0"/>
              <w:spacing w:after="0" w:line="240" w:lineRule="auto"/>
              <w:ind w:left="60" w:right="60"/>
              <w:rPr>
                <w:rFonts w:ascii="Cambria" w:hAnsi="Cambria" w:cs="Arial"/>
                <w:color w:val="000000" w:themeColor="text1"/>
                <w:sz w:val="20"/>
                <w:szCs w:val="20"/>
              </w:rPr>
            </w:pPr>
            <w:r w:rsidRPr="00CE13B2">
              <w:rPr>
                <w:rFonts w:ascii="Cambria" w:hAnsi="Cambria" w:cs="Arial"/>
                <w:color w:val="000000" w:themeColor="text1"/>
                <w:sz w:val="20"/>
                <w:szCs w:val="20"/>
              </w:rPr>
              <w:t>a. Estimation terminated at iteration number 6 because parameter estimates changed by less than .001.</w:t>
            </w:r>
          </w:p>
        </w:tc>
      </w:tr>
    </w:tbl>
    <w:p w14:paraId="3BB7DE97" w14:textId="77777777" w:rsidR="00765CC8" w:rsidRDefault="00765CC8" w:rsidP="008E6DD7">
      <w:pPr>
        <w:autoSpaceDE w:val="0"/>
        <w:autoSpaceDN w:val="0"/>
        <w:adjustRightInd w:val="0"/>
        <w:spacing w:line="480" w:lineRule="auto"/>
        <w:jc w:val="center"/>
        <w:rPr>
          <w:rFonts w:ascii="Times New Roman" w:hAnsi="Times New Roman" w:cs="Times New Roman"/>
          <w:b/>
          <w:sz w:val="24"/>
          <w:szCs w:val="24"/>
        </w:rPr>
      </w:pPr>
    </w:p>
    <w:p w14:paraId="17E3184E" w14:textId="77777777" w:rsidR="00765CC8" w:rsidRDefault="00765CC8" w:rsidP="008E6DD7">
      <w:pPr>
        <w:autoSpaceDE w:val="0"/>
        <w:autoSpaceDN w:val="0"/>
        <w:adjustRightInd w:val="0"/>
        <w:spacing w:line="480" w:lineRule="auto"/>
        <w:jc w:val="center"/>
        <w:rPr>
          <w:rFonts w:ascii="Times New Roman" w:hAnsi="Times New Roman" w:cs="Times New Roman"/>
          <w:b/>
          <w:sz w:val="24"/>
          <w:szCs w:val="24"/>
        </w:rPr>
      </w:pPr>
    </w:p>
    <w:p w14:paraId="7E282CD1" w14:textId="77777777" w:rsidR="00F04CEF" w:rsidRDefault="000F4100">
      <w:pPr>
        <w:autoSpaceDE w:val="0"/>
        <w:autoSpaceDN w:val="0"/>
        <w:adjustRightInd w:val="0"/>
        <w:spacing w:line="240" w:lineRule="auto"/>
        <w:ind w:firstLine="567"/>
        <w:jc w:val="both"/>
        <w:rPr>
          <w:rFonts w:ascii="Cambria" w:hAnsi="Cambria" w:cs="Times New Roman"/>
          <w:sz w:val="21"/>
          <w:szCs w:val="21"/>
        </w:rPr>
      </w:pPr>
      <w:r w:rsidRPr="008A10B8">
        <w:rPr>
          <w:rFonts w:ascii="Cambria" w:hAnsi="Cambria" w:cs="Times New Roman"/>
          <w:sz w:val="21"/>
          <w:szCs w:val="21"/>
        </w:rPr>
        <w:t xml:space="preserve">The output results in Table 6 </w:t>
      </w:r>
      <w:r w:rsidR="006C6AE9" w:rsidRPr="008A10B8">
        <w:rPr>
          <w:rFonts w:ascii="Cambria" w:hAnsi="Cambria" w:cs="Times New Roman"/>
          <w:sz w:val="21"/>
          <w:szCs w:val="21"/>
        </w:rPr>
        <w:t xml:space="preserve">show that the Nagelkereke R Square value is 0.355, which means that the independent variables can explain the dependent variables by 35.5%. Other variables outside the research model explain the remaining 64.5%. </w:t>
      </w:r>
    </w:p>
    <w:p w14:paraId="664C4EE0" w14:textId="77777777" w:rsidR="00F04CEF" w:rsidRDefault="000F4100">
      <w:pPr>
        <w:autoSpaceDE w:val="0"/>
        <w:autoSpaceDN w:val="0"/>
        <w:adjustRightInd w:val="0"/>
        <w:spacing w:after="160" w:line="240" w:lineRule="auto"/>
        <w:contextualSpacing/>
        <w:jc w:val="both"/>
        <w:rPr>
          <w:rFonts w:ascii="Cambria" w:hAnsi="Cambria"/>
          <w:b/>
          <w:sz w:val="21"/>
          <w:szCs w:val="21"/>
        </w:rPr>
      </w:pPr>
      <w:r w:rsidRPr="008A10B8">
        <w:rPr>
          <w:rFonts w:ascii="Cambria" w:hAnsi="Cambria"/>
          <w:b/>
          <w:sz w:val="21"/>
          <w:szCs w:val="21"/>
        </w:rPr>
        <w:t xml:space="preserve">Regression Model Analysis </w:t>
      </w:r>
      <w:r w:rsidRPr="008A10B8">
        <w:rPr>
          <w:rFonts w:ascii="Cambria" w:hAnsi="Cambria"/>
          <w:b/>
          <w:color w:val="000000"/>
          <w:sz w:val="21"/>
          <w:szCs w:val="21"/>
          <w:lang w:eastAsia="en-ID"/>
        </w:rPr>
        <w:t>Before the Covid-19 Pandemic</w:t>
      </w:r>
    </w:p>
    <w:p w14:paraId="187AD872" w14:textId="77777777" w:rsidR="00F04CEF" w:rsidRDefault="000F4100">
      <w:pPr>
        <w:autoSpaceDE w:val="0"/>
        <w:autoSpaceDN w:val="0"/>
        <w:adjustRightInd w:val="0"/>
        <w:spacing w:line="240" w:lineRule="auto"/>
        <w:ind w:firstLine="709"/>
        <w:jc w:val="both"/>
        <w:rPr>
          <w:rFonts w:ascii="Times New Roman" w:hAnsi="Times New Roman"/>
          <w:color w:val="000000"/>
          <w:sz w:val="24"/>
          <w:szCs w:val="24"/>
          <w:lang w:eastAsia="en-ID"/>
        </w:rPr>
      </w:pPr>
      <w:r w:rsidRPr="008A10B8">
        <w:rPr>
          <w:rFonts w:ascii="Cambria" w:hAnsi="Cambria"/>
          <w:color w:val="000000"/>
          <w:sz w:val="21"/>
          <w:szCs w:val="21"/>
          <w:lang w:eastAsia="en-ID"/>
        </w:rPr>
        <w:t xml:space="preserve">Logistic regression </w:t>
      </w:r>
      <w:r w:rsidR="002A0F60">
        <w:rPr>
          <w:rFonts w:ascii="Cambria" w:hAnsi="Cambria"/>
          <w:color w:val="000000"/>
          <w:sz w:val="21"/>
          <w:szCs w:val="21"/>
          <w:lang w:eastAsia="en-ID"/>
        </w:rPr>
        <w:t xml:space="preserve">was </w:t>
      </w:r>
      <w:r w:rsidRPr="008A10B8">
        <w:rPr>
          <w:rFonts w:ascii="Cambria" w:hAnsi="Cambria"/>
          <w:color w:val="000000"/>
          <w:sz w:val="21"/>
          <w:szCs w:val="21"/>
          <w:lang w:eastAsia="en-ID"/>
        </w:rPr>
        <w:t xml:space="preserve">used to test whether the independent variables could predict the probability of the occurrence of the dependent variable </w:t>
      </w:r>
      <w:r w:rsidR="0074664A">
        <w:rPr>
          <w:rFonts w:ascii="Cambria" w:hAnsi="Cambria"/>
          <w:color w:val="000000"/>
          <w:sz w:val="21"/>
          <w:szCs w:val="21"/>
          <w:lang w:eastAsia="en-ID"/>
        </w:rPr>
        <w:fldChar w:fldCharType="begin" w:fldLock="1"/>
      </w:r>
      <w:r w:rsidR="0074664A">
        <w:rPr>
          <w:rFonts w:ascii="Cambria" w:hAnsi="Cambria"/>
          <w:color w:val="000000"/>
          <w:sz w:val="21"/>
          <w:szCs w:val="21"/>
          <w:lang w:eastAsia="en-ID"/>
        </w:rPr>
        <w:instrText>ADDIN CSL_CITATION {"citationItems":[{"id":"ITEM-1","itemData":{"author":[{"dropping-particle":"","family":"Ghozali","given":"Imam","non-dropping-particle":"","parse-names":false,"suffix":""}],"id":"ITEM-1","issued":{"date-parts":[["2006"]]},"publisher":"Badan Penerbit Universitas Diponegoro","publisher-place":"Semarang","title":"Aplikasi Analisis Multivariate dengan Eksperimen","type":"book"},"uris":["http://www.mendeley.com/documents/?uuid=94c348ce-31cc-492f-b200-6f8a152c06b6","http://www.mendeley.com/documents/?uuid=1242b466-f408-44db-9d6f-56bfb41fecd8"]}],"mendeley":{"formattedCitation":"(Ghozali, 2006)","manualFormatting":"(Ghozali, 2006:225)","plainTextFormattedCitation":"(Ghozali, 2006)","previouslyFormattedCitation":"(Ghozali, 2006)"},"properties":{"noteIndex":0},"schema":"https://github.com/citation-style-language/schema/raw/master/csl-citation.json"}</w:instrText>
      </w:r>
      <w:r w:rsidR="0074664A">
        <w:rPr>
          <w:rFonts w:ascii="Cambria" w:hAnsi="Cambria"/>
          <w:color w:val="000000"/>
          <w:sz w:val="21"/>
          <w:szCs w:val="21"/>
          <w:lang w:eastAsia="en-ID"/>
        </w:rPr>
        <w:fldChar w:fldCharType="separate"/>
      </w:r>
      <w:r w:rsidRPr="008A10B8">
        <w:rPr>
          <w:rFonts w:ascii="Cambria" w:hAnsi="Cambria"/>
          <w:noProof/>
          <w:color w:val="000000"/>
          <w:sz w:val="21"/>
          <w:szCs w:val="21"/>
          <w:lang w:eastAsia="en-ID"/>
        </w:rPr>
        <w:t>(Ghozali, 2006, p. 225)</w:t>
      </w:r>
      <w:r w:rsidR="0074664A">
        <w:rPr>
          <w:rFonts w:ascii="Cambria" w:hAnsi="Cambria"/>
          <w:color w:val="000000"/>
          <w:sz w:val="21"/>
          <w:szCs w:val="21"/>
          <w:lang w:eastAsia="en-ID"/>
        </w:rPr>
        <w:fldChar w:fldCharType="end"/>
      </w:r>
      <w:r w:rsidRPr="008A10B8">
        <w:rPr>
          <w:rFonts w:ascii="Cambria" w:hAnsi="Cambria"/>
          <w:color w:val="000000"/>
          <w:sz w:val="21"/>
          <w:szCs w:val="21"/>
          <w:lang w:eastAsia="en-ID"/>
        </w:rPr>
        <w:t xml:space="preserve">. Logistic regression analysis can be seen in the </w:t>
      </w:r>
      <w:r w:rsidRPr="008A10B8">
        <w:rPr>
          <w:rFonts w:ascii="Cambria" w:hAnsi="Cambria"/>
          <w:i/>
          <w:color w:val="000000"/>
          <w:sz w:val="21"/>
          <w:szCs w:val="21"/>
          <w:lang w:eastAsia="en-ID"/>
        </w:rPr>
        <w:t xml:space="preserve">Variables in </w:t>
      </w:r>
      <w:r w:rsidRPr="008A10B8">
        <w:rPr>
          <w:rFonts w:ascii="Cambria" w:hAnsi="Cambria"/>
          <w:color w:val="000000"/>
          <w:sz w:val="21"/>
          <w:szCs w:val="21"/>
          <w:lang w:eastAsia="en-ID"/>
        </w:rPr>
        <w:t xml:space="preserve">the </w:t>
      </w:r>
      <w:r w:rsidRPr="008A10B8">
        <w:rPr>
          <w:rFonts w:ascii="Cambria" w:hAnsi="Cambria"/>
          <w:i/>
          <w:color w:val="000000"/>
          <w:sz w:val="21"/>
          <w:szCs w:val="21"/>
          <w:lang w:eastAsia="en-ID"/>
        </w:rPr>
        <w:t xml:space="preserve">Equation </w:t>
      </w:r>
      <w:r w:rsidRPr="008A10B8">
        <w:rPr>
          <w:rFonts w:ascii="Cambria" w:hAnsi="Cambria"/>
          <w:color w:val="000000"/>
          <w:sz w:val="21"/>
          <w:szCs w:val="21"/>
          <w:lang w:eastAsia="en-ID"/>
        </w:rPr>
        <w:t>table</w:t>
      </w:r>
      <w:r w:rsidRPr="008A10B8">
        <w:rPr>
          <w:rFonts w:ascii="Cambria" w:hAnsi="Cambria"/>
          <w:i/>
          <w:color w:val="000000"/>
          <w:sz w:val="21"/>
          <w:szCs w:val="21"/>
          <w:lang w:eastAsia="en-ID"/>
        </w:rPr>
        <w:t xml:space="preserve">, </w:t>
      </w:r>
      <w:r w:rsidRPr="008A10B8">
        <w:rPr>
          <w:rFonts w:ascii="Cambria" w:hAnsi="Cambria"/>
          <w:color w:val="000000"/>
          <w:sz w:val="21"/>
          <w:szCs w:val="21"/>
          <w:lang w:eastAsia="en-ID"/>
        </w:rPr>
        <w:t>in the sig column, compared to alpha 0.05 (5%). If the significance level is &lt;</w:t>
      </w:r>
      <w:r w:rsidR="002A0F60">
        <w:rPr>
          <w:rFonts w:ascii="Cambria" w:hAnsi="Cambria"/>
          <w:color w:val="000000"/>
          <w:sz w:val="21"/>
          <w:szCs w:val="21"/>
          <w:lang w:eastAsia="en-ID"/>
        </w:rPr>
        <w:t xml:space="preserve"> </w:t>
      </w:r>
      <w:r w:rsidRPr="008A10B8">
        <w:rPr>
          <w:rFonts w:ascii="Cambria" w:hAnsi="Cambria"/>
          <w:color w:val="000000"/>
          <w:sz w:val="21"/>
          <w:szCs w:val="21"/>
          <w:lang w:eastAsia="en-ID"/>
        </w:rPr>
        <w:t xml:space="preserve">0.05, then Ha is accepted, and Ho is rejected. The </w:t>
      </w:r>
      <w:r w:rsidRPr="008A10B8">
        <w:rPr>
          <w:rFonts w:ascii="Times New Roman" w:hAnsi="Times New Roman"/>
          <w:color w:val="000000"/>
          <w:sz w:val="24"/>
          <w:szCs w:val="24"/>
          <w:lang w:eastAsia="en-ID"/>
        </w:rPr>
        <w:t xml:space="preserve">logistic </w:t>
      </w:r>
      <w:r w:rsidRPr="008A10B8">
        <w:rPr>
          <w:rFonts w:ascii="Cambria" w:hAnsi="Cambria"/>
          <w:color w:val="000000"/>
          <w:sz w:val="21"/>
          <w:szCs w:val="21"/>
          <w:lang w:eastAsia="en-ID"/>
        </w:rPr>
        <w:t xml:space="preserve">regression analysis results </w:t>
      </w:r>
      <w:r w:rsidRPr="008A10B8">
        <w:rPr>
          <w:rFonts w:ascii="Times New Roman" w:hAnsi="Times New Roman"/>
          <w:color w:val="000000"/>
          <w:sz w:val="24"/>
          <w:szCs w:val="24"/>
          <w:lang w:eastAsia="en-ID"/>
        </w:rPr>
        <w:t xml:space="preserve">before the pandemic can be </w:t>
      </w:r>
      <w:r w:rsidR="00213F21">
        <w:rPr>
          <w:rFonts w:ascii="Times New Roman" w:hAnsi="Times New Roman"/>
          <w:color w:val="000000"/>
          <w:sz w:val="24"/>
          <w:szCs w:val="24"/>
          <w:lang w:eastAsia="en-ID"/>
        </w:rPr>
        <w:t>seen in Table 7.</w:t>
      </w:r>
    </w:p>
    <w:p w14:paraId="3BCE4490" w14:textId="43B1959E" w:rsidR="00F04CEF" w:rsidRPr="00CE13B2" w:rsidRDefault="000F4100">
      <w:pPr>
        <w:autoSpaceDE w:val="0"/>
        <w:autoSpaceDN w:val="0"/>
        <w:adjustRightInd w:val="0"/>
        <w:spacing w:after="0" w:line="240" w:lineRule="auto"/>
        <w:jc w:val="center"/>
        <w:rPr>
          <w:rFonts w:ascii="Cambria" w:hAnsi="Cambria" w:cs="Times New Roman"/>
          <w:b/>
          <w:color w:val="000000" w:themeColor="text1"/>
          <w:sz w:val="20"/>
          <w:szCs w:val="20"/>
        </w:rPr>
      </w:pPr>
      <w:proofErr w:type="gramStart"/>
      <w:r w:rsidRPr="00CE13B2">
        <w:rPr>
          <w:rFonts w:ascii="Cambria" w:hAnsi="Cambria" w:cs="Times New Roman"/>
          <w:b/>
          <w:color w:val="000000" w:themeColor="text1"/>
          <w:sz w:val="20"/>
          <w:szCs w:val="20"/>
        </w:rPr>
        <w:t xml:space="preserve">Table </w:t>
      </w:r>
      <w:r w:rsidR="00CE13B2" w:rsidRPr="00CE13B2">
        <w:rPr>
          <w:rFonts w:ascii="Cambria" w:hAnsi="Cambria" w:cs="Times New Roman"/>
          <w:b/>
          <w:color w:val="000000" w:themeColor="text1"/>
          <w:sz w:val="20"/>
          <w:szCs w:val="20"/>
        </w:rPr>
        <w:t>7</w:t>
      </w:r>
      <w:r w:rsidR="00E22241">
        <w:rPr>
          <w:rFonts w:ascii="Cambria" w:hAnsi="Cambria" w:cs="Times New Roman"/>
          <w:b/>
          <w:color w:val="000000" w:themeColor="text1"/>
          <w:sz w:val="20"/>
          <w:szCs w:val="20"/>
        </w:rPr>
        <w:t>.</w:t>
      </w:r>
      <w:proofErr w:type="gramEnd"/>
      <w:r w:rsidR="00CE13B2" w:rsidRPr="00CE13B2">
        <w:rPr>
          <w:rFonts w:ascii="Cambria" w:hAnsi="Cambria" w:cs="Times New Roman"/>
          <w:b/>
          <w:color w:val="000000" w:themeColor="text1"/>
          <w:sz w:val="20"/>
          <w:szCs w:val="20"/>
        </w:rPr>
        <w:t xml:space="preserve"> </w:t>
      </w:r>
      <w:r w:rsidR="00F44CE6" w:rsidRPr="00CE13B2">
        <w:rPr>
          <w:rFonts w:ascii="Cambria" w:hAnsi="Cambria" w:cs="Times New Roman"/>
          <w:b/>
          <w:color w:val="000000" w:themeColor="text1"/>
          <w:sz w:val="21"/>
          <w:szCs w:val="21"/>
        </w:rPr>
        <w:t xml:space="preserve">Logistic </w:t>
      </w:r>
      <w:r w:rsidR="00CE13B2" w:rsidRPr="00CE13B2">
        <w:rPr>
          <w:rFonts w:ascii="Cambria" w:hAnsi="Cambria" w:cs="Times New Roman"/>
          <w:b/>
          <w:color w:val="000000" w:themeColor="text1"/>
          <w:sz w:val="21"/>
          <w:szCs w:val="21"/>
        </w:rPr>
        <w:t xml:space="preserve">Regression Analysis </w:t>
      </w:r>
      <w:proofErr w:type="gramStart"/>
      <w:r w:rsidR="00F44CE6" w:rsidRPr="00CE13B2">
        <w:rPr>
          <w:rFonts w:ascii="Cambria" w:hAnsi="Cambria" w:cs="Times New Roman"/>
          <w:b/>
          <w:color w:val="000000" w:themeColor="text1"/>
          <w:sz w:val="21"/>
          <w:szCs w:val="21"/>
        </w:rPr>
        <w:t>Before</w:t>
      </w:r>
      <w:proofErr w:type="gramEnd"/>
      <w:r w:rsidR="00F44CE6" w:rsidRPr="00CE13B2">
        <w:rPr>
          <w:rFonts w:ascii="Cambria" w:hAnsi="Cambria" w:cs="Times New Roman"/>
          <w:b/>
          <w:color w:val="000000" w:themeColor="text1"/>
          <w:sz w:val="21"/>
          <w:szCs w:val="21"/>
        </w:rPr>
        <w:t xml:space="preserve"> Covid</w:t>
      </w:r>
      <w:r w:rsidR="00CE13B2" w:rsidRPr="00CE13B2">
        <w:rPr>
          <w:rFonts w:ascii="Cambria" w:hAnsi="Cambria" w:cs="Times New Roman"/>
          <w:b/>
          <w:color w:val="000000" w:themeColor="text1"/>
          <w:sz w:val="21"/>
          <w:szCs w:val="21"/>
        </w:rPr>
        <w:t xml:space="preserve">-19 </w:t>
      </w:r>
      <w:r w:rsidR="00F44CE6" w:rsidRPr="00CE13B2">
        <w:rPr>
          <w:rFonts w:ascii="Cambria" w:hAnsi="Cambria" w:cs="Times New Roman"/>
          <w:b/>
          <w:color w:val="000000" w:themeColor="text1"/>
          <w:sz w:val="21"/>
          <w:szCs w:val="21"/>
        </w:rPr>
        <w:t>Pandemic</w:t>
      </w:r>
    </w:p>
    <w:tbl>
      <w:tblPr>
        <w:tblW w:w="80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2"/>
        <w:gridCol w:w="2060"/>
        <w:gridCol w:w="862"/>
        <w:gridCol w:w="863"/>
        <w:gridCol w:w="863"/>
        <w:gridCol w:w="863"/>
        <w:gridCol w:w="863"/>
        <w:gridCol w:w="865"/>
      </w:tblGrid>
      <w:tr w:rsidR="00CE13B2" w:rsidRPr="00CE13B2" w14:paraId="0A441889" w14:textId="77777777" w:rsidTr="00CE13B2">
        <w:trPr>
          <w:cantSplit/>
          <w:trHeight w:val="307"/>
          <w:jc w:val="center"/>
        </w:trPr>
        <w:tc>
          <w:tcPr>
            <w:tcW w:w="8011" w:type="dxa"/>
            <w:gridSpan w:val="8"/>
            <w:tcBorders>
              <w:top w:val="single" w:sz="4" w:space="0" w:color="auto"/>
              <w:left w:val="nil"/>
              <w:bottom w:val="single" w:sz="4" w:space="0" w:color="auto"/>
              <w:right w:val="nil"/>
            </w:tcBorders>
            <w:shd w:val="clear" w:color="auto" w:fill="auto"/>
            <w:vAlign w:val="center"/>
          </w:tcPr>
          <w:p w14:paraId="73291629"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b/>
                <w:bCs/>
                <w:color w:val="000000" w:themeColor="text1"/>
                <w:sz w:val="20"/>
                <w:szCs w:val="20"/>
              </w:rPr>
              <w:t>Variables in the Equation Before the Covid-19 Pandemic</w:t>
            </w:r>
          </w:p>
        </w:tc>
      </w:tr>
      <w:tr w:rsidR="00CE13B2" w:rsidRPr="00CE13B2" w14:paraId="56F43D63" w14:textId="77777777" w:rsidTr="00CE13B2">
        <w:trPr>
          <w:cantSplit/>
          <w:trHeight w:val="307"/>
          <w:jc w:val="center"/>
        </w:trPr>
        <w:tc>
          <w:tcPr>
            <w:tcW w:w="2832" w:type="dxa"/>
            <w:gridSpan w:val="2"/>
            <w:tcBorders>
              <w:top w:val="single" w:sz="4" w:space="0" w:color="auto"/>
              <w:left w:val="nil"/>
              <w:bottom w:val="single" w:sz="8" w:space="0" w:color="152935"/>
              <w:right w:val="nil"/>
            </w:tcBorders>
            <w:shd w:val="clear" w:color="auto" w:fill="auto"/>
            <w:vAlign w:val="bottom"/>
          </w:tcPr>
          <w:p w14:paraId="716DFA23" w14:textId="77777777" w:rsidR="008E6DD7" w:rsidRPr="00CE13B2" w:rsidRDefault="008E6DD7" w:rsidP="00213F21">
            <w:pPr>
              <w:autoSpaceDE w:val="0"/>
              <w:autoSpaceDN w:val="0"/>
              <w:adjustRightInd w:val="0"/>
              <w:spacing w:after="0" w:line="240" w:lineRule="auto"/>
              <w:rPr>
                <w:rFonts w:ascii="Cambria" w:hAnsi="Cambria" w:cs="Times New Roman"/>
                <w:color w:val="000000" w:themeColor="text1"/>
                <w:sz w:val="20"/>
                <w:szCs w:val="20"/>
              </w:rPr>
            </w:pPr>
          </w:p>
        </w:tc>
        <w:tc>
          <w:tcPr>
            <w:tcW w:w="862" w:type="dxa"/>
            <w:tcBorders>
              <w:top w:val="single" w:sz="4" w:space="0" w:color="auto"/>
              <w:left w:val="nil"/>
              <w:bottom w:val="single" w:sz="8" w:space="0" w:color="152935"/>
              <w:right w:val="single" w:sz="8" w:space="0" w:color="E0E0E0"/>
            </w:tcBorders>
            <w:shd w:val="clear" w:color="auto" w:fill="auto"/>
            <w:vAlign w:val="bottom"/>
          </w:tcPr>
          <w:p w14:paraId="2321FDAA"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color w:val="000000" w:themeColor="text1"/>
                <w:sz w:val="20"/>
                <w:szCs w:val="20"/>
              </w:rPr>
              <w:t>B</w:t>
            </w:r>
          </w:p>
        </w:tc>
        <w:tc>
          <w:tcPr>
            <w:tcW w:w="863" w:type="dxa"/>
            <w:tcBorders>
              <w:top w:val="single" w:sz="4" w:space="0" w:color="auto"/>
              <w:left w:val="single" w:sz="8" w:space="0" w:color="E0E0E0"/>
              <w:bottom w:val="single" w:sz="8" w:space="0" w:color="152935"/>
              <w:right w:val="single" w:sz="8" w:space="0" w:color="E0E0E0"/>
            </w:tcBorders>
            <w:shd w:val="clear" w:color="auto" w:fill="auto"/>
            <w:vAlign w:val="bottom"/>
          </w:tcPr>
          <w:p w14:paraId="6A0D1A6D"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color w:val="000000" w:themeColor="text1"/>
                <w:sz w:val="20"/>
                <w:szCs w:val="20"/>
              </w:rPr>
              <w:t>S.E.</w:t>
            </w:r>
          </w:p>
        </w:tc>
        <w:tc>
          <w:tcPr>
            <w:tcW w:w="863" w:type="dxa"/>
            <w:tcBorders>
              <w:top w:val="single" w:sz="4" w:space="0" w:color="auto"/>
              <w:left w:val="single" w:sz="8" w:space="0" w:color="E0E0E0"/>
              <w:bottom w:val="single" w:sz="8" w:space="0" w:color="152935"/>
              <w:right w:val="single" w:sz="8" w:space="0" w:color="E0E0E0"/>
            </w:tcBorders>
            <w:shd w:val="clear" w:color="auto" w:fill="auto"/>
            <w:vAlign w:val="bottom"/>
          </w:tcPr>
          <w:p w14:paraId="13BBC63B"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color w:val="000000" w:themeColor="text1"/>
                <w:sz w:val="20"/>
                <w:szCs w:val="20"/>
              </w:rPr>
              <w:t>Wald</w:t>
            </w:r>
          </w:p>
        </w:tc>
        <w:tc>
          <w:tcPr>
            <w:tcW w:w="863" w:type="dxa"/>
            <w:tcBorders>
              <w:top w:val="single" w:sz="4" w:space="0" w:color="auto"/>
              <w:left w:val="single" w:sz="8" w:space="0" w:color="E0E0E0"/>
              <w:bottom w:val="single" w:sz="4" w:space="0" w:color="auto"/>
              <w:right w:val="single" w:sz="8" w:space="0" w:color="E0E0E0"/>
            </w:tcBorders>
            <w:shd w:val="clear" w:color="auto" w:fill="auto"/>
            <w:vAlign w:val="bottom"/>
          </w:tcPr>
          <w:p w14:paraId="25B077DD"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color w:val="000000" w:themeColor="text1"/>
                <w:sz w:val="20"/>
                <w:szCs w:val="20"/>
              </w:rPr>
              <w:t>Df</w:t>
            </w:r>
          </w:p>
        </w:tc>
        <w:tc>
          <w:tcPr>
            <w:tcW w:w="863" w:type="dxa"/>
            <w:tcBorders>
              <w:top w:val="single" w:sz="4" w:space="0" w:color="auto"/>
              <w:left w:val="single" w:sz="8" w:space="0" w:color="E0E0E0"/>
              <w:bottom w:val="single" w:sz="8" w:space="0" w:color="152935"/>
              <w:right w:val="single" w:sz="8" w:space="0" w:color="E0E0E0"/>
            </w:tcBorders>
            <w:shd w:val="clear" w:color="auto" w:fill="auto"/>
            <w:vAlign w:val="bottom"/>
          </w:tcPr>
          <w:p w14:paraId="7DF31620"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color w:val="000000" w:themeColor="text1"/>
                <w:sz w:val="20"/>
                <w:szCs w:val="20"/>
              </w:rPr>
              <w:t>Sig.</w:t>
            </w:r>
          </w:p>
        </w:tc>
        <w:tc>
          <w:tcPr>
            <w:tcW w:w="863" w:type="dxa"/>
            <w:tcBorders>
              <w:top w:val="single" w:sz="4" w:space="0" w:color="auto"/>
              <w:left w:val="single" w:sz="8" w:space="0" w:color="E0E0E0"/>
              <w:bottom w:val="single" w:sz="8" w:space="0" w:color="152935"/>
              <w:right w:val="nil"/>
            </w:tcBorders>
            <w:shd w:val="clear" w:color="auto" w:fill="auto"/>
            <w:vAlign w:val="bottom"/>
          </w:tcPr>
          <w:p w14:paraId="71A4B658" w14:textId="77777777" w:rsidR="00F04CEF" w:rsidRPr="00CE13B2"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CE13B2">
              <w:rPr>
                <w:rFonts w:ascii="Cambria" w:hAnsi="Cambria" w:cs="Arial"/>
                <w:color w:val="000000" w:themeColor="text1"/>
                <w:sz w:val="20"/>
                <w:szCs w:val="20"/>
              </w:rPr>
              <w:t>Exp(B)</w:t>
            </w:r>
          </w:p>
        </w:tc>
      </w:tr>
      <w:tr w:rsidR="00CE13B2" w:rsidRPr="00CE13B2" w14:paraId="362EAA62" w14:textId="77777777" w:rsidTr="00CE13B2">
        <w:trPr>
          <w:cantSplit/>
          <w:trHeight w:val="323"/>
          <w:jc w:val="center"/>
        </w:trPr>
        <w:tc>
          <w:tcPr>
            <w:tcW w:w="772" w:type="dxa"/>
            <w:vMerge w:val="restart"/>
            <w:tcBorders>
              <w:top w:val="single" w:sz="8" w:space="0" w:color="152935"/>
              <w:left w:val="nil"/>
              <w:bottom w:val="single" w:sz="8" w:space="0" w:color="152935"/>
              <w:right w:val="nil"/>
            </w:tcBorders>
            <w:shd w:val="clear" w:color="auto" w:fill="auto"/>
          </w:tcPr>
          <w:p w14:paraId="72E3DCB3" w14:textId="77777777" w:rsidR="00F04CEF" w:rsidRPr="00CE13B2" w:rsidRDefault="000F4100">
            <w:pPr>
              <w:autoSpaceDE w:val="0"/>
              <w:autoSpaceDN w:val="0"/>
              <w:adjustRightInd w:val="0"/>
              <w:spacing w:after="0" w:line="240" w:lineRule="auto"/>
              <w:ind w:left="60" w:right="60"/>
              <w:rPr>
                <w:rFonts w:ascii="Cambria" w:hAnsi="Cambria" w:cs="Arial"/>
                <w:color w:val="000000" w:themeColor="text1"/>
                <w:sz w:val="20"/>
                <w:szCs w:val="20"/>
              </w:rPr>
            </w:pPr>
            <w:r w:rsidRPr="00CE13B2">
              <w:rPr>
                <w:rFonts w:ascii="Cambria" w:hAnsi="Cambria" w:cs="Arial"/>
                <w:color w:val="000000" w:themeColor="text1"/>
                <w:sz w:val="20"/>
                <w:szCs w:val="20"/>
              </w:rPr>
              <w:t>Step 1</w:t>
            </w:r>
            <w:r w:rsidRPr="00CE13B2">
              <w:rPr>
                <w:rFonts w:ascii="Cambria" w:hAnsi="Cambria" w:cs="Arial"/>
                <w:color w:val="000000" w:themeColor="text1"/>
                <w:sz w:val="20"/>
                <w:szCs w:val="20"/>
                <w:vertAlign w:val="superscript"/>
              </w:rPr>
              <w:t>a</w:t>
            </w:r>
          </w:p>
        </w:tc>
        <w:tc>
          <w:tcPr>
            <w:tcW w:w="2060" w:type="dxa"/>
            <w:tcBorders>
              <w:top w:val="single" w:sz="8" w:space="0" w:color="152935"/>
              <w:left w:val="nil"/>
              <w:bottom w:val="single" w:sz="8" w:space="0" w:color="AEAEAE"/>
              <w:right w:val="nil"/>
            </w:tcBorders>
            <w:shd w:val="clear" w:color="auto" w:fill="auto"/>
          </w:tcPr>
          <w:p w14:paraId="2A96A1C9" w14:textId="77777777" w:rsidR="00F04CEF" w:rsidRPr="00CE13B2" w:rsidRDefault="000F4100">
            <w:pPr>
              <w:autoSpaceDE w:val="0"/>
              <w:autoSpaceDN w:val="0"/>
              <w:adjustRightInd w:val="0"/>
              <w:spacing w:after="0" w:line="240" w:lineRule="auto"/>
              <w:ind w:left="60" w:right="60"/>
              <w:rPr>
                <w:rFonts w:ascii="Cambria" w:hAnsi="Cambria" w:cs="Arial"/>
                <w:color w:val="000000" w:themeColor="text1"/>
                <w:sz w:val="20"/>
                <w:szCs w:val="20"/>
              </w:rPr>
            </w:pPr>
            <w:r w:rsidRPr="00CE13B2">
              <w:rPr>
                <w:rFonts w:ascii="Cambria" w:hAnsi="Cambria" w:cs="Arial"/>
                <w:color w:val="000000" w:themeColor="text1"/>
                <w:sz w:val="20"/>
                <w:szCs w:val="20"/>
              </w:rPr>
              <w:t>Profitability</w:t>
            </w:r>
          </w:p>
        </w:tc>
        <w:tc>
          <w:tcPr>
            <w:tcW w:w="862" w:type="dxa"/>
            <w:tcBorders>
              <w:top w:val="single" w:sz="8" w:space="0" w:color="152935"/>
              <w:left w:val="nil"/>
              <w:bottom w:val="single" w:sz="8" w:space="0" w:color="AEAEAE"/>
              <w:right w:val="single" w:sz="8" w:space="0" w:color="E0E0E0"/>
            </w:tcBorders>
            <w:shd w:val="clear" w:color="auto" w:fill="auto"/>
          </w:tcPr>
          <w:p w14:paraId="6FC95F14"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-.027</w:t>
            </w:r>
          </w:p>
        </w:tc>
        <w:tc>
          <w:tcPr>
            <w:tcW w:w="863" w:type="dxa"/>
            <w:tcBorders>
              <w:top w:val="single" w:sz="8" w:space="0" w:color="152935"/>
              <w:left w:val="single" w:sz="8" w:space="0" w:color="E0E0E0"/>
              <w:bottom w:val="single" w:sz="8" w:space="0" w:color="AEAEAE"/>
              <w:right w:val="single" w:sz="8" w:space="0" w:color="E0E0E0"/>
            </w:tcBorders>
            <w:shd w:val="clear" w:color="auto" w:fill="auto"/>
          </w:tcPr>
          <w:p w14:paraId="1B5171E9"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.030</w:t>
            </w:r>
          </w:p>
        </w:tc>
        <w:tc>
          <w:tcPr>
            <w:tcW w:w="863" w:type="dxa"/>
            <w:tcBorders>
              <w:top w:val="single" w:sz="8" w:space="0" w:color="152935"/>
              <w:left w:val="single" w:sz="8" w:space="0" w:color="E0E0E0"/>
              <w:bottom w:val="single" w:sz="8" w:space="0" w:color="AEAEAE"/>
              <w:right w:val="single" w:sz="8" w:space="0" w:color="E0E0E0"/>
            </w:tcBorders>
            <w:shd w:val="clear" w:color="auto" w:fill="auto"/>
          </w:tcPr>
          <w:p w14:paraId="1E8BC400"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.792</w:t>
            </w:r>
          </w:p>
        </w:tc>
        <w:tc>
          <w:tcPr>
            <w:tcW w:w="863" w:type="dxa"/>
            <w:tcBorders>
              <w:top w:val="single" w:sz="4" w:space="0" w:color="auto"/>
              <w:left w:val="single" w:sz="8" w:space="0" w:color="E0E0E0"/>
              <w:bottom w:val="single" w:sz="8" w:space="0" w:color="AEAEAE"/>
              <w:right w:val="single" w:sz="8" w:space="0" w:color="E0E0E0"/>
            </w:tcBorders>
            <w:shd w:val="clear" w:color="auto" w:fill="auto"/>
          </w:tcPr>
          <w:p w14:paraId="72EAEAFF"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1</w:t>
            </w:r>
          </w:p>
        </w:tc>
        <w:tc>
          <w:tcPr>
            <w:tcW w:w="863" w:type="dxa"/>
            <w:tcBorders>
              <w:top w:val="single" w:sz="8" w:space="0" w:color="152935"/>
              <w:left w:val="single" w:sz="8" w:space="0" w:color="E0E0E0"/>
              <w:bottom w:val="single" w:sz="8" w:space="0" w:color="AEAEAE"/>
              <w:right w:val="single" w:sz="8" w:space="0" w:color="E0E0E0"/>
            </w:tcBorders>
            <w:shd w:val="clear" w:color="auto" w:fill="auto"/>
          </w:tcPr>
          <w:p w14:paraId="39461EEA"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.374</w:t>
            </w:r>
          </w:p>
        </w:tc>
        <w:tc>
          <w:tcPr>
            <w:tcW w:w="863" w:type="dxa"/>
            <w:tcBorders>
              <w:top w:val="single" w:sz="8" w:space="0" w:color="152935"/>
              <w:left w:val="single" w:sz="8" w:space="0" w:color="E0E0E0"/>
              <w:bottom w:val="single" w:sz="8" w:space="0" w:color="AEAEAE"/>
              <w:right w:val="nil"/>
            </w:tcBorders>
            <w:shd w:val="clear" w:color="auto" w:fill="auto"/>
          </w:tcPr>
          <w:p w14:paraId="521CCE99"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.973</w:t>
            </w:r>
          </w:p>
        </w:tc>
      </w:tr>
      <w:tr w:rsidR="00CE13B2" w:rsidRPr="00CE13B2" w14:paraId="6C8680A7" w14:textId="77777777" w:rsidTr="00CE13B2">
        <w:trPr>
          <w:cantSplit/>
          <w:trHeight w:val="142"/>
          <w:jc w:val="center"/>
        </w:trPr>
        <w:tc>
          <w:tcPr>
            <w:tcW w:w="772" w:type="dxa"/>
            <w:vMerge/>
            <w:tcBorders>
              <w:top w:val="single" w:sz="8" w:space="0" w:color="152935"/>
              <w:left w:val="nil"/>
              <w:bottom w:val="single" w:sz="8" w:space="0" w:color="152935"/>
              <w:right w:val="nil"/>
            </w:tcBorders>
            <w:shd w:val="clear" w:color="auto" w:fill="auto"/>
          </w:tcPr>
          <w:p w14:paraId="374B5389" w14:textId="77777777" w:rsidR="008E6DD7" w:rsidRPr="00CE13B2" w:rsidRDefault="008E6DD7" w:rsidP="00213F21">
            <w:pPr>
              <w:autoSpaceDE w:val="0"/>
              <w:autoSpaceDN w:val="0"/>
              <w:adjustRightInd w:val="0"/>
              <w:spacing w:after="0" w:line="240" w:lineRule="auto"/>
              <w:rPr>
                <w:rFonts w:ascii="Cambria" w:hAnsi="Cambria" w:cs="Arial"/>
                <w:color w:val="000000" w:themeColor="text1"/>
                <w:sz w:val="20"/>
                <w:szCs w:val="20"/>
              </w:rPr>
            </w:pPr>
          </w:p>
        </w:tc>
        <w:tc>
          <w:tcPr>
            <w:tcW w:w="2060" w:type="dxa"/>
            <w:tcBorders>
              <w:top w:val="single" w:sz="8" w:space="0" w:color="AEAEAE"/>
              <w:left w:val="nil"/>
              <w:bottom w:val="single" w:sz="8" w:space="0" w:color="AEAEAE"/>
              <w:right w:val="nil"/>
            </w:tcBorders>
            <w:shd w:val="clear" w:color="auto" w:fill="auto"/>
          </w:tcPr>
          <w:p w14:paraId="5FD071C1" w14:textId="77777777" w:rsidR="00F04CEF" w:rsidRPr="00CE13B2" w:rsidRDefault="000F4100">
            <w:pPr>
              <w:autoSpaceDE w:val="0"/>
              <w:autoSpaceDN w:val="0"/>
              <w:adjustRightInd w:val="0"/>
              <w:spacing w:after="0" w:line="240" w:lineRule="auto"/>
              <w:ind w:left="60" w:right="60"/>
              <w:rPr>
                <w:rFonts w:ascii="Cambria" w:hAnsi="Cambria" w:cs="Arial"/>
                <w:color w:val="000000" w:themeColor="text1"/>
                <w:sz w:val="20"/>
                <w:szCs w:val="20"/>
              </w:rPr>
            </w:pPr>
            <w:r w:rsidRPr="00CE13B2">
              <w:rPr>
                <w:rFonts w:ascii="Cambria" w:hAnsi="Cambria" w:cs="Arial"/>
                <w:color w:val="000000" w:themeColor="text1"/>
                <w:sz w:val="20"/>
                <w:szCs w:val="20"/>
              </w:rPr>
              <w:t>Leverage</w:t>
            </w:r>
          </w:p>
        </w:tc>
        <w:tc>
          <w:tcPr>
            <w:tcW w:w="862" w:type="dxa"/>
            <w:tcBorders>
              <w:top w:val="single" w:sz="8" w:space="0" w:color="AEAEAE"/>
              <w:left w:val="nil"/>
              <w:bottom w:val="single" w:sz="8" w:space="0" w:color="AEAEAE"/>
              <w:right w:val="single" w:sz="8" w:space="0" w:color="E0E0E0"/>
            </w:tcBorders>
            <w:shd w:val="clear" w:color="auto" w:fill="auto"/>
          </w:tcPr>
          <w:p w14:paraId="5AA8E1C9"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.000</w:t>
            </w:r>
          </w:p>
        </w:tc>
        <w:tc>
          <w:tcPr>
            <w:tcW w:w="863" w:type="dxa"/>
            <w:tcBorders>
              <w:top w:val="single" w:sz="8" w:space="0" w:color="AEAEAE"/>
              <w:left w:val="single" w:sz="8" w:space="0" w:color="E0E0E0"/>
              <w:bottom w:val="single" w:sz="8" w:space="0" w:color="AEAEAE"/>
              <w:right w:val="single" w:sz="8" w:space="0" w:color="E0E0E0"/>
            </w:tcBorders>
            <w:shd w:val="clear" w:color="auto" w:fill="auto"/>
          </w:tcPr>
          <w:p w14:paraId="1BEAD2B5"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.001</w:t>
            </w:r>
          </w:p>
        </w:tc>
        <w:tc>
          <w:tcPr>
            <w:tcW w:w="863" w:type="dxa"/>
            <w:tcBorders>
              <w:top w:val="single" w:sz="8" w:space="0" w:color="AEAEAE"/>
              <w:left w:val="single" w:sz="8" w:space="0" w:color="E0E0E0"/>
              <w:bottom w:val="single" w:sz="8" w:space="0" w:color="AEAEAE"/>
              <w:right w:val="single" w:sz="8" w:space="0" w:color="E0E0E0"/>
            </w:tcBorders>
            <w:shd w:val="clear" w:color="auto" w:fill="auto"/>
          </w:tcPr>
          <w:p w14:paraId="1AA238CE"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.058</w:t>
            </w:r>
          </w:p>
        </w:tc>
        <w:tc>
          <w:tcPr>
            <w:tcW w:w="863" w:type="dxa"/>
            <w:tcBorders>
              <w:top w:val="single" w:sz="8" w:space="0" w:color="AEAEAE"/>
              <w:left w:val="single" w:sz="8" w:space="0" w:color="E0E0E0"/>
              <w:bottom w:val="single" w:sz="8" w:space="0" w:color="AEAEAE"/>
              <w:right w:val="single" w:sz="8" w:space="0" w:color="E0E0E0"/>
            </w:tcBorders>
            <w:shd w:val="clear" w:color="auto" w:fill="auto"/>
          </w:tcPr>
          <w:p w14:paraId="5C6A0283"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1</w:t>
            </w:r>
          </w:p>
        </w:tc>
        <w:tc>
          <w:tcPr>
            <w:tcW w:w="863" w:type="dxa"/>
            <w:tcBorders>
              <w:top w:val="single" w:sz="8" w:space="0" w:color="AEAEAE"/>
              <w:left w:val="single" w:sz="8" w:space="0" w:color="E0E0E0"/>
              <w:bottom w:val="single" w:sz="8" w:space="0" w:color="AEAEAE"/>
              <w:right w:val="single" w:sz="8" w:space="0" w:color="E0E0E0"/>
            </w:tcBorders>
            <w:shd w:val="clear" w:color="auto" w:fill="auto"/>
          </w:tcPr>
          <w:p w14:paraId="69EF46F6"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.810</w:t>
            </w:r>
          </w:p>
        </w:tc>
        <w:tc>
          <w:tcPr>
            <w:tcW w:w="863" w:type="dxa"/>
            <w:tcBorders>
              <w:top w:val="single" w:sz="8" w:space="0" w:color="AEAEAE"/>
              <w:left w:val="single" w:sz="8" w:space="0" w:color="E0E0E0"/>
              <w:bottom w:val="single" w:sz="8" w:space="0" w:color="AEAEAE"/>
              <w:right w:val="nil"/>
            </w:tcBorders>
            <w:shd w:val="clear" w:color="auto" w:fill="auto"/>
          </w:tcPr>
          <w:p w14:paraId="1B823060"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1.000</w:t>
            </w:r>
          </w:p>
        </w:tc>
      </w:tr>
      <w:tr w:rsidR="00CE13B2" w:rsidRPr="00CE13B2" w14:paraId="0AE4C47F" w14:textId="77777777" w:rsidTr="00CE13B2">
        <w:trPr>
          <w:cantSplit/>
          <w:trHeight w:val="142"/>
          <w:jc w:val="center"/>
        </w:trPr>
        <w:tc>
          <w:tcPr>
            <w:tcW w:w="772" w:type="dxa"/>
            <w:vMerge/>
            <w:tcBorders>
              <w:top w:val="single" w:sz="8" w:space="0" w:color="152935"/>
              <w:left w:val="nil"/>
              <w:bottom w:val="single" w:sz="8" w:space="0" w:color="152935"/>
              <w:right w:val="nil"/>
            </w:tcBorders>
            <w:shd w:val="clear" w:color="auto" w:fill="auto"/>
          </w:tcPr>
          <w:p w14:paraId="7F028631" w14:textId="77777777" w:rsidR="008E6DD7" w:rsidRPr="00CE13B2" w:rsidRDefault="008E6DD7" w:rsidP="00213F21">
            <w:pPr>
              <w:autoSpaceDE w:val="0"/>
              <w:autoSpaceDN w:val="0"/>
              <w:adjustRightInd w:val="0"/>
              <w:spacing w:after="0" w:line="240" w:lineRule="auto"/>
              <w:rPr>
                <w:rFonts w:ascii="Cambria" w:hAnsi="Cambria" w:cs="Arial"/>
                <w:color w:val="000000" w:themeColor="text1"/>
                <w:sz w:val="20"/>
                <w:szCs w:val="20"/>
              </w:rPr>
            </w:pPr>
          </w:p>
        </w:tc>
        <w:tc>
          <w:tcPr>
            <w:tcW w:w="2060" w:type="dxa"/>
            <w:tcBorders>
              <w:top w:val="single" w:sz="8" w:space="0" w:color="AEAEAE"/>
              <w:left w:val="nil"/>
              <w:bottom w:val="single" w:sz="8" w:space="0" w:color="AEAEAE"/>
              <w:right w:val="nil"/>
            </w:tcBorders>
            <w:shd w:val="clear" w:color="auto" w:fill="auto"/>
          </w:tcPr>
          <w:p w14:paraId="1EE30C00" w14:textId="77777777" w:rsidR="00F04CEF" w:rsidRPr="00CE13B2" w:rsidRDefault="000F4100">
            <w:pPr>
              <w:autoSpaceDE w:val="0"/>
              <w:autoSpaceDN w:val="0"/>
              <w:adjustRightInd w:val="0"/>
              <w:spacing w:after="0" w:line="240" w:lineRule="auto"/>
              <w:ind w:left="60" w:right="60"/>
              <w:rPr>
                <w:rFonts w:ascii="Cambria" w:hAnsi="Cambria" w:cs="Arial"/>
                <w:color w:val="000000" w:themeColor="text1"/>
                <w:sz w:val="20"/>
                <w:szCs w:val="20"/>
              </w:rPr>
            </w:pPr>
            <w:r w:rsidRPr="00CE13B2">
              <w:rPr>
                <w:rFonts w:ascii="Cambria" w:hAnsi="Cambria" w:cs="Arial"/>
                <w:color w:val="000000" w:themeColor="text1"/>
                <w:sz w:val="20"/>
                <w:szCs w:val="20"/>
              </w:rPr>
              <w:t>company growth</w:t>
            </w:r>
          </w:p>
        </w:tc>
        <w:tc>
          <w:tcPr>
            <w:tcW w:w="862" w:type="dxa"/>
            <w:tcBorders>
              <w:top w:val="single" w:sz="8" w:space="0" w:color="AEAEAE"/>
              <w:left w:val="nil"/>
              <w:bottom w:val="single" w:sz="8" w:space="0" w:color="AEAEAE"/>
              <w:right w:val="single" w:sz="8" w:space="0" w:color="E0E0E0"/>
            </w:tcBorders>
            <w:shd w:val="clear" w:color="auto" w:fill="auto"/>
          </w:tcPr>
          <w:p w14:paraId="07501BC5"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-.034</w:t>
            </w:r>
          </w:p>
        </w:tc>
        <w:tc>
          <w:tcPr>
            <w:tcW w:w="863" w:type="dxa"/>
            <w:tcBorders>
              <w:top w:val="single" w:sz="8" w:space="0" w:color="AEAEAE"/>
              <w:left w:val="single" w:sz="8" w:space="0" w:color="E0E0E0"/>
              <w:bottom w:val="single" w:sz="8" w:space="0" w:color="AEAEAE"/>
              <w:right w:val="single" w:sz="8" w:space="0" w:color="E0E0E0"/>
            </w:tcBorders>
            <w:shd w:val="clear" w:color="auto" w:fill="auto"/>
          </w:tcPr>
          <w:p w14:paraId="2745F7C9"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.018</w:t>
            </w:r>
          </w:p>
        </w:tc>
        <w:tc>
          <w:tcPr>
            <w:tcW w:w="863" w:type="dxa"/>
            <w:tcBorders>
              <w:top w:val="single" w:sz="8" w:space="0" w:color="AEAEAE"/>
              <w:left w:val="single" w:sz="8" w:space="0" w:color="E0E0E0"/>
              <w:bottom w:val="single" w:sz="8" w:space="0" w:color="AEAEAE"/>
              <w:right w:val="single" w:sz="8" w:space="0" w:color="E0E0E0"/>
            </w:tcBorders>
            <w:shd w:val="clear" w:color="auto" w:fill="auto"/>
          </w:tcPr>
          <w:p w14:paraId="423F9BBB"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3.546</w:t>
            </w:r>
          </w:p>
        </w:tc>
        <w:tc>
          <w:tcPr>
            <w:tcW w:w="863" w:type="dxa"/>
            <w:tcBorders>
              <w:top w:val="single" w:sz="8" w:space="0" w:color="AEAEAE"/>
              <w:left w:val="single" w:sz="8" w:space="0" w:color="E0E0E0"/>
              <w:bottom w:val="single" w:sz="8" w:space="0" w:color="AEAEAE"/>
              <w:right w:val="single" w:sz="8" w:space="0" w:color="E0E0E0"/>
            </w:tcBorders>
            <w:shd w:val="clear" w:color="auto" w:fill="auto"/>
          </w:tcPr>
          <w:p w14:paraId="1D463A3D"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1</w:t>
            </w:r>
          </w:p>
        </w:tc>
        <w:tc>
          <w:tcPr>
            <w:tcW w:w="863" w:type="dxa"/>
            <w:tcBorders>
              <w:top w:val="single" w:sz="8" w:space="0" w:color="AEAEAE"/>
              <w:left w:val="single" w:sz="8" w:space="0" w:color="E0E0E0"/>
              <w:bottom w:val="single" w:sz="8" w:space="0" w:color="AEAEAE"/>
              <w:right w:val="single" w:sz="8" w:space="0" w:color="E0E0E0"/>
            </w:tcBorders>
            <w:shd w:val="clear" w:color="auto" w:fill="auto"/>
          </w:tcPr>
          <w:p w14:paraId="2A34FFD1"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.060</w:t>
            </w:r>
          </w:p>
        </w:tc>
        <w:tc>
          <w:tcPr>
            <w:tcW w:w="863" w:type="dxa"/>
            <w:tcBorders>
              <w:top w:val="single" w:sz="8" w:space="0" w:color="AEAEAE"/>
              <w:left w:val="single" w:sz="8" w:space="0" w:color="E0E0E0"/>
              <w:bottom w:val="single" w:sz="8" w:space="0" w:color="AEAEAE"/>
              <w:right w:val="nil"/>
            </w:tcBorders>
            <w:shd w:val="clear" w:color="auto" w:fill="auto"/>
          </w:tcPr>
          <w:p w14:paraId="4E46BD9B"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.967</w:t>
            </w:r>
          </w:p>
        </w:tc>
      </w:tr>
      <w:tr w:rsidR="00CE13B2" w:rsidRPr="00CE13B2" w14:paraId="7D6386D1" w14:textId="77777777" w:rsidTr="00CE13B2">
        <w:trPr>
          <w:cantSplit/>
          <w:trHeight w:val="142"/>
          <w:jc w:val="center"/>
        </w:trPr>
        <w:tc>
          <w:tcPr>
            <w:tcW w:w="772" w:type="dxa"/>
            <w:vMerge/>
            <w:tcBorders>
              <w:top w:val="single" w:sz="8" w:space="0" w:color="152935"/>
              <w:left w:val="nil"/>
              <w:bottom w:val="single" w:sz="8" w:space="0" w:color="152935"/>
              <w:right w:val="nil"/>
            </w:tcBorders>
            <w:shd w:val="clear" w:color="auto" w:fill="auto"/>
          </w:tcPr>
          <w:p w14:paraId="0552DFCE" w14:textId="77777777" w:rsidR="008E6DD7" w:rsidRPr="00CE13B2" w:rsidRDefault="008E6DD7" w:rsidP="00213F21">
            <w:pPr>
              <w:autoSpaceDE w:val="0"/>
              <w:autoSpaceDN w:val="0"/>
              <w:adjustRightInd w:val="0"/>
              <w:spacing w:after="0" w:line="240" w:lineRule="auto"/>
              <w:rPr>
                <w:rFonts w:ascii="Cambria" w:hAnsi="Cambria" w:cs="Arial"/>
                <w:color w:val="000000" w:themeColor="text1"/>
                <w:sz w:val="20"/>
                <w:szCs w:val="20"/>
              </w:rPr>
            </w:pPr>
          </w:p>
        </w:tc>
        <w:tc>
          <w:tcPr>
            <w:tcW w:w="2060" w:type="dxa"/>
            <w:tcBorders>
              <w:top w:val="single" w:sz="8" w:space="0" w:color="AEAEAE"/>
              <w:left w:val="nil"/>
              <w:bottom w:val="single" w:sz="8" w:space="0" w:color="152935"/>
              <w:right w:val="nil"/>
            </w:tcBorders>
            <w:shd w:val="clear" w:color="auto" w:fill="auto"/>
          </w:tcPr>
          <w:p w14:paraId="5760A6FE" w14:textId="77777777" w:rsidR="00F04CEF" w:rsidRPr="00CE13B2" w:rsidRDefault="000F4100">
            <w:pPr>
              <w:autoSpaceDE w:val="0"/>
              <w:autoSpaceDN w:val="0"/>
              <w:adjustRightInd w:val="0"/>
              <w:spacing w:after="0" w:line="240" w:lineRule="auto"/>
              <w:ind w:left="60" w:right="60"/>
              <w:rPr>
                <w:rFonts w:ascii="Cambria" w:hAnsi="Cambria" w:cs="Arial"/>
                <w:color w:val="000000" w:themeColor="text1"/>
                <w:sz w:val="20"/>
                <w:szCs w:val="20"/>
              </w:rPr>
            </w:pPr>
            <w:r w:rsidRPr="00CE13B2">
              <w:rPr>
                <w:rFonts w:ascii="Cambria" w:hAnsi="Cambria" w:cs="Arial"/>
                <w:color w:val="000000" w:themeColor="text1"/>
                <w:sz w:val="20"/>
                <w:szCs w:val="20"/>
              </w:rPr>
              <w:t>Constant</w:t>
            </w:r>
          </w:p>
        </w:tc>
        <w:tc>
          <w:tcPr>
            <w:tcW w:w="862" w:type="dxa"/>
            <w:tcBorders>
              <w:top w:val="single" w:sz="8" w:space="0" w:color="AEAEAE"/>
              <w:left w:val="nil"/>
              <w:bottom w:val="single" w:sz="8" w:space="0" w:color="152935"/>
              <w:right w:val="single" w:sz="8" w:space="0" w:color="E0E0E0"/>
            </w:tcBorders>
            <w:shd w:val="clear" w:color="auto" w:fill="auto"/>
          </w:tcPr>
          <w:p w14:paraId="31F35137"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-2.063</w:t>
            </w:r>
          </w:p>
        </w:tc>
        <w:tc>
          <w:tcPr>
            <w:tcW w:w="863" w:type="dxa"/>
            <w:tcBorders>
              <w:top w:val="single" w:sz="8" w:space="0" w:color="AEAEAE"/>
              <w:left w:val="single" w:sz="8" w:space="0" w:color="E0E0E0"/>
              <w:bottom w:val="single" w:sz="8" w:space="0" w:color="152935"/>
              <w:right w:val="single" w:sz="8" w:space="0" w:color="E0E0E0"/>
            </w:tcBorders>
            <w:shd w:val="clear" w:color="auto" w:fill="auto"/>
          </w:tcPr>
          <w:p w14:paraId="5E7F76E2"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.368</w:t>
            </w:r>
          </w:p>
        </w:tc>
        <w:tc>
          <w:tcPr>
            <w:tcW w:w="863" w:type="dxa"/>
            <w:tcBorders>
              <w:top w:val="single" w:sz="8" w:space="0" w:color="AEAEAE"/>
              <w:left w:val="single" w:sz="8" w:space="0" w:color="E0E0E0"/>
              <w:bottom w:val="single" w:sz="8" w:space="0" w:color="152935"/>
              <w:right w:val="single" w:sz="8" w:space="0" w:color="E0E0E0"/>
            </w:tcBorders>
            <w:shd w:val="clear" w:color="auto" w:fill="auto"/>
          </w:tcPr>
          <w:p w14:paraId="5B009604"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31.403</w:t>
            </w:r>
          </w:p>
        </w:tc>
        <w:tc>
          <w:tcPr>
            <w:tcW w:w="863" w:type="dxa"/>
            <w:tcBorders>
              <w:top w:val="single" w:sz="8" w:space="0" w:color="AEAEAE"/>
              <w:left w:val="single" w:sz="8" w:space="0" w:color="E0E0E0"/>
              <w:bottom w:val="single" w:sz="8" w:space="0" w:color="152935"/>
              <w:right w:val="single" w:sz="8" w:space="0" w:color="E0E0E0"/>
            </w:tcBorders>
            <w:shd w:val="clear" w:color="auto" w:fill="auto"/>
          </w:tcPr>
          <w:p w14:paraId="4087F018"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1</w:t>
            </w:r>
          </w:p>
        </w:tc>
        <w:tc>
          <w:tcPr>
            <w:tcW w:w="863" w:type="dxa"/>
            <w:tcBorders>
              <w:top w:val="single" w:sz="8" w:space="0" w:color="AEAEAE"/>
              <w:left w:val="single" w:sz="8" w:space="0" w:color="E0E0E0"/>
              <w:bottom w:val="single" w:sz="8" w:space="0" w:color="152935"/>
              <w:right w:val="single" w:sz="8" w:space="0" w:color="E0E0E0"/>
            </w:tcBorders>
            <w:shd w:val="clear" w:color="auto" w:fill="auto"/>
          </w:tcPr>
          <w:p w14:paraId="3A129DFD"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.000</w:t>
            </w:r>
          </w:p>
        </w:tc>
        <w:tc>
          <w:tcPr>
            <w:tcW w:w="863" w:type="dxa"/>
            <w:tcBorders>
              <w:top w:val="single" w:sz="8" w:space="0" w:color="AEAEAE"/>
              <w:left w:val="single" w:sz="8" w:space="0" w:color="E0E0E0"/>
              <w:bottom w:val="single" w:sz="8" w:space="0" w:color="152935"/>
              <w:right w:val="nil"/>
            </w:tcBorders>
            <w:shd w:val="clear" w:color="auto" w:fill="auto"/>
          </w:tcPr>
          <w:p w14:paraId="7743C182" w14:textId="77777777" w:rsidR="00F04CEF" w:rsidRPr="00CE13B2" w:rsidRDefault="000F4100">
            <w:pPr>
              <w:autoSpaceDE w:val="0"/>
              <w:autoSpaceDN w:val="0"/>
              <w:adjustRightInd w:val="0"/>
              <w:spacing w:after="0" w:line="240" w:lineRule="auto"/>
              <w:ind w:left="60" w:right="60"/>
              <w:jc w:val="right"/>
              <w:rPr>
                <w:rFonts w:ascii="Cambria" w:hAnsi="Cambria" w:cs="Arial"/>
                <w:color w:val="000000" w:themeColor="text1"/>
                <w:sz w:val="20"/>
                <w:szCs w:val="20"/>
              </w:rPr>
            </w:pPr>
            <w:r w:rsidRPr="00CE13B2">
              <w:rPr>
                <w:rFonts w:ascii="Cambria" w:hAnsi="Cambria" w:cs="Arial"/>
                <w:color w:val="000000" w:themeColor="text1"/>
                <w:sz w:val="20"/>
                <w:szCs w:val="20"/>
              </w:rPr>
              <w:t>.127</w:t>
            </w:r>
          </w:p>
        </w:tc>
      </w:tr>
      <w:tr w:rsidR="00CE13B2" w:rsidRPr="00CE13B2" w14:paraId="75FF3D02" w14:textId="77777777" w:rsidTr="00CE13B2">
        <w:trPr>
          <w:cantSplit/>
          <w:trHeight w:val="323"/>
          <w:jc w:val="center"/>
        </w:trPr>
        <w:tc>
          <w:tcPr>
            <w:tcW w:w="8011" w:type="dxa"/>
            <w:gridSpan w:val="8"/>
            <w:tcBorders>
              <w:top w:val="nil"/>
              <w:left w:val="nil"/>
              <w:bottom w:val="nil"/>
              <w:right w:val="nil"/>
            </w:tcBorders>
            <w:shd w:val="clear" w:color="auto" w:fill="auto"/>
          </w:tcPr>
          <w:p w14:paraId="6E380406" w14:textId="77777777" w:rsidR="00F04CEF" w:rsidRPr="00CE13B2" w:rsidRDefault="000F4100">
            <w:pPr>
              <w:autoSpaceDE w:val="0"/>
              <w:autoSpaceDN w:val="0"/>
              <w:adjustRightInd w:val="0"/>
              <w:spacing w:after="0" w:line="240" w:lineRule="auto"/>
              <w:ind w:left="60" w:right="60"/>
              <w:rPr>
                <w:rFonts w:ascii="Cambria" w:hAnsi="Cambria" w:cs="Arial"/>
                <w:color w:val="000000" w:themeColor="text1"/>
                <w:sz w:val="20"/>
                <w:szCs w:val="20"/>
              </w:rPr>
            </w:pPr>
            <w:proofErr w:type="gramStart"/>
            <w:r w:rsidRPr="00CE13B2">
              <w:rPr>
                <w:rFonts w:ascii="Cambria" w:hAnsi="Cambria" w:cs="Arial"/>
                <w:color w:val="000000" w:themeColor="text1"/>
                <w:sz w:val="20"/>
                <w:szCs w:val="20"/>
              </w:rPr>
              <w:t>a</w:t>
            </w:r>
            <w:proofErr w:type="gramEnd"/>
            <w:r w:rsidRPr="00CE13B2">
              <w:rPr>
                <w:rFonts w:ascii="Cambria" w:hAnsi="Cambria" w:cs="Arial"/>
                <w:color w:val="000000" w:themeColor="text1"/>
                <w:sz w:val="20"/>
                <w:szCs w:val="20"/>
              </w:rPr>
              <w:t>. variable (s) entered on step 1: profitability, leverage, company growth.</w:t>
            </w:r>
          </w:p>
        </w:tc>
      </w:tr>
    </w:tbl>
    <w:p w14:paraId="5BD4660B" w14:textId="77777777" w:rsidR="008E6DD7" w:rsidRPr="00213F21" w:rsidRDefault="008E6DD7" w:rsidP="00213F21">
      <w:pPr>
        <w:autoSpaceDE w:val="0"/>
        <w:autoSpaceDN w:val="0"/>
        <w:adjustRightInd w:val="0"/>
        <w:spacing w:after="0" w:line="240" w:lineRule="auto"/>
        <w:rPr>
          <w:rFonts w:ascii="Cambria" w:hAnsi="Cambria" w:cs="Times New Roman"/>
          <w:sz w:val="20"/>
          <w:szCs w:val="20"/>
        </w:rPr>
      </w:pPr>
    </w:p>
    <w:p w14:paraId="7E5B989F" w14:textId="77777777" w:rsidR="00F04CEF" w:rsidRDefault="000F4100">
      <w:pPr>
        <w:spacing w:line="240" w:lineRule="auto"/>
        <w:jc w:val="both"/>
        <w:rPr>
          <w:rFonts w:ascii="Cambria" w:hAnsi="Cambria" w:cs="Times New Roman"/>
          <w:color w:val="010205"/>
          <w:sz w:val="21"/>
          <w:szCs w:val="21"/>
        </w:rPr>
      </w:pPr>
      <w:r w:rsidRPr="00213F21">
        <w:rPr>
          <w:rFonts w:ascii="Cambria" w:hAnsi="Cambria" w:cs="Times New Roman"/>
          <w:color w:val="010205"/>
          <w:sz w:val="21"/>
          <w:szCs w:val="21"/>
        </w:rPr>
        <w:t>Based on the test results in Table 7</w:t>
      </w:r>
      <w:r w:rsidR="008E6DD7" w:rsidRPr="00213F21">
        <w:rPr>
          <w:rFonts w:ascii="Cambria" w:hAnsi="Cambria" w:cs="Times New Roman"/>
          <w:color w:val="010205"/>
          <w:sz w:val="21"/>
          <w:szCs w:val="21"/>
        </w:rPr>
        <w:t>, the regression model equation is obtained as follows:</w:t>
      </w:r>
    </w:p>
    <w:p w14:paraId="1AFB09CB" w14:textId="77777777" w:rsidR="00F04CEF" w:rsidRDefault="000F4100">
      <w:pPr>
        <w:spacing w:line="240" w:lineRule="auto"/>
        <w:ind w:left="709" w:firstLine="142"/>
        <w:jc w:val="both"/>
        <w:rPr>
          <w:rFonts w:ascii="Cambria" w:hAnsi="Cambria" w:cs="Times New Roman"/>
          <w:color w:val="010205"/>
          <w:sz w:val="21"/>
          <w:szCs w:val="21"/>
        </w:rPr>
      </w:pPr>
      <w:r w:rsidRPr="00213F21">
        <w:rPr>
          <w:rFonts w:ascii="Cambria" w:hAnsi="Cambria" w:cs="Times New Roman"/>
          <w:color w:val="010205"/>
          <w:sz w:val="21"/>
          <w:szCs w:val="21"/>
        </w:rPr>
        <w:t>GC = -2.063- 0.027PROF + 0.000LEV- 0.034KP</w:t>
      </w:r>
    </w:p>
    <w:p w14:paraId="2BB3784E" w14:textId="77777777" w:rsidR="00F04CEF" w:rsidRDefault="000F4100">
      <w:pPr>
        <w:spacing w:after="0" w:line="240" w:lineRule="auto"/>
        <w:ind w:firstLine="709"/>
        <w:jc w:val="both"/>
        <w:rPr>
          <w:rFonts w:ascii="Cambria" w:hAnsi="Cambria" w:cs="Times New Roman"/>
          <w:color w:val="010205"/>
          <w:sz w:val="21"/>
          <w:szCs w:val="21"/>
        </w:rPr>
      </w:pPr>
      <w:r w:rsidRPr="00213F21">
        <w:rPr>
          <w:rFonts w:ascii="Cambria" w:hAnsi="Cambria" w:cs="Times New Roman"/>
          <w:color w:val="010205"/>
          <w:sz w:val="21"/>
          <w:szCs w:val="21"/>
        </w:rPr>
        <w:t xml:space="preserve">The profitability variable before the Covid-19 pandemic has a Wald statistic of 0.792 while the profitability coefficient result is -0.027, which means that every 1% increase in profitability will decrease the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 xml:space="preserve">Audit Opinion by 0.027 units assuming the other coefficient values remain. </w:t>
      </w:r>
      <w:r w:rsidRPr="00213F21">
        <w:rPr>
          <w:rFonts w:ascii="Cambria" w:hAnsi="Cambria" w:cs="Times New Roman"/>
          <w:i/>
          <w:iCs/>
          <w:color w:val="010205"/>
          <w:sz w:val="21"/>
          <w:szCs w:val="21"/>
        </w:rPr>
        <w:t xml:space="preserve">Return on assets </w:t>
      </w:r>
      <w:r w:rsidRPr="00213F21">
        <w:rPr>
          <w:rFonts w:ascii="Cambria" w:hAnsi="Cambria" w:cs="Times New Roman"/>
          <w:color w:val="010205"/>
          <w:sz w:val="21"/>
          <w:szCs w:val="21"/>
        </w:rPr>
        <w:t xml:space="preserve">(ROA) is used to measure the profitability variable with a significant result of 0.374, higher than 0.05. It means the profitability variable before the Covid-19 pandemic did not significantly affect the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 xml:space="preserve">audit opinion. </w:t>
      </w:r>
    </w:p>
    <w:p w14:paraId="1F1B0DB9" w14:textId="77777777" w:rsidR="00F04CEF" w:rsidRDefault="000F4100">
      <w:pPr>
        <w:spacing w:after="0" w:line="240" w:lineRule="auto"/>
        <w:ind w:firstLine="709"/>
        <w:jc w:val="both"/>
        <w:rPr>
          <w:rFonts w:ascii="Cambria" w:hAnsi="Cambria" w:cs="Times New Roman"/>
          <w:color w:val="010205"/>
          <w:sz w:val="21"/>
          <w:szCs w:val="21"/>
        </w:rPr>
      </w:pPr>
      <w:r w:rsidRPr="00213F21">
        <w:rPr>
          <w:rFonts w:ascii="Cambria" w:hAnsi="Cambria" w:cs="Times New Roman"/>
          <w:i/>
          <w:iCs/>
          <w:color w:val="010205"/>
          <w:sz w:val="21"/>
          <w:szCs w:val="21"/>
        </w:rPr>
        <w:t xml:space="preserve">The Leverage </w:t>
      </w:r>
      <w:r w:rsidRPr="00213F21">
        <w:rPr>
          <w:rFonts w:ascii="Cambria" w:hAnsi="Cambria" w:cs="Times New Roman"/>
          <w:color w:val="010205"/>
          <w:sz w:val="21"/>
          <w:szCs w:val="21"/>
        </w:rPr>
        <w:t xml:space="preserve">variable has a Wald statistic of 0.058 and a coefficient value of 0.000, which means that every 1% increase in </w:t>
      </w:r>
      <w:r w:rsidRPr="00213F21">
        <w:rPr>
          <w:rFonts w:ascii="Cambria" w:hAnsi="Cambria" w:cs="Times New Roman"/>
          <w:i/>
          <w:iCs/>
          <w:color w:val="010205"/>
          <w:sz w:val="21"/>
          <w:szCs w:val="21"/>
        </w:rPr>
        <w:t xml:space="preserve">leverage </w:t>
      </w:r>
      <w:r w:rsidRPr="00213F21">
        <w:rPr>
          <w:rFonts w:ascii="Cambria" w:hAnsi="Cambria" w:cs="Times New Roman"/>
          <w:color w:val="010205"/>
          <w:sz w:val="21"/>
          <w:szCs w:val="21"/>
        </w:rPr>
        <w:t xml:space="preserve">will decrease the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 xml:space="preserve">Audit Opinion by 0.000 units with the assumption that the coefficient value of other variables is constant. </w:t>
      </w:r>
      <w:r w:rsidRPr="00213F21">
        <w:rPr>
          <w:rFonts w:ascii="Cambria" w:hAnsi="Cambria" w:cs="Times New Roman"/>
          <w:i/>
          <w:iCs/>
          <w:color w:val="010205"/>
          <w:sz w:val="21"/>
          <w:szCs w:val="21"/>
        </w:rPr>
        <w:t xml:space="preserve">Debt to total assets </w:t>
      </w:r>
      <w:r w:rsidRPr="00213F21">
        <w:rPr>
          <w:rFonts w:ascii="Cambria" w:hAnsi="Cambria" w:cs="Times New Roman"/>
          <w:color w:val="010205"/>
          <w:sz w:val="21"/>
          <w:szCs w:val="21"/>
        </w:rPr>
        <w:t xml:space="preserve">in this study </w:t>
      </w:r>
      <w:r w:rsidR="002A0F60">
        <w:rPr>
          <w:rFonts w:ascii="Cambria" w:hAnsi="Cambria" w:cs="Times New Roman"/>
          <w:color w:val="010205"/>
          <w:sz w:val="21"/>
          <w:szCs w:val="21"/>
        </w:rPr>
        <w:t>was</w:t>
      </w:r>
      <w:r w:rsidRPr="00213F21">
        <w:rPr>
          <w:rFonts w:ascii="Cambria" w:hAnsi="Cambria" w:cs="Times New Roman"/>
          <w:color w:val="010205"/>
          <w:sz w:val="21"/>
          <w:szCs w:val="21"/>
        </w:rPr>
        <w:t xml:space="preserve"> used to measure the leverage variable with a significant result of 0.810, higher than 0.05. It means the leverage variable before the Covid-19 pandemic did not significantly affect the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audit opinion.</w:t>
      </w:r>
    </w:p>
    <w:p w14:paraId="6BEA2D53" w14:textId="77777777" w:rsidR="00F04CEF" w:rsidRDefault="000F4100">
      <w:pPr>
        <w:spacing w:after="0" w:line="240" w:lineRule="auto"/>
        <w:ind w:firstLine="709"/>
        <w:jc w:val="both"/>
        <w:rPr>
          <w:rFonts w:ascii="Cambria" w:hAnsi="Cambria" w:cs="Times New Roman"/>
          <w:color w:val="010205"/>
          <w:sz w:val="21"/>
          <w:szCs w:val="21"/>
        </w:rPr>
      </w:pPr>
      <w:r w:rsidRPr="00213F21">
        <w:rPr>
          <w:rFonts w:ascii="Cambria" w:hAnsi="Cambria" w:cs="Times New Roman"/>
          <w:color w:val="010205"/>
          <w:sz w:val="21"/>
          <w:szCs w:val="21"/>
        </w:rPr>
        <w:t xml:space="preserve">The company growth variable has a Wald statistic of 3.546 and a coefficient value of -0.034, which means that every 1% increase in company growth will decrease the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Audit Opinion by 0.034 units with the assumption that the coefficient value of other variables is constant. The company growth variable has a significant result of 0.060, greater than 0.05</w:t>
      </w:r>
      <w:r w:rsidR="002A0F60">
        <w:rPr>
          <w:rFonts w:ascii="Cambria" w:hAnsi="Cambria" w:cs="Times New Roman"/>
          <w:color w:val="010205"/>
          <w:sz w:val="21"/>
          <w:szCs w:val="21"/>
        </w:rPr>
        <w:t xml:space="preserve">. It means </w:t>
      </w:r>
      <w:r w:rsidRPr="00213F21">
        <w:rPr>
          <w:rFonts w:ascii="Cambria" w:hAnsi="Cambria" w:cs="Times New Roman"/>
          <w:color w:val="010205"/>
          <w:sz w:val="21"/>
          <w:szCs w:val="21"/>
        </w:rPr>
        <w:t xml:space="preserve">that the company growth variable before the Covid-19 pandemic did not significantly affect the acceptance of going concern audit opinion. </w:t>
      </w:r>
    </w:p>
    <w:p w14:paraId="11D9AF0F" w14:textId="77777777" w:rsidR="005834D6" w:rsidRDefault="005834D6" w:rsidP="00213F21">
      <w:pPr>
        <w:spacing w:after="160" w:line="240" w:lineRule="auto"/>
        <w:contextualSpacing/>
        <w:jc w:val="both"/>
        <w:rPr>
          <w:rFonts w:ascii="Times New Roman" w:hAnsi="Times New Roman"/>
          <w:b/>
          <w:color w:val="010205"/>
          <w:sz w:val="24"/>
          <w:szCs w:val="24"/>
        </w:rPr>
      </w:pPr>
    </w:p>
    <w:p w14:paraId="671D871F" w14:textId="77777777" w:rsidR="00F04CEF" w:rsidRDefault="000F4100">
      <w:pPr>
        <w:spacing w:after="160" w:line="240" w:lineRule="auto"/>
        <w:contextualSpacing/>
        <w:jc w:val="both"/>
        <w:rPr>
          <w:rFonts w:ascii="Cambria" w:hAnsi="Cambria"/>
          <w:b/>
          <w:color w:val="010205"/>
          <w:sz w:val="21"/>
          <w:szCs w:val="21"/>
        </w:rPr>
      </w:pPr>
      <w:r w:rsidRPr="00213F21">
        <w:rPr>
          <w:rFonts w:ascii="Cambria" w:hAnsi="Cambria"/>
          <w:b/>
          <w:color w:val="010205"/>
          <w:sz w:val="21"/>
          <w:szCs w:val="21"/>
        </w:rPr>
        <w:lastRenderedPageBreak/>
        <w:t>Regression Model Analysis During Covid-19 Pandemic</w:t>
      </w:r>
    </w:p>
    <w:p w14:paraId="72D5A4B3" w14:textId="77777777" w:rsidR="00F04CEF" w:rsidRDefault="000F4100">
      <w:pPr>
        <w:spacing w:line="240" w:lineRule="auto"/>
        <w:jc w:val="both"/>
        <w:rPr>
          <w:rFonts w:ascii="Cambria" w:hAnsi="Cambria" w:cs="Times New Roman"/>
          <w:b/>
          <w:color w:val="010205"/>
          <w:sz w:val="21"/>
          <w:szCs w:val="21"/>
        </w:rPr>
      </w:pPr>
      <w:r w:rsidRPr="00213F21">
        <w:rPr>
          <w:rFonts w:ascii="Cambria" w:hAnsi="Cambria" w:cs="Times New Roman"/>
          <w:sz w:val="21"/>
          <w:szCs w:val="21"/>
        </w:rPr>
        <w:t xml:space="preserve">The logistic regression analysis results during the Covid-19 pandemic </w:t>
      </w:r>
      <w:r w:rsidR="00213F21" w:rsidRPr="00213F21">
        <w:rPr>
          <w:rFonts w:ascii="Cambria" w:hAnsi="Cambria" w:cs="Times New Roman"/>
          <w:sz w:val="21"/>
          <w:szCs w:val="21"/>
        </w:rPr>
        <w:t>are described in Table 8.</w:t>
      </w:r>
    </w:p>
    <w:p w14:paraId="091C4B36" w14:textId="2728047E" w:rsidR="00F04CEF" w:rsidRPr="00E22241" w:rsidRDefault="000F4100" w:rsidP="00E22241">
      <w:pPr>
        <w:autoSpaceDE w:val="0"/>
        <w:autoSpaceDN w:val="0"/>
        <w:adjustRightInd w:val="0"/>
        <w:spacing w:after="0" w:line="240" w:lineRule="auto"/>
        <w:jc w:val="center"/>
        <w:rPr>
          <w:rFonts w:ascii="Cambria" w:hAnsi="Cambria" w:cs="Times New Roman"/>
          <w:b/>
          <w:bCs/>
          <w:color w:val="FF0000"/>
          <w:sz w:val="21"/>
          <w:szCs w:val="21"/>
        </w:rPr>
      </w:pPr>
      <w:proofErr w:type="gramStart"/>
      <w:r w:rsidRPr="00E22241">
        <w:rPr>
          <w:rFonts w:ascii="Cambria" w:hAnsi="Cambria" w:cs="Times New Roman"/>
          <w:b/>
          <w:bCs/>
          <w:color w:val="000000" w:themeColor="text1"/>
          <w:sz w:val="21"/>
          <w:szCs w:val="21"/>
        </w:rPr>
        <w:t xml:space="preserve">Table </w:t>
      </w:r>
      <w:r w:rsidR="00E22241" w:rsidRPr="00E22241">
        <w:rPr>
          <w:rFonts w:ascii="Cambria" w:hAnsi="Cambria" w:cs="Times New Roman"/>
          <w:b/>
          <w:bCs/>
          <w:color w:val="000000" w:themeColor="text1"/>
          <w:sz w:val="21"/>
          <w:szCs w:val="21"/>
        </w:rPr>
        <w:t>8.</w:t>
      </w:r>
      <w:proofErr w:type="gramEnd"/>
      <w:r w:rsidR="00E22241" w:rsidRPr="00E22241">
        <w:rPr>
          <w:rFonts w:ascii="Cambria" w:hAnsi="Cambria" w:cs="Times New Roman"/>
          <w:b/>
          <w:bCs/>
          <w:color w:val="000000" w:themeColor="text1"/>
          <w:sz w:val="21"/>
          <w:szCs w:val="21"/>
        </w:rPr>
        <w:t xml:space="preserve"> </w:t>
      </w:r>
      <w:r w:rsidR="00F44CE6" w:rsidRPr="00E22241">
        <w:rPr>
          <w:rFonts w:ascii="Cambria" w:hAnsi="Cambria" w:cs="Times New Roman"/>
          <w:b/>
          <w:color w:val="000000" w:themeColor="text1"/>
          <w:sz w:val="21"/>
          <w:szCs w:val="21"/>
        </w:rPr>
        <w:t xml:space="preserve">Logistic </w:t>
      </w:r>
      <w:r w:rsidR="00E22241" w:rsidRPr="00E22241">
        <w:rPr>
          <w:rFonts w:ascii="Cambria" w:hAnsi="Cambria" w:cs="Times New Roman"/>
          <w:b/>
          <w:color w:val="000000" w:themeColor="text1"/>
          <w:sz w:val="21"/>
          <w:szCs w:val="21"/>
        </w:rPr>
        <w:t xml:space="preserve">Regression Analysis </w:t>
      </w:r>
      <w:proofErr w:type="gramStart"/>
      <w:r w:rsidR="00F44CE6" w:rsidRPr="00E22241">
        <w:rPr>
          <w:rFonts w:ascii="Cambria" w:hAnsi="Cambria" w:cs="Times New Roman"/>
          <w:b/>
          <w:color w:val="000000" w:themeColor="text1"/>
          <w:sz w:val="21"/>
          <w:szCs w:val="21"/>
        </w:rPr>
        <w:t>During</w:t>
      </w:r>
      <w:proofErr w:type="gramEnd"/>
      <w:r w:rsidR="00F44CE6" w:rsidRPr="00E22241">
        <w:rPr>
          <w:rFonts w:ascii="Cambria" w:hAnsi="Cambria" w:cs="Times New Roman"/>
          <w:b/>
          <w:color w:val="000000" w:themeColor="text1"/>
          <w:sz w:val="21"/>
          <w:szCs w:val="21"/>
        </w:rPr>
        <w:t xml:space="preserve"> Covid</w:t>
      </w:r>
      <w:r w:rsidR="00E22241" w:rsidRPr="00E22241">
        <w:rPr>
          <w:rFonts w:ascii="Cambria" w:hAnsi="Cambria" w:cs="Times New Roman"/>
          <w:b/>
          <w:color w:val="000000" w:themeColor="text1"/>
          <w:sz w:val="21"/>
          <w:szCs w:val="21"/>
        </w:rPr>
        <w:t xml:space="preserve">-19 </w:t>
      </w:r>
      <w:r w:rsidR="00F44CE6" w:rsidRPr="00E22241">
        <w:rPr>
          <w:rFonts w:ascii="Cambria" w:hAnsi="Cambria" w:cs="Times New Roman"/>
          <w:b/>
          <w:color w:val="000000" w:themeColor="text1"/>
          <w:sz w:val="21"/>
          <w:szCs w:val="21"/>
        </w:rPr>
        <w:t xml:space="preserve">Pandemic </w:t>
      </w:r>
    </w:p>
    <w:tbl>
      <w:tblPr>
        <w:tblW w:w="75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5"/>
        <w:gridCol w:w="1939"/>
        <w:gridCol w:w="811"/>
        <w:gridCol w:w="811"/>
        <w:gridCol w:w="811"/>
        <w:gridCol w:w="811"/>
        <w:gridCol w:w="811"/>
        <w:gridCol w:w="812"/>
        <w:gridCol w:w="6"/>
      </w:tblGrid>
      <w:tr w:rsidR="00E22241" w:rsidRPr="00E22241" w14:paraId="068155F7" w14:textId="77777777" w:rsidTr="00E22241">
        <w:trPr>
          <w:cantSplit/>
          <w:trHeight w:val="299"/>
          <w:jc w:val="center"/>
        </w:trPr>
        <w:tc>
          <w:tcPr>
            <w:tcW w:w="7537" w:type="dxa"/>
            <w:gridSpan w:val="9"/>
            <w:tcBorders>
              <w:top w:val="single" w:sz="4" w:space="0" w:color="auto"/>
              <w:left w:val="nil"/>
              <w:bottom w:val="single" w:sz="4" w:space="0" w:color="auto"/>
              <w:right w:val="nil"/>
            </w:tcBorders>
            <w:shd w:val="clear" w:color="auto" w:fill="auto"/>
            <w:vAlign w:val="center"/>
          </w:tcPr>
          <w:p w14:paraId="1D7E048D" w14:textId="77777777" w:rsidR="00F04CEF" w:rsidRPr="00E22241" w:rsidRDefault="000F4100">
            <w:pPr>
              <w:autoSpaceDE w:val="0"/>
              <w:autoSpaceDN w:val="0"/>
              <w:adjustRightInd w:val="0"/>
              <w:spacing w:after="0" w:line="240" w:lineRule="auto"/>
              <w:ind w:left="60" w:right="60"/>
              <w:jc w:val="center"/>
              <w:rPr>
                <w:rFonts w:ascii="Cambria" w:hAnsi="Cambria" w:cs="Arial"/>
                <w:color w:val="000000" w:themeColor="text1"/>
                <w:sz w:val="20"/>
                <w:szCs w:val="20"/>
              </w:rPr>
            </w:pPr>
            <w:r w:rsidRPr="00E22241">
              <w:rPr>
                <w:rFonts w:ascii="Cambria" w:hAnsi="Cambria" w:cs="Arial"/>
                <w:b/>
                <w:bCs/>
                <w:color w:val="000000" w:themeColor="text1"/>
                <w:sz w:val="20"/>
                <w:szCs w:val="20"/>
              </w:rPr>
              <w:t>Variables in the Equation When Covid-19 Pandemic</w:t>
            </w:r>
          </w:p>
        </w:tc>
      </w:tr>
      <w:tr w:rsidR="00E22241" w:rsidRPr="00E22241" w14:paraId="66266736" w14:textId="77777777" w:rsidTr="00E22241">
        <w:trPr>
          <w:gridAfter w:val="1"/>
          <w:wAfter w:w="6" w:type="dxa"/>
          <w:cantSplit/>
          <w:trHeight w:val="314"/>
          <w:jc w:val="center"/>
        </w:trPr>
        <w:tc>
          <w:tcPr>
            <w:tcW w:w="2664" w:type="dxa"/>
            <w:gridSpan w:val="2"/>
            <w:tcBorders>
              <w:top w:val="nil"/>
              <w:left w:val="nil"/>
              <w:bottom w:val="single" w:sz="8" w:space="0" w:color="152935"/>
              <w:right w:val="nil"/>
            </w:tcBorders>
            <w:shd w:val="clear" w:color="auto" w:fill="auto"/>
            <w:vAlign w:val="bottom"/>
          </w:tcPr>
          <w:p w14:paraId="2ACB95CF" w14:textId="77777777" w:rsidR="008E6DD7" w:rsidRPr="00E22241" w:rsidRDefault="008E6DD7" w:rsidP="00213F21">
            <w:pPr>
              <w:autoSpaceDE w:val="0"/>
              <w:autoSpaceDN w:val="0"/>
              <w:adjustRightInd w:val="0"/>
              <w:spacing w:after="0" w:line="240" w:lineRule="auto"/>
              <w:jc w:val="both"/>
              <w:rPr>
                <w:rFonts w:ascii="Cambria" w:hAnsi="Cambria" w:cs="Times New Roman"/>
                <w:color w:val="000000" w:themeColor="text1"/>
                <w:sz w:val="20"/>
                <w:szCs w:val="20"/>
              </w:rPr>
            </w:pPr>
          </w:p>
        </w:tc>
        <w:tc>
          <w:tcPr>
            <w:tcW w:w="811" w:type="dxa"/>
            <w:tcBorders>
              <w:top w:val="nil"/>
              <w:left w:val="nil"/>
              <w:bottom w:val="single" w:sz="8" w:space="0" w:color="152935"/>
              <w:right w:val="single" w:sz="8" w:space="0" w:color="E0E0E0"/>
            </w:tcBorders>
            <w:shd w:val="clear" w:color="auto" w:fill="auto"/>
            <w:vAlign w:val="bottom"/>
          </w:tcPr>
          <w:p w14:paraId="5F3EFF10"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B</w:t>
            </w:r>
          </w:p>
        </w:tc>
        <w:tc>
          <w:tcPr>
            <w:tcW w:w="811" w:type="dxa"/>
            <w:tcBorders>
              <w:top w:val="nil"/>
              <w:left w:val="single" w:sz="8" w:space="0" w:color="E0E0E0"/>
              <w:bottom w:val="single" w:sz="8" w:space="0" w:color="152935"/>
              <w:right w:val="single" w:sz="8" w:space="0" w:color="E0E0E0"/>
            </w:tcBorders>
            <w:shd w:val="clear" w:color="auto" w:fill="auto"/>
            <w:vAlign w:val="bottom"/>
          </w:tcPr>
          <w:p w14:paraId="0ECBF2FD"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S.E.</w:t>
            </w:r>
          </w:p>
        </w:tc>
        <w:tc>
          <w:tcPr>
            <w:tcW w:w="811" w:type="dxa"/>
            <w:tcBorders>
              <w:top w:val="nil"/>
              <w:left w:val="single" w:sz="8" w:space="0" w:color="E0E0E0"/>
              <w:bottom w:val="nil"/>
              <w:right w:val="single" w:sz="8" w:space="0" w:color="E0E0E0"/>
            </w:tcBorders>
            <w:shd w:val="clear" w:color="auto" w:fill="auto"/>
            <w:vAlign w:val="bottom"/>
          </w:tcPr>
          <w:p w14:paraId="41359626"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Wald</w:t>
            </w:r>
          </w:p>
        </w:tc>
        <w:tc>
          <w:tcPr>
            <w:tcW w:w="811" w:type="dxa"/>
            <w:tcBorders>
              <w:top w:val="nil"/>
              <w:left w:val="single" w:sz="8" w:space="0" w:color="E0E0E0"/>
              <w:bottom w:val="nil"/>
              <w:right w:val="single" w:sz="8" w:space="0" w:color="E0E0E0"/>
            </w:tcBorders>
            <w:shd w:val="clear" w:color="auto" w:fill="auto"/>
            <w:vAlign w:val="bottom"/>
          </w:tcPr>
          <w:p w14:paraId="3FCDF929"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Df</w:t>
            </w:r>
          </w:p>
        </w:tc>
        <w:tc>
          <w:tcPr>
            <w:tcW w:w="811" w:type="dxa"/>
            <w:tcBorders>
              <w:top w:val="nil"/>
              <w:left w:val="single" w:sz="8" w:space="0" w:color="E0E0E0"/>
              <w:bottom w:val="single" w:sz="8" w:space="0" w:color="152935"/>
              <w:right w:val="single" w:sz="8" w:space="0" w:color="E0E0E0"/>
            </w:tcBorders>
            <w:shd w:val="clear" w:color="auto" w:fill="auto"/>
            <w:vAlign w:val="bottom"/>
          </w:tcPr>
          <w:p w14:paraId="5BDC6D10"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Sig.</w:t>
            </w:r>
          </w:p>
        </w:tc>
        <w:tc>
          <w:tcPr>
            <w:tcW w:w="812" w:type="dxa"/>
            <w:tcBorders>
              <w:top w:val="nil"/>
              <w:left w:val="single" w:sz="8" w:space="0" w:color="E0E0E0"/>
              <w:bottom w:val="single" w:sz="8" w:space="0" w:color="152935"/>
              <w:right w:val="nil"/>
            </w:tcBorders>
            <w:shd w:val="clear" w:color="auto" w:fill="auto"/>
            <w:vAlign w:val="bottom"/>
          </w:tcPr>
          <w:p w14:paraId="3250F07B"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Exp(B)</w:t>
            </w:r>
          </w:p>
        </w:tc>
      </w:tr>
      <w:tr w:rsidR="00E22241" w:rsidRPr="00E22241" w14:paraId="3BC97F31" w14:textId="77777777" w:rsidTr="00E22241">
        <w:trPr>
          <w:gridAfter w:val="1"/>
          <w:wAfter w:w="6" w:type="dxa"/>
          <w:cantSplit/>
          <w:trHeight w:val="299"/>
          <w:jc w:val="center"/>
        </w:trPr>
        <w:tc>
          <w:tcPr>
            <w:tcW w:w="725" w:type="dxa"/>
            <w:vMerge w:val="restart"/>
            <w:tcBorders>
              <w:top w:val="single" w:sz="8" w:space="0" w:color="152935"/>
              <w:left w:val="nil"/>
              <w:bottom w:val="single" w:sz="8" w:space="0" w:color="152935"/>
              <w:right w:val="nil"/>
            </w:tcBorders>
            <w:shd w:val="clear" w:color="auto" w:fill="auto"/>
          </w:tcPr>
          <w:p w14:paraId="6A527C39"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Step 1</w:t>
            </w:r>
            <w:r w:rsidRPr="00E22241">
              <w:rPr>
                <w:rFonts w:ascii="Cambria" w:hAnsi="Cambria" w:cs="Arial"/>
                <w:color w:val="000000" w:themeColor="text1"/>
                <w:sz w:val="20"/>
                <w:szCs w:val="20"/>
                <w:vertAlign w:val="superscript"/>
              </w:rPr>
              <w:t>a</w:t>
            </w:r>
          </w:p>
        </w:tc>
        <w:tc>
          <w:tcPr>
            <w:tcW w:w="1939" w:type="dxa"/>
            <w:tcBorders>
              <w:top w:val="single" w:sz="8" w:space="0" w:color="152935"/>
              <w:left w:val="nil"/>
              <w:bottom w:val="single" w:sz="8" w:space="0" w:color="AEAEAE"/>
              <w:right w:val="nil"/>
            </w:tcBorders>
            <w:shd w:val="clear" w:color="auto" w:fill="auto"/>
          </w:tcPr>
          <w:p w14:paraId="79748F57"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Profitability</w:t>
            </w:r>
          </w:p>
        </w:tc>
        <w:tc>
          <w:tcPr>
            <w:tcW w:w="811" w:type="dxa"/>
            <w:tcBorders>
              <w:top w:val="single" w:sz="8" w:space="0" w:color="152935"/>
              <w:left w:val="nil"/>
              <w:bottom w:val="single" w:sz="8" w:space="0" w:color="AEAEAE"/>
              <w:right w:val="single" w:sz="8" w:space="0" w:color="E0E0E0"/>
            </w:tcBorders>
            <w:shd w:val="clear" w:color="auto" w:fill="auto"/>
          </w:tcPr>
          <w:p w14:paraId="07ABE762"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-.440</w:t>
            </w:r>
          </w:p>
        </w:tc>
        <w:tc>
          <w:tcPr>
            <w:tcW w:w="811" w:type="dxa"/>
            <w:tcBorders>
              <w:top w:val="single" w:sz="8" w:space="0" w:color="152935"/>
              <w:left w:val="single" w:sz="8" w:space="0" w:color="E0E0E0"/>
              <w:bottom w:val="single" w:sz="8" w:space="0" w:color="AEAEAE"/>
              <w:right w:val="single" w:sz="8" w:space="0" w:color="E0E0E0"/>
            </w:tcBorders>
            <w:shd w:val="clear" w:color="auto" w:fill="auto"/>
          </w:tcPr>
          <w:p w14:paraId="68D847EE"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.115</w:t>
            </w:r>
          </w:p>
        </w:tc>
        <w:tc>
          <w:tcPr>
            <w:tcW w:w="811" w:type="dxa"/>
            <w:tcBorders>
              <w:top w:val="nil"/>
              <w:left w:val="single" w:sz="8" w:space="0" w:color="E0E0E0"/>
              <w:bottom w:val="single" w:sz="8" w:space="0" w:color="AEAEAE"/>
              <w:right w:val="single" w:sz="8" w:space="0" w:color="E0E0E0"/>
            </w:tcBorders>
            <w:shd w:val="clear" w:color="auto" w:fill="auto"/>
          </w:tcPr>
          <w:p w14:paraId="4C4C718B"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14.674</w:t>
            </w:r>
          </w:p>
        </w:tc>
        <w:tc>
          <w:tcPr>
            <w:tcW w:w="811" w:type="dxa"/>
            <w:tcBorders>
              <w:top w:val="nil"/>
              <w:left w:val="single" w:sz="8" w:space="0" w:color="E0E0E0"/>
              <w:bottom w:val="single" w:sz="8" w:space="0" w:color="AEAEAE"/>
              <w:right w:val="single" w:sz="8" w:space="0" w:color="E0E0E0"/>
            </w:tcBorders>
            <w:shd w:val="clear" w:color="auto" w:fill="auto"/>
          </w:tcPr>
          <w:p w14:paraId="2BACB38B"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1</w:t>
            </w:r>
          </w:p>
        </w:tc>
        <w:tc>
          <w:tcPr>
            <w:tcW w:w="811" w:type="dxa"/>
            <w:tcBorders>
              <w:top w:val="single" w:sz="8" w:space="0" w:color="152935"/>
              <w:left w:val="single" w:sz="8" w:space="0" w:color="E0E0E0"/>
              <w:bottom w:val="single" w:sz="8" w:space="0" w:color="AEAEAE"/>
              <w:right w:val="single" w:sz="8" w:space="0" w:color="E0E0E0"/>
            </w:tcBorders>
            <w:shd w:val="clear" w:color="auto" w:fill="auto"/>
          </w:tcPr>
          <w:p w14:paraId="1B70B15E"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.000</w:t>
            </w:r>
          </w:p>
        </w:tc>
        <w:tc>
          <w:tcPr>
            <w:tcW w:w="812" w:type="dxa"/>
            <w:tcBorders>
              <w:top w:val="single" w:sz="8" w:space="0" w:color="152935"/>
              <w:left w:val="single" w:sz="8" w:space="0" w:color="E0E0E0"/>
              <w:bottom w:val="single" w:sz="8" w:space="0" w:color="AEAEAE"/>
              <w:right w:val="nil"/>
            </w:tcBorders>
            <w:shd w:val="clear" w:color="auto" w:fill="auto"/>
          </w:tcPr>
          <w:p w14:paraId="4D511CC5"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.644</w:t>
            </w:r>
          </w:p>
        </w:tc>
      </w:tr>
      <w:tr w:rsidR="00E22241" w:rsidRPr="00E22241" w14:paraId="68D1F4F7" w14:textId="77777777" w:rsidTr="00E22241">
        <w:trPr>
          <w:gridAfter w:val="1"/>
          <w:wAfter w:w="6" w:type="dxa"/>
          <w:cantSplit/>
          <w:trHeight w:val="138"/>
          <w:jc w:val="center"/>
        </w:trPr>
        <w:tc>
          <w:tcPr>
            <w:tcW w:w="725" w:type="dxa"/>
            <w:vMerge/>
            <w:tcBorders>
              <w:top w:val="single" w:sz="8" w:space="0" w:color="152935"/>
              <w:left w:val="nil"/>
              <w:bottom w:val="single" w:sz="8" w:space="0" w:color="152935"/>
              <w:right w:val="nil"/>
            </w:tcBorders>
            <w:shd w:val="clear" w:color="auto" w:fill="auto"/>
          </w:tcPr>
          <w:p w14:paraId="3C215B89" w14:textId="77777777" w:rsidR="008E6DD7" w:rsidRPr="00E22241" w:rsidRDefault="008E6DD7" w:rsidP="00213F21">
            <w:pPr>
              <w:autoSpaceDE w:val="0"/>
              <w:autoSpaceDN w:val="0"/>
              <w:adjustRightInd w:val="0"/>
              <w:spacing w:after="0" w:line="240" w:lineRule="auto"/>
              <w:jc w:val="both"/>
              <w:rPr>
                <w:rFonts w:ascii="Cambria" w:hAnsi="Cambria" w:cs="Arial"/>
                <w:color w:val="000000" w:themeColor="text1"/>
                <w:sz w:val="20"/>
                <w:szCs w:val="20"/>
              </w:rPr>
            </w:pPr>
          </w:p>
        </w:tc>
        <w:tc>
          <w:tcPr>
            <w:tcW w:w="1939" w:type="dxa"/>
            <w:tcBorders>
              <w:top w:val="single" w:sz="8" w:space="0" w:color="AEAEAE"/>
              <w:left w:val="nil"/>
              <w:bottom w:val="single" w:sz="8" w:space="0" w:color="AEAEAE"/>
              <w:right w:val="nil"/>
            </w:tcBorders>
            <w:shd w:val="clear" w:color="auto" w:fill="auto"/>
          </w:tcPr>
          <w:p w14:paraId="66C15D5A"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Leverage</w:t>
            </w:r>
          </w:p>
        </w:tc>
        <w:tc>
          <w:tcPr>
            <w:tcW w:w="811" w:type="dxa"/>
            <w:tcBorders>
              <w:top w:val="single" w:sz="8" w:space="0" w:color="AEAEAE"/>
              <w:left w:val="nil"/>
              <w:bottom w:val="single" w:sz="8" w:space="0" w:color="AEAEAE"/>
              <w:right w:val="single" w:sz="8" w:space="0" w:color="E0E0E0"/>
            </w:tcBorders>
            <w:shd w:val="clear" w:color="auto" w:fill="auto"/>
          </w:tcPr>
          <w:p w14:paraId="23272395"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.008</w:t>
            </w:r>
          </w:p>
        </w:tc>
        <w:tc>
          <w:tcPr>
            <w:tcW w:w="811" w:type="dxa"/>
            <w:tcBorders>
              <w:top w:val="single" w:sz="8" w:space="0" w:color="AEAEAE"/>
              <w:left w:val="single" w:sz="8" w:space="0" w:color="E0E0E0"/>
              <w:bottom w:val="single" w:sz="8" w:space="0" w:color="AEAEAE"/>
              <w:right w:val="single" w:sz="8" w:space="0" w:color="E0E0E0"/>
            </w:tcBorders>
            <w:shd w:val="clear" w:color="auto" w:fill="auto"/>
          </w:tcPr>
          <w:p w14:paraId="2F8CD576"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.004</w:t>
            </w:r>
          </w:p>
        </w:tc>
        <w:tc>
          <w:tcPr>
            <w:tcW w:w="811" w:type="dxa"/>
            <w:tcBorders>
              <w:top w:val="single" w:sz="8" w:space="0" w:color="AEAEAE"/>
              <w:left w:val="single" w:sz="8" w:space="0" w:color="E0E0E0"/>
              <w:bottom w:val="single" w:sz="8" w:space="0" w:color="AEAEAE"/>
              <w:right w:val="single" w:sz="8" w:space="0" w:color="E0E0E0"/>
            </w:tcBorders>
            <w:shd w:val="clear" w:color="auto" w:fill="auto"/>
          </w:tcPr>
          <w:p w14:paraId="48E5CA89"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4.058</w:t>
            </w:r>
          </w:p>
        </w:tc>
        <w:tc>
          <w:tcPr>
            <w:tcW w:w="811" w:type="dxa"/>
            <w:tcBorders>
              <w:top w:val="single" w:sz="8" w:space="0" w:color="AEAEAE"/>
              <w:left w:val="single" w:sz="8" w:space="0" w:color="E0E0E0"/>
              <w:bottom w:val="single" w:sz="8" w:space="0" w:color="AEAEAE"/>
              <w:right w:val="single" w:sz="8" w:space="0" w:color="E0E0E0"/>
            </w:tcBorders>
            <w:shd w:val="clear" w:color="auto" w:fill="auto"/>
          </w:tcPr>
          <w:p w14:paraId="3297CC3A"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1</w:t>
            </w:r>
          </w:p>
        </w:tc>
        <w:tc>
          <w:tcPr>
            <w:tcW w:w="811" w:type="dxa"/>
            <w:tcBorders>
              <w:top w:val="single" w:sz="8" w:space="0" w:color="AEAEAE"/>
              <w:left w:val="single" w:sz="8" w:space="0" w:color="E0E0E0"/>
              <w:bottom w:val="single" w:sz="8" w:space="0" w:color="AEAEAE"/>
              <w:right w:val="single" w:sz="8" w:space="0" w:color="E0E0E0"/>
            </w:tcBorders>
            <w:shd w:val="clear" w:color="auto" w:fill="auto"/>
          </w:tcPr>
          <w:p w14:paraId="04829A7A"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.044</w:t>
            </w:r>
          </w:p>
        </w:tc>
        <w:tc>
          <w:tcPr>
            <w:tcW w:w="812" w:type="dxa"/>
            <w:tcBorders>
              <w:top w:val="single" w:sz="8" w:space="0" w:color="AEAEAE"/>
              <w:left w:val="single" w:sz="8" w:space="0" w:color="E0E0E0"/>
              <w:bottom w:val="single" w:sz="8" w:space="0" w:color="AEAEAE"/>
              <w:right w:val="nil"/>
            </w:tcBorders>
            <w:shd w:val="clear" w:color="auto" w:fill="auto"/>
          </w:tcPr>
          <w:p w14:paraId="216CDFC9"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1.008</w:t>
            </w:r>
          </w:p>
        </w:tc>
      </w:tr>
      <w:tr w:rsidR="00E22241" w:rsidRPr="00E22241" w14:paraId="5AA7736F" w14:textId="77777777" w:rsidTr="00E22241">
        <w:trPr>
          <w:gridAfter w:val="1"/>
          <w:wAfter w:w="6" w:type="dxa"/>
          <w:cantSplit/>
          <w:trHeight w:val="138"/>
          <w:jc w:val="center"/>
        </w:trPr>
        <w:tc>
          <w:tcPr>
            <w:tcW w:w="725" w:type="dxa"/>
            <w:vMerge/>
            <w:tcBorders>
              <w:top w:val="single" w:sz="8" w:space="0" w:color="152935"/>
              <w:left w:val="nil"/>
              <w:bottom w:val="single" w:sz="8" w:space="0" w:color="152935"/>
              <w:right w:val="nil"/>
            </w:tcBorders>
            <w:shd w:val="clear" w:color="auto" w:fill="auto"/>
          </w:tcPr>
          <w:p w14:paraId="59AF847E" w14:textId="77777777" w:rsidR="008E6DD7" w:rsidRPr="00E22241" w:rsidRDefault="008E6DD7" w:rsidP="00213F21">
            <w:pPr>
              <w:autoSpaceDE w:val="0"/>
              <w:autoSpaceDN w:val="0"/>
              <w:adjustRightInd w:val="0"/>
              <w:spacing w:after="0" w:line="240" w:lineRule="auto"/>
              <w:jc w:val="both"/>
              <w:rPr>
                <w:rFonts w:ascii="Cambria" w:hAnsi="Cambria" w:cs="Arial"/>
                <w:color w:val="000000" w:themeColor="text1"/>
                <w:sz w:val="20"/>
                <w:szCs w:val="20"/>
              </w:rPr>
            </w:pPr>
          </w:p>
        </w:tc>
        <w:tc>
          <w:tcPr>
            <w:tcW w:w="1939" w:type="dxa"/>
            <w:tcBorders>
              <w:top w:val="single" w:sz="8" w:space="0" w:color="AEAEAE"/>
              <w:left w:val="nil"/>
              <w:bottom w:val="single" w:sz="8" w:space="0" w:color="AEAEAE"/>
              <w:right w:val="nil"/>
            </w:tcBorders>
            <w:shd w:val="clear" w:color="auto" w:fill="auto"/>
          </w:tcPr>
          <w:p w14:paraId="3D7AAAAB"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company growth</w:t>
            </w:r>
          </w:p>
        </w:tc>
        <w:tc>
          <w:tcPr>
            <w:tcW w:w="811" w:type="dxa"/>
            <w:tcBorders>
              <w:top w:val="single" w:sz="8" w:space="0" w:color="AEAEAE"/>
              <w:left w:val="nil"/>
              <w:bottom w:val="single" w:sz="8" w:space="0" w:color="AEAEAE"/>
              <w:right w:val="single" w:sz="8" w:space="0" w:color="E0E0E0"/>
            </w:tcBorders>
            <w:shd w:val="clear" w:color="auto" w:fill="auto"/>
          </w:tcPr>
          <w:p w14:paraId="25F2343F"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-.020</w:t>
            </w:r>
          </w:p>
        </w:tc>
        <w:tc>
          <w:tcPr>
            <w:tcW w:w="811" w:type="dxa"/>
            <w:tcBorders>
              <w:top w:val="single" w:sz="8" w:space="0" w:color="AEAEAE"/>
              <w:left w:val="single" w:sz="8" w:space="0" w:color="E0E0E0"/>
              <w:bottom w:val="single" w:sz="8" w:space="0" w:color="AEAEAE"/>
              <w:right w:val="single" w:sz="8" w:space="0" w:color="E0E0E0"/>
            </w:tcBorders>
            <w:shd w:val="clear" w:color="auto" w:fill="auto"/>
          </w:tcPr>
          <w:p w14:paraId="57CB0B5C"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.017</w:t>
            </w:r>
          </w:p>
        </w:tc>
        <w:tc>
          <w:tcPr>
            <w:tcW w:w="811" w:type="dxa"/>
            <w:tcBorders>
              <w:top w:val="single" w:sz="8" w:space="0" w:color="AEAEAE"/>
              <w:left w:val="single" w:sz="8" w:space="0" w:color="E0E0E0"/>
              <w:bottom w:val="single" w:sz="8" w:space="0" w:color="AEAEAE"/>
              <w:right w:val="single" w:sz="8" w:space="0" w:color="E0E0E0"/>
            </w:tcBorders>
            <w:shd w:val="clear" w:color="auto" w:fill="auto"/>
          </w:tcPr>
          <w:p w14:paraId="237FA449"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1.356</w:t>
            </w:r>
          </w:p>
        </w:tc>
        <w:tc>
          <w:tcPr>
            <w:tcW w:w="811" w:type="dxa"/>
            <w:tcBorders>
              <w:top w:val="single" w:sz="8" w:space="0" w:color="AEAEAE"/>
              <w:left w:val="single" w:sz="8" w:space="0" w:color="E0E0E0"/>
              <w:bottom w:val="single" w:sz="8" w:space="0" w:color="AEAEAE"/>
              <w:right w:val="single" w:sz="8" w:space="0" w:color="E0E0E0"/>
            </w:tcBorders>
            <w:shd w:val="clear" w:color="auto" w:fill="auto"/>
          </w:tcPr>
          <w:p w14:paraId="72CE5284"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1</w:t>
            </w:r>
          </w:p>
        </w:tc>
        <w:tc>
          <w:tcPr>
            <w:tcW w:w="811" w:type="dxa"/>
            <w:tcBorders>
              <w:top w:val="single" w:sz="8" w:space="0" w:color="AEAEAE"/>
              <w:left w:val="single" w:sz="8" w:space="0" w:color="E0E0E0"/>
              <w:bottom w:val="single" w:sz="8" w:space="0" w:color="AEAEAE"/>
              <w:right w:val="single" w:sz="8" w:space="0" w:color="E0E0E0"/>
            </w:tcBorders>
            <w:shd w:val="clear" w:color="auto" w:fill="auto"/>
          </w:tcPr>
          <w:p w14:paraId="70409586"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.244</w:t>
            </w:r>
          </w:p>
        </w:tc>
        <w:tc>
          <w:tcPr>
            <w:tcW w:w="812" w:type="dxa"/>
            <w:tcBorders>
              <w:top w:val="single" w:sz="8" w:space="0" w:color="AEAEAE"/>
              <w:left w:val="single" w:sz="8" w:space="0" w:color="E0E0E0"/>
              <w:bottom w:val="single" w:sz="8" w:space="0" w:color="AEAEAE"/>
              <w:right w:val="nil"/>
            </w:tcBorders>
            <w:shd w:val="clear" w:color="auto" w:fill="auto"/>
          </w:tcPr>
          <w:p w14:paraId="78B53461"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.980</w:t>
            </w:r>
          </w:p>
        </w:tc>
      </w:tr>
      <w:tr w:rsidR="00E22241" w:rsidRPr="00E22241" w14:paraId="502E557B" w14:textId="77777777" w:rsidTr="00E22241">
        <w:trPr>
          <w:gridAfter w:val="1"/>
          <w:wAfter w:w="6" w:type="dxa"/>
          <w:cantSplit/>
          <w:trHeight w:val="138"/>
          <w:jc w:val="center"/>
        </w:trPr>
        <w:tc>
          <w:tcPr>
            <w:tcW w:w="725" w:type="dxa"/>
            <w:vMerge/>
            <w:tcBorders>
              <w:top w:val="single" w:sz="8" w:space="0" w:color="152935"/>
              <w:left w:val="nil"/>
              <w:bottom w:val="single" w:sz="8" w:space="0" w:color="152935"/>
              <w:right w:val="nil"/>
            </w:tcBorders>
            <w:shd w:val="clear" w:color="auto" w:fill="auto"/>
          </w:tcPr>
          <w:p w14:paraId="65044F73" w14:textId="77777777" w:rsidR="008E6DD7" w:rsidRPr="00E22241" w:rsidRDefault="008E6DD7" w:rsidP="00213F21">
            <w:pPr>
              <w:autoSpaceDE w:val="0"/>
              <w:autoSpaceDN w:val="0"/>
              <w:adjustRightInd w:val="0"/>
              <w:spacing w:after="0" w:line="240" w:lineRule="auto"/>
              <w:jc w:val="both"/>
              <w:rPr>
                <w:rFonts w:ascii="Cambria" w:hAnsi="Cambria" w:cs="Arial"/>
                <w:color w:val="000000" w:themeColor="text1"/>
                <w:sz w:val="20"/>
                <w:szCs w:val="20"/>
              </w:rPr>
            </w:pPr>
          </w:p>
        </w:tc>
        <w:tc>
          <w:tcPr>
            <w:tcW w:w="1939" w:type="dxa"/>
            <w:tcBorders>
              <w:top w:val="single" w:sz="8" w:space="0" w:color="AEAEAE"/>
              <w:left w:val="nil"/>
              <w:bottom w:val="single" w:sz="8" w:space="0" w:color="152935"/>
              <w:right w:val="nil"/>
            </w:tcBorders>
            <w:shd w:val="clear" w:color="auto" w:fill="auto"/>
          </w:tcPr>
          <w:p w14:paraId="7168DEB8"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Constant</w:t>
            </w:r>
          </w:p>
        </w:tc>
        <w:tc>
          <w:tcPr>
            <w:tcW w:w="811" w:type="dxa"/>
            <w:tcBorders>
              <w:top w:val="single" w:sz="8" w:space="0" w:color="AEAEAE"/>
              <w:left w:val="nil"/>
              <w:bottom w:val="single" w:sz="8" w:space="0" w:color="152935"/>
              <w:right w:val="single" w:sz="8" w:space="0" w:color="E0E0E0"/>
            </w:tcBorders>
            <w:shd w:val="clear" w:color="auto" w:fill="auto"/>
          </w:tcPr>
          <w:p w14:paraId="5F3520EB"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-2.990</w:t>
            </w:r>
          </w:p>
        </w:tc>
        <w:tc>
          <w:tcPr>
            <w:tcW w:w="811" w:type="dxa"/>
            <w:tcBorders>
              <w:top w:val="single" w:sz="8" w:space="0" w:color="AEAEAE"/>
              <w:left w:val="single" w:sz="8" w:space="0" w:color="E0E0E0"/>
              <w:bottom w:val="single" w:sz="8" w:space="0" w:color="152935"/>
              <w:right w:val="single" w:sz="8" w:space="0" w:color="E0E0E0"/>
            </w:tcBorders>
            <w:shd w:val="clear" w:color="auto" w:fill="auto"/>
          </w:tcPr>
          <w:p w14:paraId="143CBCC1"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.841</w:t>
            </w:r>
          </w:p>
        </w:tc>
        <w:tc>
          <w:tcPr>
            <w:tcW w:w="811" w:type="dxa"/>
            <w:tcBorders>
              <w:top w:val="single" w:sz="8" w:space="0" w:color="AEAEAE"/>
              <w:left w:val="single" w:sz="8" w:space="0" w:color="E0E0E0"/>
              <w:bottom w:val="single" w:sz="8" w:space="0" w:color="152935"/>
              <w:right w:val="single" w:sz="8" w:space="0" w:color="E0E0E0"/>
            </w:tcBorders>
            <w:shd w:val="clear" w:color="auto" w:fill="auto"/>
          </w:tcPr>
          <w:p w14:paraId="7921E25F"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12.648</w:t>
            </w:r>
          </w:p>
        </w:tc>
        <w:tc>
          <w:tcPr>
            <w:tcW w:w="811" w:type="dxa"/>
            <w:tcBorders>
              <w:top w:val="single" w:sz="8" w:space="0" w:color="AEAEAE"/>
              <w:left w:val="single" w:sz="8" w:space="0" w:color="E0E0E0"/>
              <w:bottom w:val="single" w:sz="8" w:space="0" w:color="152935"/>
              <w:right w:val="single" w:sz="8" w:space="0" w:color="E0E0E0"/>
            </w:tcBorders>
            <w:shd w:val="clear" w:color="auto" w:fill="auto"/>
          </w:tcPr>
          <w:p w14:paraId="23F64170"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1</w:t>
            </w:r>
          </w:p>
        </w:tc>
        <w:tc>
          <w:tcPr>
            <w:tcW w:w="811" w:type="dxa"/>
            <w:tcBorders>
              <w:top w:val="single" w:sz="8" w:space="0" w:color="AEAEAE"/>
              <w:left w:val="single" w:sz="8" w:space="0" w:color="E0E0E0"/>
              <w:bottom w:val="single" w:sz="8" w:space="0" w:color="152935"/>
              <w:right w:val="single" w:sz="8" w:space="0" w:color="E0E0E0"/>
            </w:tcBorders>
            <w:shd w:val="clear" w:color="auto" w:fill="auto"/>
          </w:tcPr>
          <w:p w14:paraId="393920F5"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.000</w:t>
            </w:r>
          </w:p>
        </w:tc>
        <w:tc>
          <w:tcPr>
            <w:tcW w:w="812" w:type="dxa"/>
            <w:tcBorders>
              <w:top w:val="single" w:sz="8" w:space="0" w:color="AEAEAE"/>
              <w:left w:val="single" w:sz="8" w:space="0" w:color="E0E0E0"/>
              <w:bottom w:val="single" w:sz="8" w:space="0" w:color="152935"/>
              <w:right w:val="nil"/>
            </w:tcBorders>
            <w:shd w:val="clear" w:color="auto" w:fill="auto"/>
          </w:tcPr>
          <w:p w14:paraId="5FB2247A"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r w:rsidRPr="00E22241">
              <w:rPr>
                <w:rFonts w:ascii="Cambria" w:hAnsi="Cambria" w:cs="Arial"/>
                <w:color w:val="000000" w:themeColor="text1"/>
                <w:sz w:val="20"/>
                <w:szCs w:val="20"/>
              </w:rPr>
              <w:t>.050</w:t>
            </w:r>
          </w:p>
        </w:tc>
      </w:tr>
      <w:tr w:rsidR="00E22241" w:rsidRPr="00E22241" w14:paraId="2CA93E5D" w14:textId="77777777" w:rsidTr="00E22241">
        <w:trPr>
          <w:cantSplit/>
          <w:trHeight w:val="314"/>
          <w:jc w:val="center"/>
        </w:trPr>
        <w:tc>
          <w:tcPr>
            <w:tcW w:w="7537" w:type="dxa"/>
            <w:gridSpan w:val="9"/>
            <w:tcBorders>
              <w:top w:val="nil"/>
              <w:left w:val="nil"/>
              <w:bottom w:val="nil"/>
              <w:right w:val="nil"/>
            </w:tcBorders>
            <w:shd w:val="clear" w:color="auto" w:fill="auto"/>
          </w:tcPr>
          <w:p w14:paraId="1C921E83" w14:textId="77777777" w:rsidR="00F04CEF" w:rsidRPr="00E22241" w:rsidRDefault="000F4100">
            <w:pPr>
              <w:autoSpaceDE w:val="0"/>
              <w:autoSpaceDN w:val="0"/>
              <w:adjustRightInd w:val="0"/>
              <w:spacing w:after="0" w:line="240" w:lineRule="auto"/>
              <w:ind w:left="60" w:right="60"/>
              <w:jc w:val="both"/>
              <w:rPr>
                <w:rFonts w:ascii="Cambria" w:hAnsi="Cambria" w:cs="Arial"/>
                <w:color w:val="000000" w:themeColor="text1"/>
                <w:sz w:val="20"/>
                <w:szCs w:val="20"/>
              </w:rPr>
            </w:pPr>
            <w:proofErr w:type="gramStart"/>
            <w:r w:rsidRPr="00E22241">
              <w:rPr>
                <w:rFonts w:ascii="Cambria" w:hAnsi="Cambria" w:cs="Arial"/>
                <w:color w:val="000000" w:themeColor="text1"/>
                <w:sz w:val="20"/>
                <w:szCs w:val="20"/>
              </w:rPr>
              <w:t>a</w:t>
            </w:r>
            <w:proofErr w:type="gramEnd"/>
            <w:r w:rsidRPr="00E22241">
              <w:rPr>
                <w:rFonts w:ascii="Cambria" w:hAnsi="Cambria" w:cs="Arial"/>
                <w:color w:val="000000" w:themeColor="text1"/>
                <w:sz w:val="20"/>
                <w:szCs w:val="20"/>
              </w:rPr>
              <w:t>. variable (s) entered on step 1: profitability, leverage, company growth.</w:t>
            </w:r>
          </w:p>
        </w:tc>
      </w:tr>
    </w:tbl>
    <w:p w14:paraId="73CA4728" w14:textId="77777777" w:rsidR="00213F21" w:rsidRDefault="00213F21" w:rsidP="00213F21">
      <w:pPr>
        <w:autoSpaceDE w:val="0"/>
        <w:autoSpaceDN w:val="0"/>
        <w:adjustRightInd w:val="0"/>
        <w:spacing w:after="0" w:line="240" w:lineRule="auto"/>
        <w:jc w:val="both"/>
        <w:rPr>
          <w:rFonts w:ascii="Cambria" w:hAnsi="Cambria" w:cs="Times New Roman"/>
          <w:i/>
          <w:sz w:val="21"/>
          <w:szCs w:val="21"/>
        </w:rPr>
      </w:pPr>
    </w:p>
    <w:p w14:paraId="3218AD69" w14:textId="77777777" w:rsidR="00F04CEF" w:rsidRDefault="000F4100">
      <w:pPr>
        <w:autoSpaceDE w:val="0"/>
        <w:autoSpaceDN w:val="0"/>
        <w:adjustRightInd w:val="0"/>
        <w:spacing w:after="0" w:line="240" w:lineRule="auto"/>
        <w:ind w:firstLine="709"/>
        <w:jc w:val="both"/>
        <w:rPr>
          <w:rFonts w:ascii="Cambria" w:hAnsi="Cambria" w:cs="Times New Roman"/>
          <w:sz w:val="21"/>
          <w:szCs w:val="21"/>
        </w:rPr>
      </w:pPr>
      <w:r w:rsidRPr="00213F21">
        <w:rPr>
          <w:rFonts w:ascii="Cambria" w:hAnsi="Cambria" w:cs="Times New Roman"/>
          <w:sz w:val="21"/>
          <w:szCs w:val="21"/>
        </w:rPr>
        <w:t>Based on the results of the logistic regression test above, the logistic equation is obtained as follows:</w:t>
      </w:r>
    </w:p>
    <w:p w14:paraId="77C173ED" w14:textId="77777777" w:rsidR="00F04CEF" w:rsidRDefault="000F4100">
      <w:pPr>
        <w:spacing w:line="240" w:lineRule="auto"/>
        <w:ind w:left="720" w:firstLine="720"/>
        <w:jc w:val="both"/>
        <w:rPr>
          <w:rFonts w:ascii="Cambria" w:hAnsi="Cambria" w:cs="Times New Roman"/>
          <w:color w:val="010205"/>
          <w:sz w:val="21"/>
          <w:szCs w:val="21"/>
        </w:rPr>
      </w:pPr>
      <w:r w:rsidRPr="00213F21">
        <w:rPr>
          <w:rFonts w:ascii="Cambria" w:hAnsi="Cambria" w:cs="Times New Roman"/>
          <w:color w:val="010205"/>
          <w:sz w:val="21"/>
          <w:szCs w:val="21"/>
        </w:rPr>
        <w:t>GC = -2990-440POF+0.08LEV-0.020KP</w:t>
      </w:r>
    </w:p>
    <w:p w14:paraId="538942AF" w14:textId="77777777" w:rsidR="00F04CEF" w:rsidRDefault="000F4100">
      <w:pPr>
        <w:spacing w:after="0" w:line="240" w:lineRule="auto"/>
        <w:ind w:firstLine="709"/>
        <w:jc w:val="both"/>
        <w:rPr>
          <w:rFonts w:ascii="Cambria" w:hAnsi="Cambria" w:cs="Times New Roman"/>
          <w:color w:val="010205"/>
          <w:sz w:val="21"/>
          <w:szCs w:val="21"/>
        </w:rPr>
      </w:pPr>
      <w:r w:rsidRPr="00213F21">
        <w:rPr>
          <w:rFonts w:ascii="Cambria" w:hAnsi="Cambria" w:cs="Times New Roman"/>
          <w:color w:val="010205"/>
          <w:sz w:val="21"/>
          <w:szCs w:val="21"/>
        </w:rPr>
        <w:t xml:space="preserve">The profitability variable during the Covid-19 pandemic has a Wald statistic of 14.674 and a coefficient value of -0.440, which means that every 1% increase in profitability will decrease the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Audit Opinion by 0.440 units</w:t>
      </w:r>
      <w:r w:rsidR="002A0F60">
        <w:rPr>
          <w:rFonts w:ascii="Cambria" w:hAnsi="Cambria" w:cs="Times New Roman"/>
          <w:color w:val="010205"/>
          <w:sz w:val="21"/>
          <w:szCs w:val="21"/>
        </w:rPr>
        <w:t xml:space="preserve">. It </w:t>
      </w:r>
      <w:r w:rsidRPr="00213F21">
        <w:rPr>
          <w:rFonts w:ascii="Cambria" w:hAnsi="Cambria" w:cs="Times New Roman"/>
          <w:color w:val="010205"/>
          <w:sz w:val="21"/>
          <w:szCs w:val="21"/>
        </w:rPr>
        <w:t>assum</w:t>
      </w:r>
      <w:r w:rsidR="002A0F60">
        <w:rPr>
          <w:rFonts w:ascii="Cambria" w:hAnsi="Cambria" w:cs="Times New Roman"/>
          <w:color w:val="010205"/>
          <w:sz w:val="21"/>
          <w:szCs w:val="21"/>
        </w:rPr>
        <w:t>es that</w:t>
      </w:r>
      <w:r w:rsidRPr="00213F21">
        <w:rPr>
          <w:rFonts w:ascii="Cambria" w:hAnsi="Cambria" w:cs="Times New Roman"/>
          <w:color w:val="010205"/>
          <w:sz w:val="21"/>
          <w:szCs w:val="21"/>
        </w:rPr>
        <w:t xml:space="preserve"> the coefficient value of other variables is constant. The variable profitability during a pandemic shows a significant value of 0.00 which is lower than 0.05 and has. It means that the profitability variable during the Covid-19 pandemic has an effect on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audit opinion.</w:t>
      </w:r>
    </w:p>
    <w:p w14:paraId="53D00984" w14:textId="77777777" w:rsidR="00F04CEF" w:rsidRDefault="000F4100">
      <w:pPr>
        <w:spacing w:after="0" w:line="240" w:lineRule="auto"/>
        <w:ind w:firstLine="709"/>
        <w:jc w:val="both"/>
        <w:rPr>
          <w:rFonts w:ascii="Cambria" w:hAnsi="Cambria" w:cs="Times New Roman"/>
          <w:color w:val="010205"/>
          <w:sz w:val="21"/>
          <w:szCs w:val="21"/>
        </w:rPr>
      </w:pPr>
      <w:r w:rsidRPr="00213F21">
        <w:rPr>
          <w:rFonts w:ascii="Cambria" w:hAnsi="Cambria" w:cs="Times New Roman"/>
          <w:i/>
          <w:iCs/>
          <w:color w:val="010205"/>
          <w:sz w:val="21"/>
          <w:szCs w:val="21"/>
        </w:rPr>
        <w:t xml:space="preserve">The leverage </w:t>
      </w:r>
      <w:r w:rsidRPr="00213F21">
        <w:rPr>
          <w:rFonts w:ascii="Cambria" w:hAnsi="Cambria" w:cs="Times New Roman"/>
          <w:color w:val="010205"/>
          <w:sz w:val="21"/>
          <w:szCs w:val="21"/>
        </w:rPr>
        <w:t xml:space="preserve">variable during the Covid-19 pandemic has a Wald statistic of 4.058 and a coefficient value of 0.008, which means that every 1% increase in </w:t>
      </w:r>
      <w:r w:rsidRPr="00213F21">
        <w:rPr>
          <w:rFonts w:ascii="Cambria" w:hAnsi="Cambria" w:cs="Times New Roman"/>
          <w:i/>
          <w:iCs/>
          <w:color w:val="010205"/>
          <w:sz w:val="21"/>
          <w:szCs w:val="21"/>
        </w:rPr>
        <w:t xml:space="preserve">leverage </w:t>
      </w:r>
      <w:r w:rsidRPr="00213F21">
        <w:rPr>
          <w:rFonts w:ascii="Cambria" w:hAnsi="Cambria" w:cs="Times New Roman"/>
          <w:color w:val="010205"/>
          <w:sz w:val="21"/>
          <w:szCs w:val="21"/>
        </w:rPr>
        <w:t xml:space="preserve">will decrease the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 xml:space="preserve">Audit Opinion by 0.008 units, assuming the coefficient value of other variables remains constant. </w:t>
      </w:r>
      <w:r w:rsidRPr="00213F21">
        <w:rPr>
          <w:rFonts w:ascii="Cambria" w:hAnsi="Cambria" w:cs="Times New Roman"/>
          <w:i/>
          <w:iCs/>
          <w:color w:val="010205"/>
          <w:sz w:val="21"/>
          <w:szCs w:val="21"/>
        </w:rPr>
        <w:t xml:space="preserve">The debt to equity </w:t>
      </w:r>
      <w:r w:rsidRPr="00213F21">
        <w:rPr>
          <w:rFonts w:ascii="Cambria" w:hAnsi="Cambria" w:cs="Times New Roman"/>
          <w:color w:val="010205"/>
          <w:sz w:val="21"/>
          <w:szCs w:val="21"/>
        </w:rPr>
        <w:t xml:space="preserve">(DER) variable </w:t>
      </w:r>
      <w:r w:rsidR="002A0F60">
        <w:rPr>
          <w:rFonts w:ascii="Cambria" w:hAnsi="Cambria" w:cs="Times New Roman"/>
          <w:color w:val="010205"/>
          <w:sz w:val="21"/>
          <w:szCs w:val="21"/>
        </w:rPr>
        <w:t>was</w:t>
      </w:r>
      <w:r w:rsidRPr="00213F21">
        <w:rPr>
          <w:rFonts w:ascii="Cambria" w:hAnsi="Cambria" w:cs="Times New Roman"/>
          <w:color w:val="010205"/>
          <w:sz w:val="21"/>
          <w:szCs w:val="21"/>
        </w:rPr>
        <w:t xml:space="preserve"> used to measure the </w:t>
      </w:r>
      <w:r w:rsidRPr="00213F21">
        <w:rPr>
          <w:rFonts w:ascii="Cambria" w:hAnsi="Cambria" w:cs="Times New Roman"/>
          <w:i/>
          <w:iCs/>
          <w:color w:val="010205"/>
          <w:sz w:val="21"/>
          <w:szCs w:val="21"/>
        </w:rPr>
        <w:t>leverage</w:t>
      </w:r>
      <w:r w:rsidRPr="00213F21">
        <w:rPr>
          <w:rFonts w:ascii="Cambria" w:hAnsi="Cambria" w:cs="Times New Roman"/>
          <w:color w:val="010205"/>
          <w:sz w:val="21"/>
          <w:szCs w:val="21"/>
        </w:rPr>
        <w:t xml:space="preserve"> variable with a significance result of 0.044, which is lower than 0.05 and has a positive coefficient value. This means that the </w:t>
      </w:r>
      <w:r w:rsidRPr="00213F21">
        <w:rPr>
          <w:rFonts w:ascii="Cambria" w:hAnsi="Cambria" w:cs="Times New Roman"/>
          <w:i/>
          <w:iCs/>
          <w:color w:val="010205"/>
          <w:sz w:val="21"/>
          <w:szCs w:val="21"/>
        </w:rPr>
        <w:t xml:space="preserve">leverage </w:t>
      </w:r>
      <w:r w:rsidRPr="00213F21">
        <w:rPr>
          <w:rFonts w:ascii="Cambria" w:hAnsi="Cambria" w:cs="Times New Roman"/>
          <w:color w:val="010205"/>
          <w:sz w:val="21"/>
          <w:szCs w:val="21"/>
        </w:rPr>
        <w:t xml:space="preserve">variable during the Covid-19 pandemic has an effect on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audit opinion.</w:t>
      </w:r>
    </w:p>
    <w:p w14:paraId="6F09F3E7" w14:textId="77777777" w:rsidR="00F04CEF" w:rsidRDefault="000F4100">
      <w:pPr>
        <w:spacing w:after="0" w:line="240" w:lineRule="auto"/>
        <w:ind w:firstLine="709"/>
        <w:jc w:val="both"/>
        <w:rPr>
          <w:rFonts w:ascii="Cambria" w:hAnsi="Cambria" w:cs="Times New Roman"/>
          <w:color w:val="010205"/>
          <w:sz w:val="21"/>
          <w:szCs w:val="21"/>
        </w:rPr>
      </w:pPr>
      <w:r w:rsidRPr="00213F21">
        <w:rPr>
          <w:rFonts w:ascii="Cambria" w:hAnsi="Cambria" w:cs="Times New Roman"/>
          <w:color w:val="010205"/>
          <w:sz w:val="21"/>
          <w:szCs w:val="21"/>
        </w:rPr>
        <w:t xml:space="preserve">The company growth variable during the Covid-19 pandemic has a wald statistic of 1.356 and a coefficient value of -0.020, which means that every 1% increase in company growth will decrease the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 xml:space="preserve">Audit Opinion by -0.020 units, assuming the coefficient value of other variables is constant. The variable company growth during the Covid-19 pandemic has a significance value of 0.244, greater than 0.05. It means that company growth during the Covid-19 pandemic has no effect on </w:t>
      </w:r>
      <w:r w:rsidRPr="00213F21">
        <w:rPr>
          <w:rFonts w:ascii="Cambria" w:hAnsi="Cambria" w:cs="Times New Roman"/>
          <w:i/>
          <w:iCs/>
          <w:color w:val="010205"/>
          <w:sz w:val="21"/>
          <w:szCs w:val="21"/>
        </w:rPr>
        <w:t xml:space="preserve">going concern </w:t>
      </w:r>
      <w:r w:rsidRPr="00213F21">
        <w:rPr>
          <w:rFonts w:ascii="Cambria" w:hAnsi="Cambria" w:cs="Times New Roman"/>
          <w:color w:val="010205"/>
          <w:sz w:val="21"/>
          <w:szCs w:val="21"/>
        </w:rPr>
        <w:t xml:space="preserve">audit opinion. </w:t>
      </w:r>
    </w:p>
    <w:p w14:paraId="6BDED4C9" w14:textId="77777777" w:rsidR="00F04CEF" w:rsidRDefault="000F4100">
      <w:pPr>
        <w:spacing w:after="0" w:line="240" w:lineRule="auto"/>
        <w:ind w:firstLine="709"/>
        <w:jc w:val="both"/>
        <w:rPr>
          <w:rFonts w:ascii="Cambria" w:hAnsi="Cambria"/>
          <w:color w:val="010205"/>
          <w:sz w:val="21"/>
          <w:szCs w:val="21"/>
        </w:rPr>
      </w:pPr>
      <w:r w:rsidRPr="00952A17">
        <w:rPr>
          <w:rFonts w:ascii="Cambria" w:hAnsi="Cambria"/>
          <w:color w:val="010205"/>
          <w:sz w:val="21"/>
          <w:szCs w:val="21"/>
        </w:rPr>
        <w:t>This study aim</w:t>
      </w:r>
      <w:r w:rsidR="002A0F60">
        <w:rPr>
          <w:rFonts w:ascii="Cambria" w:hAnsi="Cambria"/>
          <w:color w:val="010205"/>
          <w:sz w:val="21"/>
          <w:szCs w:val="21"/>
        </w:rPr>
        <w:t>ed</w:t>
      </w:r>
      <w:r w:rsidRPr="00952A17">
        <w:rPr>
          <w:rFonts w:ascii="Cambria" w:hAnsi="Cambria"/>
          <w:color w:val="010205"/>
          <w:sz w:val="21"/>
          <w:szCs w:val="21"/>
        </w:rPr>
        <w:t xml:space="preserve"> to determine the effect of profitability, </w:t>
      </w:r>
      <w:r w:rsidRPr="00952A17">
        <w:rPr>
          <w:rFonts w:ascii="Cambria" w:hAnsi="Cambria"/>
          <w:i/>
          <w:color w:val="010205"/>
          <w:sz w:val="21"/>
          <w:szCs w:val="21"/>
        </w:rPr>
        <w:t>leverage</w:t>
      </w:r>
      <w:r w:rsidRPr="00952A17">
        <w:rPr>
          <w:rFonts w:ascii="Cambria" w:hAnsi="Cambria"/>
          <w:color w:val="010205"/>
          <w:sz w:val="21"/>
          <w:szCs w:val="21"/>
        </w:rPr>
        <w:t>, and company growth on</w:t>
      </w:r>
      <w:r w:rsidRPr="00952A17">
        <w:rPr>
          <w:rFonts w:ascii="Cambria" w:hAnsi="Cambria"/>
          <w:i/>
          <w:color w:val="010205"/>
          <w:sz w:val="21"/>
          <w:szCs w:val="21"/>
        </w:rPr>
        <w:t xml:space="preserve">going concern </w:t>
      </w:r>
      <w:r w:rsidRPr="00952A17">
        <w:rPr>
          <w:rFonts w:ascii="Cambria" w:hAnsi="Cambria"/>
          <w:color w:val="010205"/>
          <w:sz w:val="21"/>
          <w:szCs w:val="21"/>
        </w:rPr>
        <w:t>audit opinion before and during the Covid-19 pandemic in manufacturing companies in 2019-2020. The following is an explanation of the results of the research that has been conducted.</w:t>
      </w:r>
    </w:p>
    <w:p w14:paraId="033D01A1" w14:textId="77777777" w:rsidR="00EE119F" w:rsidRDefault="00EE119F">
      <w:pPr>
        <w:spacing w:after="0" w:line="240" w:lineRule="auto"/>
        <w:ind w:firstLine="709"/>
        <w:jc w:val="both"/>
        <w:rPr>
          <w:rFonts w:ascii="Cambria" w:hAnsi="Cambria"/>
          <w:color w:val="010205"/>
          <w:sz w:val="21"/>
          <w:szCs w:val="21"/>
        </w:rPr>
      </w:pPr>
    </w:p>
    <w:p w14:paraId="5E960433" w14:textId="77777777" w:rsidR="00575591" w:rsidRPr="00952A17" w:rsidRDefault="00575591" w:rsidP="00952A17">
      <w:pPr>
        <w:spacing w:after="0" w:line="240" w:lineRule="auto"/>
        <w:ind w:firstLine="709"/>
        <w:jc w:val="both"/>
        <w:rPr>
          <w:rFonts w:ascii="Cambria" w:hAnsi="Cambria" w:cs="Times New Roman"/>
          <w:color w:val="010205"/>
          <w:sz w:val="21"/>
          <w:szCs w:val="21"/>
        </w:rPr>
      </w:pPr>
    </w:p>
    <w:p w14:paraId="3C2C08FF" w14:textId="77777777" w:rsidR="00F04CEF" w:rsidRDefault="000F4100">
      <w:pPr>
        <w:pStyle w:val="ListParagraph"/>
        <w:numPr>
          <w:ilvl w:val="0"/>
          <w:numId w:val="3"/>
        </w:numPr>
        <w:spacing w:after="160" w:line="240" w:lineRule="auto"/>
        <w:ind w:left="284" w:hanging="284"/>
        <w:contextualSpacing/>
        <w:jc w:val="both"/>
        <w:rPr>
          <w:rFonts w:ascii="Cambria" w:hAnsi="Cambria"/>
          <w:b/>
          <w:bCs/>
          <w:color w:val="010205"/>
          <w:sz w:val="21"/>
          <w:szCs w:val="21"/>
        </w:rPr>
      </w:pPr>
      <w:r w:rsidRPr="00952A17">
        <w:rPr>
          <w:rFonts w:ascii="Cambria" w:hAnsi="Cambria"/>
          <w:b/>
          <w:bCs/>
          <w:color w:val="010205"/>
          <w:sz w:val="21"/>
          <w:szCs w:val="21"/>
        </w:rPr>
        <w:t xml:space="preserve">The Effect of Profitability on </w:t>
      </w:r>
      <w:r w:rsidRPr="00952A17">
        <w:rPr>
          <w:rFonts w:ascii="Cambria" w:hAnsi="Cambria"/>
          <w:b/>
          <w:bCs/>
          <w:i/>
          <w:iCs/>
          <w:color w:val="010205"/>
          <w:sz w:val="21"/>
          <w:szCs w:val="21"/>
        </w:rPr>
        <w:t xml:space="preserve">Going Concern </w:t>
      </w:r>
      <w:r w:rsidRPr="00952A17">
        <w:rPr>
          <w:rFonts w:ascii="Cambria" w:hAnsi="Cambria"/>
          <w:b/>
          <w:bCs/>
          <w:color w:val="010205"/>
          <w:sz w:val="21"/>
          <w:szCs w:val="21"/>
        </w:rPr>
        <w:t>Audit Opinions Before the Covid-19 Pandemic</w:t>
      </w:r>
    </w:p>
    <w:p w14:paraId="0061EAC5" w14:textId="77777777" w:rsidR="00F04CEF" w:rsidRDefault="000F4100">
      <w:pPr>
        <w:spacing w:after="0" w:line="240" w:lineRule="auto"/>
        <w:ind w:firstLine="709"/>
        <w:jc w:val="both"/>
        <w:rPr>
          <w:rFonts w:ascii="Cambria" w:hAnsi="Cambria"/>
          <w:color w:val="010205"/>
          <w:sz w:val="21"/>
          <w:szCs w:val="21"/>
        </w:rPr>
      </w:pPr>
      <w:r w:rsidRPr="00952A17">
        <w:rPr>
          <w:rFonts w:ascii="Cambria" w:hAnsi="Cambria"/>
          <w:color w:val="010205"/>
          <w:sz w:val="21"/>
          <w:szCs w:val="21"/>
        </w:rPr>
        <w:t>The results of testing the profitability variable before the Coivd-19 pandemic showed no effect on profitability on</w:t>
      </w:r>
      <w:r w:rsidRPr="00952A17">
        <w:rPr>
          <w:rFonts w:ascii="Cambria" w:hAnsi="Cambria"/>
          <w:i/>
          <w:iCs/>
          <w:color w:val="010205"/>
          <w:sz w:val="21"/>
          <w:szCs w:val="21"/>
        </w:rPr>
        <w:t xml:space="preserve">going concern </w:t>
      </w:r>
      <w:r w:rsidRPr="00952A17">
        <w:rPr>
          <w:rFonts w:ascii="Cambria" w:hAnsi="Cambria"/>
          <w:color w:val="010205"/>
          <w:sz w:val="21"/>
          <w:szCs w:val="21"/>
        </w:rPr>
        <w:t xml:space="preserve">audit opinion in manufacturing companies in 2019. This result is indicated by a negative regression coefficient value of -0.27 with a significance level of 0.374, greater than the significance level α = 0.05. A significance value greater than α = 0.05 shows that the profitability variable before the Covid-19 pandemic has no effect on </w:t>
      </w:r>
      <w:r w:rsidRPr="00952A17">
        <w:rPr>
          <w:rFonts w:ascii="Cambria" w:hAnsi="Cambria"/>
          <w:i/>
          <w:iCs/>
          <w:color w:val="010205"/>
          <w:sz w:val="21"/>
          <w:szCs w:val="21"/>
        </w:rPr>
        <w:t xml:space="preserve">going concern </w:t>
      </w:r>
      <w:r w:rsidRPr="00952A17">
        <w:rPr>
          <w:rFonts w:ascii="Cambria" w:hAnsi="Cambria"/>
          <w:color w:val="010205"/>
          <w:sz w:val="21"/>
          <w:szCs w:val="21"/>
        </w:rPr>
        <w:t xml:space="preserve">opinion. It explains that manufacturing companies in Indonesia before the Covid-19 pandemic </w:t>
      </w:r>
      <w:r w:rsidRPr="00952A17">
        <w:rPr>
          <w:rFonts w:ascii="Cambria" w:hAnsi="Cambria"/>
          <w:color w:val="010205"/>
          <w:sz w:val="21"/>
          <w:szCs w:val="21"/>
        </w:rPr>
        <w:lastRenderedPageBreak/>
        <w:t>could maintain the continuity of the company's business in carrying out company operations to earn profits.</w:t>
      </w:r>
    </w:p>
    <w:p w14:paraId="477829A9" w14:textId="77777777" w:rsidR="00F04CEF" w:rsidRDefault="000F4100">
      <w:pPr>
        <w:spacing w:after="0" w:line="240" w:lineRule="auto"/>
        <w:ind w:firstLine="709"/>
        <w:jc w:val="both"/>
        <w:rPr>
          <w:rFonts w:ascii="Cambria" w:hAnsi="Cambria"/>
          <w:color w:val="FF0000"/>
          <w:sz w:val="21"/>
          <w:szCs w:val="21"/>
        </w:rPr>
      </w:pPr>
      <w:r w:rsidRPr="00952A17">
        <w:rPr>
          <w:rFonts w:ascii="Cambria" w:hAnsi="Cambria"/>
          <w:color w:val="010205"/>
          <w:sz w:val="21"/>
          <w:szCs w:val="21"/>
        </w:rPr>
        <w:t xml:space="preserve">The profitability variable in this study </w:t>
      </w:r>
      <w:r w:rsidR="00695700">
        <w:rPr>
          <w:rFonts w:ascii="Cambria" w:hAnsi="Cambria"/>
          <w:color w:val="010205"/>
          <w:sz w:val="21"/>
          <w:szCs w:val="21"/>
        </w:rPr>
        <w:t>was</w:t>
      </w:r>
      <w:r w:rsidRPr="00952A17">
        <w:rPr>
          <w:rFonts w:ascii="Cambria" w:hAnsi="Cambria"/>
          <w:color w:val="010205"/>
          <w:sz w:val="21"/>
          <w:szCs w:val="21"/>
        </w:rPr>
        <w:t xml:space="preserve"> measured using </w:t>
      </w:r>
      <w:r w:rsidRPr="00952A17">
        <w:rPr>
          <w:rFonts w:ascii="Cambria" w:hAnsi="Cambria"/>
          <w:i/>
          <w:iCs/>
          <w:color w:val="010205"/>
          <w:sz w:val="21"/>
          <w:szCs w:val="21"/>
        </w:rPr>
        <w:t xml:space="preserve">return on assets </w:t>
      </w:r>
      <w:r w:rsidRPr="00952A17">
        <w:rPr>
          <w:rFonts w:ascii="Cambria" w:hAnsi="Cambria"/>
          <w:color w:val="010205"/>
          <w:sz w:val="21"/>
          <w:szCs w:val="21"/>
        </w:rPr>
        <w:t>(ROA)</w:t>
      </w:r>
      <w:r w:rsidRPr="00952A17">
        <w:rPr>
          <w:rFonts w:ascii="Cambria" w:hAnsi="Cambria"/>
          <w:i/>
          <w:iCs/>
          <w:color w:val="010205"/>
          <w:sz w:val="21"/>
          <w:szCs w:val="21"/>
        </w:rPr>
        <w:t xml:space="preserve">. </w:t>
      </w:r>
      <w:r w:rsidRPr="00952A17">
        <w:rPr>
          <w:rFonts w:ascii="Cambria" w:hAnsi="Cambria"/>
          <w:color w:val="010205"/>
          <w:sz w:val="21"/>
          <w:szCs w:val="21"/>
        </w:rPr>
        <w:t xml:space="preserve">A higher ROA value indicates better management of the company's assets. It shows that the company's performance before Covid-19 was in good condition, so profitability before the Covid-19 pandemic did not affect </w:t>
      </w:r>
      <w:r w:rsidRPr="00952A17">
        <w:rPr>
          <w:rFonts w:ascii="Cambria" w:hAnsi="Cambria"/>
          <w:i/>
          <w:iCs/>
          <w:color w:val="010205"/>
          <w:sz w:val="21"/>
          <w:szCs w:val="21"/>
        </w:rPr>
        <w:t xml:space="preserve">going concern </w:t>
      </w:r>
      <w:r w:rsidRPr="00952A17">
        <w:rPr>
          <w:rFonts w:ascii="Cambria" w:hAnsi="Cambria"/>
          <w:color w:val="010205"/>
          <w:sz w:val="21"/>
          <w:szCs w:val="21"/>
        </w:rPr>
        <w:t xml:space="preserve">audit opinion. Profitability has no effect on </w:t>
      </w:r>
      <w:r w:rsidRPr="00952A17">
        <w:rPr>
          <w:rFonts w:ascii="Cambria" w:hAnsi="Cambria"/>
          <w:i/>
          <w:iCs/>
          <w:color w:val="010205"/>
          <w:sz w:val="21"/>
          <w:szCs w:val="21"/>
        </w:rPr>
        <w:t xml:space="preserve">going </w:t>
      </w:r>
      <w:r w:rsidR="0035735B">
        <w:rPr>
          <w:rFonts w:ascii="Cambria" w:hAnsi="Cambria"/>
          <w:i/>
          <w:iCs/>
          <w:color w:val="010205"/>
          <w:sz w:val="21"/>
          <w:szCs w:val="21"/>
        </w:rPr>
        <w:t xml:space="preserve">concerned about </w:t>
      </w:r>
      <w:r w:rsidRPr="00952A17">
        <w:rPr>
          <w:rFonts w:ascii="Cambria" w:hAnsi="Cambria"/>
          <w:color w:val="010205"/>
          <w:sz w:val="21"/>
          <w:szCs w:val="21"/>
        </w:rPr>
        <w:t xml:space="preserve">audit opinion acceptance </w:t>
      </w:r>
      <w:r w:rsidR="00F904DA">
        <w:rPr>
          <w:rFonts w:ascii="Cambria" w:hAnsi="Cambria"/>
          <w:i/>
          <w:iCs/>
          <w:color w:val="010205"/>
          <w:sz w:val="21"/>
          <w:szCs w:val="21"/>
        </w:rPr>
        <w:fldChar w:fldCharType="begin" w:fldLock="1"/>
      </w:r>
      <w:r w:rsidR="00F904DA">
        <w:rPr>
          <w:rFonts w:ascii="Cambria" w:hAnsi="Cambria"/>
          <w:i/>
          <w:iCs/>
          <w:color w:val="010205"/>
          <w:sz w:val="21"/>
          <w:szCs w:val="21"/>
        </w:rPr>
        <w:instrText>ADDIN CSL_CITATION {"citationItems":[{"id":"ITEM-1","itemData":{"DOI":"10.1515/hjbpa-2017-0015","abstract":"The study of the going concern audit opinions is an important component within the enhancement of firms’ responsibility and stewardship. A going concern audit opinions implies that the independent auditor doubt the future of the firm. This study aimed to examine the drivers of the likelihood of the going-concern audit opinions. Previous studies revealed that there were inconsistent drivers influencing the going-concern audit opinion. This study shows similar results to prior works. The result indicates that firms’ financial condition and profitability significantly affect the likelihood of the going-concern audit opinion, while firms’ size and leverage are not the determinants of the intensity of the going concern audit opinion.","author":[{"dropping-particle":"","family":"Suroto","given":"Lina Rahmawati","non-dropping-particle":"","parse-names":false,"suffix":""},{"dropping-particle":"","family":"Kusuma","given":"Hadri","non-dropping-particle":"","parse-names":false,"suffix":""}],"container-title":"HOLISTICA – Journal of Business and Public Administration","id":"ITEM-1","issue":"2","issued":{"date-parts":[["2017"]]},"page":"79-90","title":"Drivers of going concern audit opinions: empirical evidence from Indonesia","type":"article-journal","volume":"8"},"uris":["http://www.mendeley.com/documents/?uuid=0c05a9bc-c414-47e1-bcd6-e9adc89c0b09"]}],"mendeley":{"formattedCitation":"(Suroto &amp; Kusuma, 2017)","plainTextFormattedCitation":"(Suroto &amp; Kusuma, 2017)","previouslyFormattedCitation":"(Suroto &amp; Kusuma, 2017)"},"properties":{"noteIndex":0},"schema":"https://github.com/citation-style-language/schema/raw/master/csl-citation.json"}</w:instrText>
      </w:r>
      <w:r w:rsidR="00F904DA">
        <w:rPr>
          <w:rFonts w:ascii="Cambria" w:hAnsi="Cambria"/>
          <w:i/>
          <w:iCs/>
          <w:color w:val="010205"/>
          <w:sz w:val="21"/>
          <w:szCs w:val="21"/>
        </w:rPr>
        <w:fldChar w:fldCharType="separate"/>
      </w:r>
      <w:r w:rsidR="0035735B" w:rsidRPr="0035735B">
        <w:rPr>
          <w:rFonts w:ascii="Cambria" w:hAnsi="Cambria"/>
          <w:iCs/>
          <w:noProof/>
          <w:color w:val="010205"/>
          <w:sz w:val="21"/>
          <w:szCs w:val="21"/>
        </w:rPr>
        <w:t>(Suroto &amp; Kusuma, 2017)</w:t>
      </w:r>
      <w:r w:rsidR="00F904DA">
        <w:rPr>
          <w:rFonts w:ascii="Cambria" w:hAnsi="Cambria"/>
          <w:i/>
          <w:iCs/>
          <w:color w:val="010205"/>
          <w:sz w:val="21"/>
          <w:szCs w:val="21"/>
        </w:rPr>
        <w:fldChar w:fldCharType="end"/>
      </w:r>
      <w:r w:rsidRPr="00952A17">
        <w:rPr>
          <w:rFonts w:ascii="Cambria" w:hAnsi="Cambria"/>
          <w:color w:val="010205"/>
          <w:sz w:val="21"/>
          <w:szCs w:val="21"/>
        </w:rPr>
        <w:t xml:space="preserve">. The company will provide information related to the company's state for investors in making decisions. </w:t>
      </w:r>
      <w:r w:rsidRPr="00952A17">
        <w:rPr>
          <w:rFonts w:ascii="Cambria" w:hAnsi="Cambria"/>
          <w:sz w:val="21"/>
          <w:szCs w:val="21"/>
        </w:rPr>
        <w:t>In this case</w:t>
      </w:r>
      <w:r w:rsidR="00695700">
        <w:rPr>
          <w:rFonts w:ascii="Cambria" w:hAnsi="Cambria"/>
          <w:sz w:val="21"/>
          <w:szCs w:val="21"/>
        </w:rPr>
        <w:t>,</w:t>
      </w:r>
      <w:r w:rsidRPr="00952A17">
        <w:rPr>
          <w:rFonts w:ascii="Cambria" w:hAnsi="Cambria"/>
          <w:sz w:val="21"/>
          <w:szCs w:val="21"/>
        </w:rPr>
        <w:t xml:space="preserve"> the company provides positive signals to investors or </w:t>
      </w:r>
      <w:r w:rsidR="00F904DA">
        <w:rPr>
          <w:rFonts w:ascii="Cambria" w:hAnsi="Cambria"/>
          <w:sz w:val="21"/>
          <w:szCs w:val="21"/>
        </w:rPr>
        <w:t xml:space="preserve">creditors. </w:t>
      </w:r>
      <w:r w:rsidR="00FA30A1">
        <w:rPr>
          <w:rFonts w:ascii="Cambria" w:hAnsi="Cambria"/>
          <w:sz w:val="21"/>
          <w:szCs w:val="21"/>
        </w:rPr>
        <w:fldChar w:fldCharType="begin" w:fldLock="1"/>
      </w:r>
      <w:r w:rsidR="00FA30A1">
        <w:rPr>
          <w:rFonts w:ascii="Cambria" w:hAnsi="Cambria"/>
          <w:sz w:val="21"/>
          <w:szCs w:val="21"/>
        </w:rPr>
        <w:instrText>ADDIN CSL_CITATION {"citationItems":[{"id":"ITEM-1","itemData":{"DOI":"10.1108/AJAR-09-2020-0078","ISSN":"24434175","abstract":"Purpose: It is argued that the going concern opinion is issued if auditors have a doubt about financial condition of a company. Provision of the going concern audit opinion may worsen the company in terms of gaining public trust and may even indicate bankruptcy. This study aims to determine the factors that affect the auditor's going concern opinion. Design/methodology/approach: This research used secondary data obtained from annual reports and independent audit reports published by the Indonesia Stock Exchange. The population of this research included manufacturing firms registered in the Indonesia Stock Exchange from 2015 to 2019. The sample after the purposive sampling technique being applied consisted of 33 companies. The data were analyzed using logistic regression performed in the statistical analysis software, SPSS 24.0. Findings: The results indicated that leverage positively affected the going concern audit opinion, then the audit quality, profitability and liquidity negatively affected the going concern audit opinion, whereas firm size and audit lag did not affect the going concern audit opinion. Originality/value: This study is in contrast to several existing studies on the determinants of the auditor's going concern opinion and provides knowledge on developing more factors affecting the auditor's going concern opinion.","author":[{"dropping-particle":"","family":"Averio","given":"Thomas","non-dropping-particle":"","parse-names":false,"suffix":""}],"container-title":"Asian Journal of Accounting Research","id":"ITEM-1","issue":"2","issued":{"date-parts":[["2020"]]},"page":"152-164","title":"The analysis of influencing factors on the going concern audit opinion – a study in manufacturing firms in Indonesia","type":"article-journal","volume":"6"},"uris":["http://www.mendeley.com/documents/?uuid=a4fa8f26-180a-406f-b59f-be92fc33e175"]}],"mendeley":{"formattedCitation":"(Averio, 2020)","plainTextFormattedCitation":"(Averio, 2020)","previouslyFormattedCitation":"(Averio, 2020)"},"properties":{"noteIndex":0},"schema":"https://github.com/citation-style-language/schema/raw/master/csl-citation.json"}</w:instrText>
      </w:r>
      <w:r w:rsidR="00FA30A1">
        <w:rPr>
          <w:rFonts w:ascii="Cambria" w:hAnsi="Cambria"/>
          <w:sz w:val="21"/>
          <w:szCs w:val="21"/>
        </w:rPr>
        <w:fldChar w:fldCharType="separate"/>
      </w:r>
      <w:r w:rsidR="00F904DA" w:rsidRPr="00F904DA">
        <w:rPr>
          <w:rFonts w:ascii="Cambria" w:hAnsi="Cambria"/>
          <w:noProof/>
          <w:sz w:val="21"/>
          <w:szCs w:val="21"/>
        </w:rPr>
        <w:t>(Averio, 2020)</w:t>
      </w:r>
      <w:r w:rsidR="00FA30A1">
        <w:rPr>
          <w:rFonts w:ascii="Cambria" w:hAnsi="Cambria"/>
          <w:sz w:val="21"/>
          <w:szCs w:val="21"/>
        </w:rPr>
        <w:fldChar w:fldCharType="end"/>
      </w:r>
      <w:r w:rsidR="00F904DA">
        <w:rPr>
          <w:rFonts w:ascii="Cambria" w:hAnsi="Cambria"/>
          <w:sz w:val="21"/>
          <w:szCs w:val="21"/>
        </w:rPr>
        <w:t>.</w:t>
      </w:r>
    </w:p>
    <w:p w14:paraId="67E304AC" w14:textId="77777777" w:rsidR="00952A17" w:rsidRPr="00952A17" w:rsidRDefault="00952A17" w:rsidP="00952A17">
      <w:pPr>
        <w:spacing w:after="0" w:line="240" w:lineRule="auto"/>
        <w:ind w:firstLine="709"/>
        <w:jc w:val="both"/>
        <w:rPr>
          <w:rFonts w:ascii="Cambria" w:hAnsi="Cambria"/>
          <w:color w:val="010205"/>
          <w:sz w:val="21"/>
          <w:szCs w:val="21"/>
        </w:rPr>
      </w:pPr>
    </w:p>
    <w:p w14:paraId="0B371F44" w14:textId="77777777" w:rsidR="00F04CEF" w:rsidRDefault="000F4100">
      <w:pPr>
        <w:pStyle w:val="ListParagraph"/>
        <w:numPr>
          <w:ilvl w:val="0"/>
          <w:numId w:val="3"/>
        </w:numPr>
        <w:spacing w:after="160" w:line="240" w:lineRule="auto"/>
        <w:ind w:left="284" w:hanging="284"/>
        <w:contextualSpacing/>
        <w:jc w:val="both"/>
        <w:rPr>
          <w:rFonts w:ascii="Cambria" w:hAnsi="Cambria"/>
          <w:b/>
          <w:bCs/>
          <w:i/>
          <w:iCs/>
          <w:color w:val="010205"/>
          <w:sz w:val="21"/>
          <w:szCs w:val="21"/>
        </w:rPr>
      </w:pPr>
      <w:r w:rsidRPr="00952A17">
        <w:rPr>
          <w:rFonts w:ascii="Cambria" w:hAnsi="Cambria"/>
          <w:b/>
          <w:bCs/>
          <w:color w:val="010205"/>
          <w:sz w:val="21"/>
          <w:szCs w:val="21"/>
        </w:rPr>
        <w:t xml:space="preserve">The Effect of Profitability on Receiving </w:t>
      </w:r>
      <w:r w:rsidRPr="00952A17">
        <w:rPr>
          <w:rFonts w:ascii="Cambria" w:hAnsi="Cambria"/>
          <w:b/>
          <w:bCs/>
          <w:i/>
          <w:iCs/>
          <w:color w:val="010205"/>
          <w:sz w:val="21"/>
          <w:szCs w:val="21"/>
        </w:rPr>
        <w:t xml:space="preserve">Going Concern </w:t>
      </w:r>
      <w:r w:rsidRPr="00952A17">
        <w:rPr>
          <w:rFonts w:ascii="Cambria" w:hAnsi="Cambria"/>
          <w:b/>
          <w:bCs/>
          <w:color w:val="010205"/>
          <w:sz w:val="21"/>
          <w:szCs w:val="21"/>
        </w:rPr>
        <w:t>Audit Opinions during the Covid-19 Pandemic</w:t>
      </w:r>
    </w:p>
    <w:p w14:paraId="5CB732F1" w14:textId="77777777" w:rsidR="00F04CEF" w:rsidRDefault="000F4100">
      <w:pPr>
        <w:spacing w:line="240" w:lineRule="auto"/>
        <w:ind w:firstLine="709"/>
        <w:jc w:val="both"/>
        <w:rPr>
          <w:rFonts w:ascii="Cambria" w:hAnsi="Cambria"/>
          <w:color w:val="010205"/>
          <w:sz w:val="21"/>
          <w:szCs w:val="21"/>
        </w:rPr>
      </w:pPr>
      <w:r w:rsidRPr="00952A17">
        <w:rPr>
          <w:rFonts w:ascii="Cambria" w:hAnsi="Cambria"/>
          <w:color w:val="010205"/>
          <w:sz w:val="21"/>
          <w:szCs w:val="21"/>
        </w:rPr>
        <w:t xml:space="preserve">The test results of the profitability variable during the Covid-19 pandemic show that profitability during the Covid-19 pandemic affects the </w:t>
      </w:r>
      <w:r w:rsidRPr="00952A17">
        <w:rPr>
          <w:rFonts w:ascii="Cambria" w:hAnsi="Cambria"/>
          <w:i/>
          <w:iCs/>
          <w:color w:val="010205"/>
          <w:sz w:val="21"/>
          <w:szCs w:val="21"/>
        </w:rPr>
        <w:t xml:space="preserve">going concern </w:t>
      </w:r>
      <w:r w:rsidRPr="00952A17">
        <w:rPr>
          <w:rFonts w:ascii="Cambria" w:hAnsi="Cambria"/>
          <w:color w:val="010205"/>
          <w:sz w:val="21"/>
          <w:szCs w:val="21"/>
        </w:rPr>
        <w:t xml:space="preserve">audit opinion. This result is indicated by a negative regression coefficient value of -440 with a significance level of 0.000 which is smaller than the significance level α = 0.05. With a significance value smaller than α = 0.05, it shows that the profitability variable during the Covid-19 pandemic has an effect on </w:t>
      </w:r>
      <w:r w:rsidRPr="00952A17">
        <w:rPr>
          <w:rFonts w:ascii="Cambria" w:hAnsi="Cambria"/>
          <w:i/>
          <w:iCs/>
          <w:color w:val="010205"/>
          <w:sz w:val="21"/>
          <w:szCs w:val="21"/>
        </w:rPr>
        <w:t xml:space="preserve">going concern </w:t>
      </w:r>
      <w:r w:rsidRPr="00952A17">
        <w:rPr>
          <w:rFonts w:ascii="Cambria" w:hAnsi="Cambria"/>
          <w:color w:val="010205"/>
          <w:sz w:val="21"/>
          <w:szCs w:val="21"/>
        </w:rPr>
        <w:t>opinion. It is because, during the Covid-19 pandemic, many companies were required to reduce working hours or even temporarily close due to government policies to carry out social distancing, resulting in the company experiencing losses reflected in the number of companies that have negative net income</w:t>
      </w:r>
      <w:r w:rsidR="00695700">
        <w:rPr>
          <w:rFonts w:ascii="Cambria" w:hAnsi="Cambria"/>
          <w:color w:val="010205"/>
          <w:sz w:val="21"/>
          <w:szCs w:val="21"/>
        </w:rPr>
        <w:t>. N</w:t>
      </w:r>
      <w:r w:rsidRPr="00952A17">
        <w:rPr>
          <w:rFonts w:ascii="Cambria" w:hAnsi="Cambria"/>
          <w:color w:val="010205"/>
          <w:sz w:val="21"/>
          <w:szCs w:val="21"/>
        </w:rPr>
        <w:t xml:space="preserve">egative net income is an indicator that illustrates a decrease in company performance in terms of the ability to earn profits, which means that the Covid-19 pandemic has an impact on the business continuity of manufacturing companies. </w:t>
      </w:r>
      <w:r w:rsidR="00695700">
        <w:rPr>
          <w:rFonts w:ascii="Cambria" w:hAnsi="Cambria"/>
          <w:color w:val="010205"/>
          <w:sz w:val="21"/>
          <w:szCs w:val="21"/>
        </w:rPr>
        <w:t xml:space="preserve">Therefore, </w:t>
      </w:r>
      <w:r w:rsidR="00F904DA">
        <w:rPr>
          <w:rFonts w:ascii="Cambria" w:hAnsi="Cambria"/>
          <w:color w:val="010205"/>
          <w:sz w:val="21"/>
          <w:szCs w:val="21"/>
        </w:rPr>
        <w:t xml:space="preserve">it gives a negative signal </w:t>
      </w:r>
      <w:r w:rsidRPr="00952A17">
        <w:rPr>
          <w:rFonts w:ascii="Cambria" w:hAnsi="Cambria"/>
          <w:color w:val="010205"/>
          <w:sz w:val="21"/>
          <w:szCs w:val="21"/>
        </w:rPr>
        <w:t xml:space="preserve">to external parties, especially investors and creditors, to make decisions. Profitability affects </w:t>
      </w:r>
      <w:r w:rsidRPr="00952A17">
        <w:rPr>
          <w:rFonts w:ascii="Cambria" w:hAnsi="Cambria"/>
          <w:i/>
          <w:iCs/>
          <w:color w:val="010205"/>
          <w:sz w:val="21"/>
          <w:szCs w:val="21"/>
        </w:rPr>
        <w:t xml:space="preserve">going </w:t>
      </w:r>
      <w:r w:rsidR="00FA30A1">
        <w:rPr>
          <w:rFonts w:ascii="Cambria" w:hAnsi="Cambria"/>
          <w:iCs/>
          <w:color w:val="010205"/>
          <w:sz w:val="21"/>
          <w:szCs w:val="21"/>
        </w:rPr>
        <w:t xml:space="preserve">concern </w:t>
      </w:r>
      <w:r w:rsidRPr="00952A17">
        <w:rPr>
          <w:rFonts w:ascii="Cambria" w:hAnsi="Cambria"/>
          <w:color w:val="010205"/>
          <w:sz w:val="21"/>
          <w:szCs w:val="21"/>
        </w:rPr>
        <w:t xml:space="preserve">audit opinion </w:t>
      </w:r>
      <w:r w:rsidR="009E17AF">
        <w:rPr>
          <w:rFonts w:ascii="Cambria" w:hAnsi="Cambria"/>
          <w:iCs/>
          <w:color w:val="010205"/>
          <w:sz w:val="21"/>
          <w:szCs w:val="21"/>
        </w:rPr>
        <w:fldChar w:fldCharType="begin" w:fldLock="1"/>
      </w:r>
      <w:r w:rsidR="009E17AF">
        <w:rPr>
          <w:rFonts w:ascii="Cambria" w:hAnsi="Cambria"/>
          <w:iCs/>
          <w:color w:val="010205"/>
          <w:sz w:val="21"/>
          <w:szCs w:val="21"/>
        </w:rPr>
        <w:instrText>ADDIN CSL_CITATION {"citationItems":[{"id":"ITEM-1","itemData":{"abstract":"Many previous studies have examined the issue of why a company receives a going-concern opinion (GCO) from its auditor. These studies found that auditors are more likely to issue a GCO when their clients are less profitable, less liquid and smaller in size, have higher leverage, previously defaulted debt and received a GCO in the previous year, among other reasons. However, no research has analyzed the question of how a company is able to receive an unqualified, clean opinion only a year after it received a GCO. This is probably due to the fact that it is extremely hard to find those sample companies: according to a report by Audit Analytics (2014), only 1,473 or 1.37% of total companies (107,827) survived the GCO stigma, and most companies received the GCO year after year or disappeared for good. From the LexisNexis Academic database, we found 28 companies that filed a GCO between 2009 and 2015, and then filed a clean opinion a year after. In this study, the financial characteristics of those companies were examined and compared with 33 randomly selected companies that received a qualified, GCO two years in a row. The current research results show that 28 GCO survivors, when compared to the 33 companies, have made a significant improvement in profitability and liquidity within a year.","author":[{"dropping-particle":"","family":"Ryu","given":"Tae G","non-dropping-particle":"","parse-names":false,"suffix":""},{"dropping-particle":"","family":"Clifton","given":"Gregory","non-dropping-particle":"","parse-names":false,"suffix":""},{"dropping-particle":"","family":"Roh","given":"Chul-Young","non-dropping-particle":"","parse-names":false,"suffix":""}],"container-title":"Journal of Finance and Accountancy","id":"ITEM-1","issued":{"date-parts":[["2019"]]},"page":"1-13","title":"The effect of profitability and liquidity on audit opinions: An empirical analysis","type":"article-journal","volume":"25"},"uris":["http://www.mendeley.com/documents/?uuid=405dd8cd-4e2c-4fe7-b9eb-1d71e142336d"]}],"mendeley":{"formattedCitation":"(Ryu et al., 2019)","plainTextFormattedCitation":"(Ryu et al., 2019)","previouslyFormattedCitation":"(Ryu et al., 2019)"},"properties":{"noteIndex":0},"schema":"https://github.com/citation-style-language/schema/raw/master/csl-citation.json"}</w:instrText>
      </w:r>
      <w:r w:rsidR="009E17AF">
        <w:rPr>
          <w:rFonts w:ascii="Cambria" w:hAnsi="Cambria"/>
          <w:iCs/>
          <w:color w:val="010205"/>
          <w:sz w:val="21"/>
          <w:szCs w:val="21"/>
        </w:rPr>
        <w:fldChar w:fldCharType="separate"/>
      </w:r>
      <w:r w:rsidR="00FA30A1" w:rsidRPr="00FA30A1">
        <w:rPr>
          <w:rFonts w:ascii="Cambria" w:hAnsi="Cambria"/>
          <w:iCs/>
          <w:noProof/>
          <w:color w:val="010205"/>
          <w:sz w:val="21"/>
          <w:szCs w:val="21"/>
        </w:rPr>
        <w:t>(Ryu et al., 2019)</w:t>
      </w:r>
      <w:r w:rsidR="009E17AF">
        <w:rPr>
          <w:rFonts w:ascii="Cambria" w:hAnsi="Cambria"/>
          <w:iCs/>
          <w:color w:val="010205"/>
          <w:sz w:val="21"/>
          <w:szCs w:val="21"/>
        </w:rPr>
        <w:fldChar w:fldCharType="end"/>
      </w:r>
      <w:r w:rsidRPr="00952A17">
        <w:rPr>
          <w:rFonts w:ascii="Cambria" w:hAnsi="Cambria"/>
          <w:color w:val="010205"/>
          <w:sz w:val="21"/>
          <w:szCs w:val="21"/>
        </w:rPr>
        <w:t xml:space="preserve">. </w:t>
      </w:r>
    </w:p>
    <w:p w14:paraId="7B2A2D13" w14:textId="77777777" w:rsidR="00F904DA" w:rsidRPr="00952A17" w:rsidRDefault="00F904DA" w:rsidP="00952A17">
      <w:pPr>
        <w:spacing w:line="240" w:lineRule="auto"/>
        <w:ind w:firstLine="709"/>
        <w:jc w:val="both"/>
        <w:rPr>
          <w:rFonts w:ascii="Cambria" w:hAnsi="Cambria"/>
          <w:color w:val="010205"/>
          <w:sz w:val="21"/>
          <w:szCs w:val="21"/>
        </w:rPr>
      </w:pPr>
    </w:p>
    <w:p w14:paraId="1C1036D4" w14:textId="77777777" w:rsidR="00F04CEF" w:rsidRDefault="000F4100">
      <w:pPr>
        <w:pStyle w:val="ListParagraph"/>
        <w:numPr>
          <w:ilvl w:val="0"/>
          <w:numId w:val="4"/>
        </w:numPr>
        <w:spacing w:after="160" w:line="240" w:lineRule="auto"/>
        <w:ind w:left="284" w:hanging="284"/>
        <w:contextualSpacing/>
        <w:jc w:val="both"/>
        <w:rPr>
          <w:rFonts w:ascii="Cambria" w:hAnsi="Cambria"/>
          <w:b/>
          <w:bCs/>
          <w:color w:val="010205"/>
          <w:sz w:val="21"/>
          <w:szCs w:val="21"/>
        </w:rPr>
      </w:pPr>
      <w:r w:rsidRPr="00952A17">
        <w:rPr>
          <w:rFonts w:ascii="Cambria" w:hAnsi="Cambria"/>
          <w:b/>
          <w:bCs/>
          <w:color w:val="010205"/>
          <w:sz w:val="21"/>
          <w:szCs w:val="21"/>
        </w:rPr>
        <w:t xml:space="preserve">The Effect of </w:t>
      </w:r>
      <w:r w:rsidRPr="00952A17">
        <w:rPr>
          <w:rFonts w:ascii="Cambria" w:hAnsi="Cambria"/>
          <w:b/>
          <w:bCs/>
          <w:i/>
          <w:iCs/>
          <w:color w:val="010205"/>
          <w:sz w:val="21"/>
          <w:szCs w:val="21"/>
        </w:rPr>
        <w:t xml:space="preserve">Leverage </w:t>
      </w:r>
      <w:r w:rsidRPr="00952A17">
        <w:rPr>
          <w:rFonts w:ascii="Cambria" w:hAnsi="Cambria"/>
          <w:b/>
          <w:bCs/>
          <w:color w:val="010205"/>
          <w:sz w:val="21"/>
          <w:szCs w:val="21"/>
        </w:rPr>
        <w:t xml:space="preserve">on </w:t>
      </w:r>
      <w:r w:rsidRPr="00952A17">
        <w:rPr>
          <w:rFonts w:ascii="Cambria" w:hAnsi="Cambria"/>
          <w:b/>
          <w:bCs/>
          <w:i/>
          <w:iCs/>
          <w:color w:val="010205"/>
          <w:sz w:val="21"/>
          <w:szCs w:val="21"/>
        </w:rPr>
        <w:t xml:space="preserve">Going Concern </w:t>
      </w:r>
      <w:r w:rsidRPr="00952A17">
        <w:rPr>
          <w:rFonts w:ascii="Cambria" w:hAnsi="Cambria"/>
          <w:b/>
          <w:bCs/>
          <w:color w:val="010205"/>
          <w:sz w:val="21"/>
          <w:szCs w:val="21"/>
        </w:rPr>
        <w:t>Audit Opinion acceptance before the Covid-19 pandemic</w:t>
      </w:r>
    </w:p>
    <w:p w14:paraId="35141F7C" w14:textId="77777777" w:rsidR="00F04CEF" w:rsidRDefault="000F4100">
      <w:pPr>
        <w:spacing w:line="240" w:lineRule="auto"/>
        <w:ind w:firstLine="709"/>
        <w:jc w:val="both"/>
        <w:rPr>
          <w:rFonts w:ascii="Cambria" w:hAnsi="Cambria"/>
          <w:color w:val="010205"/>
          <w:sz w:val="21"/>
          <w:szCs w:val="21"/>
        </w:rPr>
      </w:pPr>
      <w:r w:rsidRPr="00952A17">
        <w:rPr>
          <w:rFonts w:ascii="Cambria" w:hAnsi="Cambria"/>
          <w:color w:val="010205"/>
          <w:sz w:val="21"/>
          <w:szCs w:val="21"/>
        </w:rPr>
        <w:t xml:space="preserve">The results of testing the </w:t>
      </w:r>
      <w:r w:rsidRPr="00952A17">
        <w:rPr>
          <w:rFonts w:ascii="Cambria" w:hAnsi="Cambria"/>
          <w:i/>
          <w:iCs/>
          <w:color w:val="010205"/>
          <w:sz w:val="21"/>
          <w:szCs w:val="21"/>
        </w:rPr>
        <w:t>leverage</w:t>
      </w:r>
      <w:r w:rsidRPr="00952A17">
        <w:rPr>
          <w:rFonts w:ascii="Cambria" w:hAnsi="Cambria"/>
          <w:color w:val="010205"/>
          <w:sz w:val="21"/>
          <w:szCs w:val="21"/>
        </w:rPr>
        <w:t xml:space="preserve"> variable before the Covid-19 pandemic show that the </w:t>
      </w:r>
      <w:r w:rsidRPr="00952A17">
        <w:rPr>
          <w:rFonts w:ascii="Cambria" w:hAnsi="Cambria"/>
          <w:i/>
          <w:iCs/>
          <w:color w:val="010205"/>
          <w:sz w:val="21"/>
          <w:szCs w:val="21"/>
        </w:rPr>
        <w:t xml:space="preserve">leverage </w:t>
      </w:r>
      <w:r w:rsidRPr="00952A17">
        <w:rPr>
          <w:rFonts w:ascii="Cambria" w:hAnsi="Cambria"/>
          <w:color w:val="010205"/>
          <w:sz w:val="21"/>
          <w:szCs w:val="21"/>
        </w:rPr>
        <w:t xml:space="preserve">variable has no effect on </w:t>
      </w:r>
      <w:r w:rsidRPr="00952A17">
        <w:rPr>
          <w:rFonts w:ascii="Cambria" w:hAnsi="Cambria"/>
          <w:i/>
          <w:iCs/>
          <w:color w:val="010205"/>
          <w:sz w:val="21"/>
          <w:szCs w:val="21"/>
        </w:rPr>
        <w:t xml:space="preserve">going concern </w:t>
      </w:r>
      <w:r w:rsidRPr="00952A17">
        <w:rPr>
          <w:rFonts w:ascii="Cambria" w:hAnsi="Cambria"/>
          <w:color w:val="010205"/>
          <w:sz w:val="21"/>
          <w:szCs w:val="21"/>
        </w:rPr>
        <w:t xml:space="preserve">audit opinion. This result is indicated by a positive regression coefficient value of 0.000 with a significant value of 0.810. These results explain that manufacturing companies before the Covid-19 pandemic could still fulfill their obligations using the capital owned by the company, so before the Covid-19 pandemic, manufacturing companies could maintain their business continuity. </w:t>
      </w:r>
      <w:r w:rsidR="00695700">
        <w:rPr>
          <w:rFonts w:ascii="Cambria" w:hAnsi="Cambria"/>
          <w:color w:val="010205"/>
          <w:sz w:val="21"/>
          <w:szCs w:val="21"/>
        </w:rPr>
        <w:t xml:space="preserve">Therefore, </w:t>
      </w:r>
      <w:r w:rsidRPr="00952A17">
        <w:rPr>
          <w:rFonts w:ascii="Cambria" w:hAnsi="Cambria"/>
          <w:color w:val="010205"/>
          <w:sz w:val="21"/>
          <w:szCs w:val="21"/>
        </w:rPr>
        <w:t xml:space="preserve">the company provides a positive signal that before the Covid-19 pandemic, manufacturing companies had a low </w:t>
      </w:r>
      <w:r w:rsidRPr="00952A17">
        <w:rPr>
          <w:rFonts w:ascii="Cambria" w:hAnsi="Cambria"/>
          <w:i/>
          <w:iCs/>
          <w:color w:val="010205"/>
          <w:sz w:val="21"/>
          <w:szCs w:val="21"/>
        </w:rPr>
        <w:t xml:space="preserve">leverage </w:t>
      </w:r>
      <w:r w:rsidRPr="00952A17">
        <w:rPr>
          <w:rFonts w:ascii="Cambria" w:hAnsi="Cambria"/>
          <w:color w:val="010205"/>
          <w:sz w:val="21"/>
          <w:szCs w:val="21"/>
        </w:rPr>
        <w:t xml:space="preserve">ratio, so it was a good signal from the company to investors. </w:t>
      </w:r>
      <w:r w:rsidR="00FF542B">
        <w:rPr>
          <w:rFonts w:ascii="Cambria" w:hAnsi="Cambria"/>
          <w:color w:val="010205"/>
          <w:sz w:val="21"/>
          <w:szCs w:val="21"/>
        </w:rPr>
        <w:t>Thus</w:t>
      </w:r>
      <w:r w:rsidR="00695700">
        <w:rPr>
          <w:rFonts w:ascii="Cambria" w:hAnsi="Cambria"/>
          <w:color w:val="010205"/>
          <w:sz w:val="21"/>
          <w:szCs w:val="21"/>
        </w:rPr>
        <w:t>,</w:t>
      </w:r>
      <w:r w:rsidR="00FF542B">
        <w:rPr>
          <w:rFonts w:ascii="Cambria" w:hAnsi="Cambria"/>
          <w:color w:val="010205"/>
          <w:sz w:val="21"/>
          <w:szCs w:val="21"/>
        </w:rPr>
        <w:t xml:space="preserve"> </w:t>
      </w:r>
      <w:r w:rsidRPr="00952A17">
        <w:rPr>
          <w:rFonts w:ascii="Cambria" w:hAnsi="Cambria"/>
          <w:i/>
          <w:iCs/>
          <w:color w:val="010205"/>
          <w:sz w:val="21"/>
          <w:szCs w:val="21"/>
        </w:rPr>
        <w:t xml:space="preserve">leverage has </w:t>
      </w:r>
      <w:r w:rsidRPr="00952A17">
        <w:rPr>
          <w:rFonts w:ascii="Cambria" w:hAnsi="Cambria"/>
          <w:color w:val="010205"/>
          <w:sz w:val="21"/>
          <w:szCs w:val="21"/>
        </w:rPr>
        <w:t xml:space="preserve">no effect on </w:t>
      </w:r>
      <w:r w:rsidRPr="00952A17">
        <w:rPr>
          <w:rFonts w:ascii="Cambria" w:hAnsi="Cambria"/>
          <w:i/>
          <w:iCs/>
          <w:color w:val="010205"/>
          <w:sz w:val="21"/>
          <w:szCs w:val="21"/>
        </w:rPr>
        <w:t xml:space="preserve">going </w:t>
      </w:r>
      <w:r w:rsidR="009E17AF">
        <w:rPr>
          <w:rFonts w:ascii="Cambria" w:hAnsi="Cambria"/>
          <w:iCs/>
          <w:color w:val="010205"/>
          <w:sz w:val="21"/>
          <w:szCs w:val="21"/>
        </w:rPr>
        <w:t xml:space="preserve">concern </w:t>
      </w:r>
      <w:r w:rsidRPr="00952A17">
        <w:rPr>
          <w:rFonts w:ascii="Cambria" w:hAnsi="Cambria"/>
          <w:color w:val="010205"/>
          <w:sz w:val="21"/>
          <w:szCs w:val="21"/>
        </w:rPr>
        <w:t xml:space="preserve">audit opinion </w:t>
      </w:r>
      <w:r w:rsidR="0030771C">
        <w:rPr>
          <w:rFonts w:ascii="Cambria" w:hAnsi="Cambria"/>
          <w:iCs/>
          <w:color w:val="010205"/>
          <w:sz w:val="21"/>
          <w:szCs w:val="21"/>
        </w:rPr>
        <w:fldChar w:fldCharType="begin" w:fldLock="1"/>
      </w:r>
      <w:r w:rsidR="0030771C">
        <w:rPr>
          <w:rFonts w:ascii="Cambria" w:hAnsi="Cambria"/>
          <w:iCs/>
          <w:color w:val="010205"/>
          <w:sz w:val="21"/>
          <w:szCs w:val="21"/>
        </w:rPr>
        <w:instrText>ADDIN CSL_CITATION {"citationItems":[{"id":"ITEM-1","itemData":{"DOI":"10.1108/AJAR-05-2019-0038","ISSN":"24434175","abstract":"Purpose: The going concern audit opinion is an audit opinion issued by an auditor to evaluate the company’s ability in maintaining the business continuity. The purpose of this paper is to discover the effects of audit client tenure, audit lag, opinion shopping, liquidity ratio and leverage on the going concern audit opinion. Design/methodology/approach: The study used secondary data obtained from financial reports and independent audit reports published by Indonesian Stock Exchange (ISE) as well as Indonesian Capital Market Directory. Besides, the population of the study included manufacturing companies registered in ISE from 2009 to 2013. Further, the present study applied purposive sampling technique which resulted in 16 companies used as the sample of the study. Then the hypothesis was examined by applying logistic regression. Findings: Results of the hypothesis examination indicated that the variables of opinion shopping and leverage affected the going concern audit opinion, whereas the variables of audit client tenure, audit lag and liquidity ratio did not affect the going concern audit opinion. Originality/value: Results of the hypothesis examination indicated that the variables of opinion shopping and leverage affected the going concern audit opinion, whereas the variables of audit client tenure, audit lag and liquidity ratio did not affect the going concern audit opinion.","author":[{"dropping-particle":"","family":"Simamora","given":"Rahmat Akbar","non-dropping-particle":"","parse-names":false,"suffix":""},{"dropping-particle":"","family":"Hendarjatno","given":"Hendarjatno","non-dropping-particle":"","parse-names":false,"suffix":""}],"container-title":"Asian Journal of Accounting Research","id":"ITEM-1","issue":"1","issued":{"date-parts":[["2019"]]},"page":"145-156","title":"The effects of audit client tenure, audit lag, opinion shopping, liquidity ratio, and leverage to the going concern audit opinion","type":"article-journal","volume":"4"},"uris":["http://www.mendeley.com/documents/?uuid=905fb0fa-1aff-469f-8e78-b4827b4882f0"]}],"mendeley":{"formattedCitation":"(Simamora &amp; Hendarjatno, 2019)","plainTextFormattedCitation":"(Simamora &amp; Hendarjatno, 2019)","previouslyFormattedCitation":"(Simamora &amp; Hendarjatno, 2019)"},"properties":{"noteIndex":0},"schema":"https://github.com/citation-style-language/schema/raw/master/csl-citation.json"}</w:instrText>
      </w:r>
      <w:r w:rsidR="0030771C">
        <w:rPr>
          <w:rFonts w:ascii="Cambria" w:hAnsi="Cambria"/>
          <w:iCs/>
          <w:color w:val="010205"/>
          <w:sz w:val="21"/>
          <w:szCs w:val="21"/>
        </w:rPr>
        <w:fldChar w:fldCharType="separate"/>
      </w:r>
      <w:r w:rsidR="009E17AF" w:rsidRPr="009E17AF">
        <w:rPr>
          <w:rFonts w:ascii="Cambria" w:hAnsi="Cambria"/>
          <w:iCs/>
          <w:noProof/>
          <w:color w:val="010205"/>
          <w:sz w:val="21"/>
          <w:szCs w:val="21"/>
        </w:rPr>
        <w:t>(Simamora &amp; Hendarjatno, 2019)</w:t>
      </w:r>
      <w:r w:rsidR="0030771C">
        <w:rPr>
          <w:rFonts w:ascii="Cambria" w:hAnsi="Cambria"/>
          <w:iCs/>
          <w:color w:val="010205"/>
          <w:sz w:val="21"/>
          <w:szCs w:val="21"/>
        </w:rPr>
        <w:fldChar w:fldCharType="end"/>
      </w:r>
      <w:r w:rsidRPr="00952A17">
        <w:rPr>
          <w:rFonts w:ascii="Cambria" w:hAnsi="Cambria"/>
          <w:color w:val="010205"/>
          <w:sz w:val="21"/>
          <w:szCs w:val="21"/>
        </w:rPr>
        <w:t>.</w:t>
      </w:r>
    </w:p>
    <w:p w14:paraId="6008A1ED" w14:textId="77777777" w:rsidR="00F04CEF" w:rsidRDefault="000F4100">
      <w:pPr>
        <w:pStyle w:val="ListParagraph"/>
        <w:numPr>
          <w:ilvl w:val="0"/>
          <w:numId w:val="4"/>
        </w:numPr>
        <w:spacing w:after="160" w:line="240" w:lineRule="auto"/>
        <w:ind w:left="284" w:hanging="284"/>
        <w:contextualSpacing/>
        <w:jc w:val="both"/>
        <w:rPr>
          <w:rFonts w:ascii="Cambria" w:hAnsi="Cambria"/>
          <w:b/>
          <w:bCs/>
          <w:color w:val="010205"/>
          <w:sz w:val="21"/>
          <w:szCs w:val="21"/>
        </w:rPr>
      </w:pPr>
      <w:r w:rsidRPr="00952A17">
        <w:rPr>
          <w:rFonts w:ascii="Cambria" w:hAnsi="Cambria"/>
          <w:b/>
          <w:bCs/>
          <w:color w:val="010205"/>
          <w:sz w:val="21"/>
          <w:szCs w:val="21"/>
        </w:rPr>
        <w:t xml:space="preserve">The Effect of </w:t>
      </w:r>
      <w:r w:rsidRPr="00952A17">
        <w:rPr>
          <w:rFonts w:ascii="Cambria" w:hAnsi="Cambria"/>
          <w:b/>
          <w:bCs/>
          <w:i/>
          <w:iCs/>
          <w:color w:val="010205"/>
          <w:sz w:val="21"/>
          <w:szCs w:val="21"/>
        </w:rPr>
        <w:t xml:space="preserve">Leverage </w:t>
      </w:r>
      <w:r w:rsidRPr="00952A17">
        <w:rPr>
          <w:rFonts w:ascii="Cambria" w:hAnsi="Cambria"/>
          <w:b/>
          <w:bCs/>
          <w:color w:val="010205"/>
          <w:sz w:val="21"/>
          <w:szCs w:val="21"/>
        </w:rPr>
        <w:t xml:space="preserve">on </w:t>
      </w:r>
      <w:r w:rsidRPr="00952A17">
        <w:rPr>
          <w:rFonts w:ascii="Cambria" w:hAnsi="Cambria"/>
          <w:b/>
          <w:bCs/>
          <w:i/>
          <w:iCs/>
          <w:color w:val="010205"/>
          <w:sz w:val="21"/>
          <w:szCs w:val="21"/>
        </w:rPr>
        <w:t xml:space="preserve">Going Concern </w:t>
      </w:r>
      <w:r w:rsidRPr="00952A17">
        <w:rPr>
          <w:rFonts w:ascii="Cambria" w:hAnsi="Cambria"/>
          <w:b/>
          <w:bCs/>
          <w:color w:val="010205"/>
          <w:sz w:val="21"/>
          <w:szCs w:val="21"/>
        </w:rPr>
        <w:t>Audit Opinion Acceptance during the Covid-19 Pandemic</w:t>
      </w:r>
    </w:p>
    <w:p w14:paraId="4638DEAF" w14:textId="77777777" w:rsidR="00F04CEF" w:rsidRDefault="000F4100">
      <w:pPr>
        <w:spacing w:line="240" w:lineRule="auto"/>
        <w:ind w:firstLine="709"/>
        <w:jc w:val="both"/>
        <w:rPr>
          <w:rFonts w:ascii="Cambria" w:hAnsi="Cambria"/>
          <w:color w:val="010205"/>
          <w:sz w:val="21"/>
          <w:szCs w:val="21"/>
        </w:rPr>
      </w:pPr>
      <w:r w:rsidRPr="00952A17">
        <w:rPr>
          <w:rFonts w:ascii="Cambria" w:hAnsi="Cambria"/>
          <w:color w:val="010205"/>
          <w:sz w:val="21"/>
          <w:szCs w:val="21"/>
        </w:rPr>
        <w:t xml:space="preserve">The results of hypothesis research in this study indicate that the </w:t>
      </w:r>
      <w:r w:rsidRPr="00952A17">
        <w:rPr>
          <w:rFonts w:ascii="Cambria" w:hAnsi="Cambria"/>
          <w:i/>
          <w:iCs/>
          <w:color w:val="010205"/>
          <w:sz w:val="21"/>
          <w:szCs w:val="21"/>
        </w:rPr>
        <w:t xml:space="preserve">leverage </w:t>
      </w:r>
      <w:r w:rsidRPr="00952A17">
        <w:rPr>
          <w:rFonts w:ascii="Cambria" w:hAnsi="Cambria"/>
          <w:color w:val="010205"/>
          <w:sz w:val="21"/>
          <w:szCs w:val="21"/>
        </w:rPr>
        <w:t xml:space="preserve">variable during the Covid-19 pandemic affects the company's business continuity. The company experienced a significant decrease in revenue during the Covid-19 pandemic, so it needed more funds to finance its operational activities and fulfill its short-term and long-term obligations. Many companies increased the value of debt, which caused higher </w:t>
      </w:r>
      <w:r w:rsidRPr="00952A17">
        <w:rPr>
          <w:rFonts w:ascii="Cambria" w:hAnsi="Cambria"/>
          <w:i/>
          <w:iCs/>
          <w:color w:val="010205"/>
          <w:sz w:val="21"/>
          <w:szCs w:val="21"/>
        </w:rPr>
        <w:t>leverage</w:t>
      </w:r>
      <w:r w:rsidRPr="00952A17">
        <w:rPr>
          <w:rFonts w:ascii="Cambria" w:hAnsi="Cambria"/>
          <w:color w:val="010205"/>
          <w:sz w:val="21"/>
          <w:szCs w:val="21"/>
        </w:rPr>
        <w:t>. High leverage shows that the company's performance has decreased</w:t>
      </w:r>
      <w:r w:rsidR="00695700">
        <w:rPr>
          <w:rFonts w:ascii="Cambria" w:hAnsi="Cambria"/>
          <w:color w:val="010205"/>
          <w:sz w:val="21"/>
          <w:szCs w:val="21"/>
        </w:rPr>
        <w:t xml:space="preserve">. It </w:t>
      </w:r>
      <w:r w:rsidRPr="00952A17">
        <w:rPr>
          <w:rFonts w:ascii="Cambria" w:hAnsi="Cambria"/>
          <w:color w:val="010205"/>
          <w:sz w:val="21"/>
          <w:szCs w:val="21"/>
        </w:rPr>
        <w:t>caus</w:t>
      </w:r>
      <w:r w:rsidR="00695700">
        <w:rPr>
          <w:rFonts w:ascii="Cambria" w:hAnsi="Cambria"/>
          <w:color w:val="010205"/>
          <w:sz w:val="21"/>
          <w:szCs w:val="21"/>
        </w:rPr>
        <w:t>es</w:t>
      </w:r>
      <w:r w:rsidRPr="00952A17">
        <w:rPr>
          <w:rFonts w:ascii="Cambria" w:hAnsi="Cambria"/>
          <w:color w:val="010205"/>
          <w:sz w:val="21"/>
          <w:szCs w:val="21"/>
        </w:rPr>
        <w:t xml:space="preserve"> uncertainty about the company's survival</w:t>
      </w:r>
      <w:r w:rsidR="005D2FC2">
        <w:rPr>
          <w:rFonts w:ascii="Cambria" w:hAnsi="Cambria"/>
          <w:color w:val="010205"/>
          <w:sz w:val="21"/>
          <w:szCs w:val="21"/>
        </w:rPr>
        <w:t>.</w:t>
      </w:r>
      <w:r w:rsidRPr="00952A17">
        <w:rPr>
          <w:rFonts w:ascii="Cambria" w:hAnsi="Cambria"/>
          <w:color w:val="010205"/>
          <w:sz w:val="21"/>
          <w:szCs w:val="21"/>
        </w:rPr>
        <w:t xml:space="preserve"> It has resulted in the company providing a negative signal conveyed by the independent auditor in the </w:t>
      </w:r>
      <w:r w:rsidRPr="00952A17">
        <w:rPr>
          <w:rFonts w:ascii="Cambria" w:hAnsi="Cambria"/>
          <w:color w:val="010205"/>
          <w:sz w:val="21"/>
          <w:szCs w:val="21"/>
        </w:rPr>
        <w:lastRenderedPageBreak/>
        <w:t xml:space="preserve">published financial statements. This study's results align with research conducted </w:t>
      </w:r>
      <w:r w:rsidR="0030771C">
        <w:rPr>
          <w:rFonts w:ascii="Cambria" w:hAnsi="Cambria"/>
          <w:color w:val="010205"/>
          <w:sz w:val="21"/>
          <w:szCs w:val="21"/>
        </w:rPr>
        <w:t xml:space="preserve">by  </w:t>
      </w:r>
      <w:r w:rsidR="00EC2923">
        <w:rPr>
          <w:rFonts w:ascii="Cambria" w:hAnsi="Cambria"/>
          <w:color w:val="010205"/>
          <w:sz w:val="21"/>
          <w:szCs w:val="21"/>
        </w:rPr>
        <w:fldChar w:fldCharType="begin" w:fldLock="1"/>
      </w:r>
      <w:r w:rsidR="00EC2923">
        <w:rPr>
          <w:rFonts w:ascii="Cambria" w:hAnsi="Cambria"/>
          <w:color w:val="010205"/>
          <w:sz w:val="21"/>
          <w:szCs w:val="21"/>
        </w:rPr>
        <w:instrText>ADDIN CSL_CITATION {"citationItems":[{"id":"ITEM-1","itemData":{"DOI":"10.1515/hjbpa-2017-0015","abstract":"The study of the going concern audit opinions is an important component within the enhancement of firms’ responsibility and stewardship. A going concern audit opinions implies that the independent auditor doubt the future of the firm. This study aimed to examine the drivers of the likelihood of the going-concern audit opinions. Previous studies revealed that there were inconsistent drivers influencing the going-concern audit opinion. This study shows similar results to prior works. The result indicates that firms’ financial condition and profitability significantly affect the likelihood of the going-concern audit opinion, while firms’ size and leverage are not the determinants of the intensity of the going concern audit opinion.","author":[{"dropping-particle":"","family":"Puspaningsih","given":"Abriyani","non-dropping-particle":"","parse-names":false,"suffix":""}],"container-title":"Review of Integrative Business and Economics Research","id":"ITEM-1","issue":"1","issued":{"date-parts":[["2021"]]},"page":"26-39","title":"Drivers of going concern audit opinions: empirical evidence from Indonesia","type":"article-journal","volume":"10"},"uris":["http://www.mendeley.com/documents/?uuid=b5078e89-7a90-48c8-a9c9-87952795d897"]}],"mendeley":{"formattedCitation":"(Puspaningsih, 2021)","plainTextFormattedCitation":"(Puspaningsih, 2021)","previouslyFormattedCitation":"(Puspaningsih, 2021)"},"properties":{"noteIndex":0},"schema":"https://github.com/citation-style-language/schema/raw/master/csl-citation.json"}</w:instrText>
      </w:r>
      <w:r w:rsidR="00EC2923">
        <w:rPr>
          <w:rFonts w:ascii="Cambria" w:hAnsi="Cambria"/>
          <w:color w:val="010205"/>
          <w:sz w:val="21"/>
          <w:szCs w:val="21"/>
        </w:rPr>
        <w:fldChar w:fldCharType="separate"/>
      </w:r>
      <w:r w:rsidR="0030771C" w:rsidRPr="0030771C">
        <w:rPr>
          <w:rFonts w:ascii="Cambria" w:hAnsi="Cambria"/>
          <w:noProof/>
          <w:color w:val="010205"/>
          <w:sz w:val="21"/>
          <w:szCs w:val="21"/>
        </w:rPr>
        <w:t>(Puspaningsih, 2021)</w:t>
      </w:r>
      <w:r w:rsidR="00EC2923">
        <w:rPr>
          <w:rFonts w:ascii="Cambria" w:hAnsi="Cambria"/>
          <w:color w:val="010205"/>
          <w:sz w:val="21"/>
          <w:szCs w:val="21"/>
        </w:rPr>
        <w:fldChar w:fldCharType="end"/>
      </w:r>
      <w:r w:rsidRPr="00952A17">
        <w:rPr>
          <w:rFonts w:ascii="Cambria" w:hAnsi="Cambria"/>
          <w:color w:val="010205"/>
          <w:sz w:val="21"/>
          <w:szCs w:val="21"/>
        </w:rPr>
        <w:t xml:space="preserve">, which explains that </w:t>
      </w:r>
      <w:r w:rsidRPr="00952A17">
        <w:rPr>
          <w:rFonts w:ascii="Cambria" w:hAnsi="Cambria"/>
          <w:i/>
          <w:iCs/>
          <w:color w:val="010205"/>
          <w:sz w:val="21"/>
          <w:szCs w:val="21"/>
        </w:rPr>
        <w:t xml:space="preserve">leverage </w:t>
      </w:r>
      <w:r w:rsidRPr="00952A17">
        <w:rPr>
          <w:rFonts w:ascii="Cambria" w:hAnsi="Cambria"/>
          <w:color w:val="010205"/>
          <w:sz w:val="21"/>
          <w:szCs w:val="21"/>
        </w:rPr>
        <w:t xml:space="preserve">affects the acceptance of </w:t>
      </w:r>
      <w:r w:rsidRPr="00952A17">
        <w:rPr>
          <w:rFonts w:ascii="Cambria" w:hAnsi="Cambria"/>
          <w:i/>
          <w:iCs/>
          <w:color w:val="010205"/>
          <w:sz w:val="21"/>
          <w:szCs w:val="21"/>
        </w:rPr>
        <w:t xml:space="preserve">going concern </w:t>
      </w:r>
      <w:r w:rsidRPr="00952A17">
        <w:rPr>
          <w:rFonts w:ascii="Cambria" w:hAnsi="Cambria"/>
          <w:color w:val="010205"/>
          <w:sz w:val="21"/>
          <w:szCs w:val="21"/>
        </w:rPr>
        <w:t xml:space="preserve">audit opinion. </w:t>
      </w:r>
    </w:p>
    <w:p w14:paraId="0EC3B465" w14:textId="77777777" w:rsidR="00F04CEF" w:rsidRDefault="000F4100">
      <w:pPr>
        <w:pStyle w:val="ListParagraph"/>
        <w:numPr>
          <w:ilvl w:val="0"/>
          <w:numId w:val="4"/>
        </w:numPr>
        <w:spacing w:after="160" w:line="240" w:lineRule="auto"/>
        <w:ind w:left="284" w:hanging="284"/>
        <w:contextualSpacing/>
        <w:jc w:val="both"/>
        <w:rPr>
          <w:rFonts w:ascii="Cambria" w:hAnsi="Cambria"/>
          <w:b/>
          <w:bCs/>
          <w:color w:val="010205"/>
          <w:sz w:val="21"/>
          <w:szCs w:val="21"/>
        </w:rPr>
      </w:pPr>
      <w:r w:rsidRPr="00952A17">
        <w:rPr>
          <w:rFonts w:ascii="Cambria" w:hAnsi="Cambria"/>
          <w:b/>
          <w:bCs/>
          <w:color w:val="010205"/>
          <w:sz w:val="21"/>
          <w:szCs w:val="21"/>
        </w:rPr>
        <w:t xml:space="preserve">The Effect of Company Growth on </w:t>
      </w:r>
      <w:r w:rsidRPr="00952A17">
        <w:rPr>
          <w:rFonts w:ascii="Cambria" w:hAnsi="Cambria"/>
          <w:b/>
          <w:bCs/>
          <w:i/>
          <w:iCs/>
          <w:color w:val="010205"/>
          <w:sz w:val="21"/>
          <w:szCs w:val="21"/>
        </w:rPr>
        <w:t xml:space="preserve">Going Concern </w:t>
      </w:r>
      <w:r w:rsidRPr="00952A17">
        <w:rPr>
          <w:rFonts w:ascii="Cambria" w:hAnsi="Cambria"/>
          <w:b/>
          <w:bCs/>
          <w:color w:val="010205"/>
          <w:sz w:val="21"/>
          <w:szCs w:val="21"/>
        </w:rPr>
        <w:t>Audit Opinion acceptance before the Covid-19 pandemic</w:t>
      </w:r>
    </w:p>
    <w:p w14:paraId="04EC51D9" w14:textId="77777777" w:rsidR="00EC2923" w:rsidRDefault="000F4100" w:rsidP="00A238B9">
      <w:pPr>
        <w:spacing w:line="240" w:lineRule="auto"/>
        <w:ind w:firstLine="709"/>
        <w:jc w:val="both"/>
        <w:rPr>
          <w:rFonts w:ascii="Cambria" w:hAnsi="Cambria"/>
          <w:color w:val="010205"/>
          <w:sz w:val="21"/>
          <w:szCs w:val="21"/>
        </w:rPr>
      </w:pPr>
      <w:r w:rsidRPr="00952A17">
        <w:rPr>
          <w:rFonts w:ascii="Cambria" w:hAnsi="Cambria"/>
          <w:color w:val="010205"/>
          <w:sz w:val="21"/>
          <w:szCs w:val="21"/>
        </w:rPr>
        <w:t xml:space="preserve">Company growth, as proxied by the sales </w:t>
      </w:r>
      <w:r w:rsidRPr="00952A17">
        <w:rPr>
          <w:rFonts w:ascii="Cambria" w:hAnsi="Cambria"/>
          <w:i/>
          <w:iCs/>
          <w:color w:val="010205"/>
          <w:sz w:val="21"/>
          <w:szCs w:val="21"/>
        </w:rPr>
        <w:t>growth ratio</w:t>
      </w:r>
      <w:r w:rsidRPr="00952A17">
        <w:rPr>
          <w:rFonts w:ascii="Cambria" w:hAnsi="Cambria"/>
          <w:color w:val="010205"/>
          <w:sz w:val="21"/>
          <w:szCs w:val="21"/>
        </w:rPr>
        <w:t xml:space="preserve">, namely this year's sales minus last year's sales divided by last year's sales, shows that the significance value of 0.60 is greater than 0.05 with a negative coefficient value of -0.034. The results of testing the third variable hypothesis of this study indicate that company growth before the Covid-19 pandemic has no effect on </w:t>
      </w:r>
      <w:r w:rsidRPr="00952A17">
        <w:rPr>
          <w:rFonts w:ascii="Cambria" w:hAnsi="Cambria"/>
          <w:i/>
          <w:iCs/>
          <w:color w:val="010205"/>
          <w:sz w:val="21"/>
          <w:szCs w:val="21"/>
        </w:rPr>
        <w:t xml:space="preserve">going concern </w:t>
      </w:r>
      <w:r w:rsidRPr="00952A17">
        <w:rPr>
          <w:rFonts w:ascii="Cambria" w:hAnsi="Cambria"/>
          <w:color w:val="010205"/>
          <w:sz w:val="21"/>
          <w:szCs w:val="21"/>
        </w:rPr>
        <w:t xml:space="preserve">audit opinion. It shows that the high and low value of company growth has no impact on the </w:t>
      </w:r>
      <w:r w:rsidRPr="00952A17">
        <w:rPr>
          <w:rFonts w:ascii="Cambria" w:hAnsi="Cambria"/>
          <w:i/>
          <w:iCs/>
          <w:color w:val="010205"/>
          <w:sz w:val="21"/>
          <w:szCs w:val="21"/>
        </w:rPr>
        <w:t xml:space="preserve">going concern </w:t>
      </w:r>
      <w:r w:rsidRPr="00952A17">
        <w:rPr>
          <w:rFonts w:ascii="Cambria" w:hAnsi="Cambria"/>
          <w:color w:val="010205"/>
          <w:sz w:val="21"/>
          <w:szCs w:val="21"/>
        </w:rPr>
        <w:t xml:space="preserve">audit opinion received by the company. In addition, growth or increased sales also does not guarantee better company performance. If an increase follows sales growth in operating expenses that are higher than sales, the company will experience losses. On the other hand, a decrease in sales in the company also cannot guarantee that the company will receive a </w:t>
      </w:r>
      <w:r w:rsidRPr="00952A17">
        <w:rPr>
          <w:rFonts w:ascii="Cambria" w:hAnsi="Cambria"/>
          <w:i/>
          <w:iCs/>
          <w:color w:val="010205"/>
          <w:sz w:val="21"/>
          <w:szCs w:val="21"/>
        </w:rPr>
        <w:t xml:space="preserve">going concern </w:t>
      </w:r>
      <w:r w:rsidRPr="00952A17">
        <w:rPr>
          <w:rFonts w:ascii="Cambria" w:hAnsi="Cambria"/>
          <w:color w:val="010205"/>
          <w:sz w:val="21"/>
          <w:szCs w:val="21"/>
        </w:rPr>
        <w:t>audit opinion</w:t>
      </w:r>
      <w:r w:rsidRPr="00952A17">
        <w:rPr>
          <w:rFonts w:ascii="Cambria" w:hAnsi="Cambria"/>
          <w:i/>
          <w:iCs/>
          <w:color w:val="010205"/>
          <w:sz w:val="21"/>
          <w:szCs w:val="21"/>
        </w:rPr>
        <w:t xml:space="preserve">. </w:t>
      </w:r>
      <w:r w:rsidR="00A238B9">
        <w:rPr>
          <w:rFonts w:ascii="Cambria" w:hAnsi="Cambria"/>
          <w:color w:val="000000" w:themeColor="text1"/>
          <w:sz w:val="21"/>
          <w:szCs w:val="21"/>
        </w:rPr>
        <w:t xml:space="preserve">Therefore, </w:t>
      </w:r>
      <w:r w:rsidRPr="00952A17">
        <w:rPr>
          <w:rFonts w:ascii="Cambria" w:hAnsi="Cambria"/>
          <w:color w:val="000000" w:themeColor="text1"/>
          <w:sz w:val="21"/>
          <w:szCs w:val="21"/>
        </w:rPr>
        <w:t xml:space="preserve">the company provides positive signals to investors and creditors. </w:t>
      </w:r>
      <w:r w:rsidRPr="00952A17">
        <w:rPr>
          <w:rFonts w:ascii="Cambria" w:hAnsi="Cambria"/>
          <w:color w:val="010205"/>
          <w:sz w:val="21"/>
          <w:szCs w:val="21"/>
        </w:rPr>
        <w:t xml:space="preserve">Company growth has no effect on </w:t>
      </w:r>
      <w:r w:rsidRPr="00952A17">
        <w:rPr>
          <w:rFonts w:ascii="Cambria" w:hAnsi="Cambria"/>
          <w:i/>
          <w:iCs/>
          <w:color w:val="010205"/>
          <w:sz w:val="21"/>
          <w:szCs w:val="21"/>
        </w:rPr>
        <w:t xml:space="preserve">Going </w:t>
      </w:r>
      <w:r>
        <w:rPr>
          <w:rFonts w:ascii="Cambria" w:hAnsi="Cambria"/>
          <w:iCs/>
          <w:color w:val="010205"/>
          <w:sz w:val="21"/>
          <w:szCs w:val="21"/>
        </w:rPr>
        <w:t xml:space="preserve">Concern </w:t>
      </w:r>
      <w:r w:rsidRPr="00952A17">
        <w:rPr>
          <w:rFonts w:ascii="Cambria" w:hAnsi="Cambria"/>
          <w:color w:val="010205"/>
          <w:sz w:val="21"/>
          <w:szCs w:val="21"/>
        </w:rPr>
        <w:t xml:space="preserve">Audit Opinions </w:t>
      </w:r>
      <w:r w:rsidR="00CE65AC">
        <w:rPr>
          <w:rFonts w:ascii="Cambria" w:hAnsi="Cambria"/>
          <w:iCs/>
          <w:color w:val="010205"/>
          <w:sz w:val="21"/>
          <w:szCs w:val="21"/>
        </w:rPr>
        <w:fldChar w:fldCharType="begin" w:fldLock="1"/>
      </w:r>
      <w:r w:rsidR="00CE65AC">
        <w:rPr>
          <w:rFonts w:ascii="Cambria" w:hAnsi="Cambria"/>
          <w:iCs/>
          <w:color w:val="010205"/>
          <w:sz w:val="21"/>
          <w:szCs w:val="21"/>
        </w:rPr>
        <w:instrText>ADDIN CSL_CITATION {"citationItems":[{"id":"ITEM-1","itemData":{"DOI":"10.46336/ijbesd.v4i1.379","ISSN":"2722-1164","abstract":"The Covid-19 pandemic has caused many companies to have significant losses that affect their going concern and opinions from auditors about it, such as the case of KAP Satrio Bing, Eny (SBE) and partners, affiliated Deloitte Indonesia for not providing a audit opinion going concern on SNP's finances, where the condition of the company`s increase debt and repayment failure, so due to financial difficulties they committed fraud by manipulating financial statements. This study aims to examine the effect of financial distress, liquidity, leverage on audit opinion going concern partially on companies listed on IDXESGL during the pandemic (2019-2021). The method used is explanatory with a population of 30 companies listed on the IDX during the period 2019 to 2021 with a sample of 29 companies. The analytical technique used is logistic regression with a significance level of 5%. The results showed that liquidity had an effect on audit opinion going concern, while financial distress and leverage had no effect on audit opinion going concern. This audit opinion going concern can be avoided by managing current assets effectively so that they are able to meet their current liabilities. The results of this study are expected to provide contributions and considerations for auditors in issuing audit opinions going concern and for companies to determine indicators that affect their going concern.","author":[{"dropping-particle":"","family":"Suryani","given":"Irma","non-dropping-particle":"","parse-names":false,"suffix":""},{"dropping-particle":"","family":"Yuniarti","given":"Rita","non-dropping-particle":"","parse-names":false,"suffix":""},{"dropping-particle":"","family":"Syahrudin","given":"Muhammad","non-dropping-particle":"","parse-names":false,"suffix":""}],"container-title":"International Journal of Business, Economics, and Social Development","id":"ITEM-1","issue":"1","issued":{"date-parts":[["2023"]]},"page":"1-11","title":"Effect of Financial Distress, Liquidity, and Leverage on the Audit Opinion Going Concern on Companies Listed on IDXESGL During the Pandemic Period (2019-2021)","type":"article-journal","volume":"4"},"uris":["http://www.mendeley.com/documents/?uuid=e23e4b04-c1f9-44b2-b8ea-e310c2350f57"]}],"mendeley":{"formattedCitation":"(Suryani et al., 2023)","plainTextFormattedCitation":"(Suryani et al., 2023)","previouslyFormattedCitation":"(Suryani et al., 2023)"},"properties":{"noteIndex":0},"schema":"https://github.com/citation-style-language/schema/raw/master/csl-citation.json"}</w:instrText>
      </w:r>
      <w:r w:rsidR="00CE65AC">
        <w:rPr>
          <w:rFonts w:ascii="Cambria" w:hAnsi="Cambria"/>
          <w:iCs/>
          <w:color w:val="010205"/>
          <w:sz w:val="21"/>
          <w:szCs w:val="21"/>
        </w:rPr>
        <w:fldChar w:fldCharType="separate"/>
      </w:r>
      <w:r w:rsidRPr="00EC2923">
        <w:rPr>
          <w:rFonts w:ascii="Cambria" w:hAnsi="Cambria"/>
          <w:iCs/>
          <w:noProof/>
          <w:color w:val="010205"/>
          <w:sz w:val="21"/>
          <w:szCs w:val="21"/>
        </w:rPr>
        <w:t>(Suryani et al., 2023)</w:t>
      </w:r>
      <w:r w:rsidR="00CE65AC">
        <w:rPr>
          <w:rFonts w:ascii="Cambria" w:hAnsi="Cambria"/>
          <w:iCs/>
          <w:color w:val="010205"/>
          <w:sz w:val="21"/>
          <w:szCs w:val="21"/>
        </w:rPr>
        <w:fldChar w:fldCharType="end"/>
      </w:r>
      <w:r w:rsidRPr="00952A17">
        <w:rPr>
          <w:rFonts w:ascii="Cambria" w:hAnsi="Cambria"/>
          <w:color w:val="010205"/>
          <w:sz w:val="21"/>
          <w:szCs w:val="21"/>
        </w:rPr>
        <w:t>.</w:t>
      </w:r>
    </w:p>
    <w:p w14:paraId="790CAC6C" w14:textId="77777777" w:rsidR="00F04CEF" w:rsidRDefault="000F4100">
      <w:pPr>
        <w:pStyle w:val="ListParagraph"/>
        <w:numPr>
          <w:ilvl w:val="0"/>
          <w:numId w:val="4"/>
        </w:numPr>
        <w:spacing w:line="240" w:lineRule="auto"/>
        <w:ind w:left="284" w:hanging="284"/>
        <w:jc w:val="both"/>
        <w:rPr>
          <w:rFonts w:ascii="Cambria" w:hAnsi="Cambria"/>
          <w:color w:val="010205"/>
          <w:sz w:val="21"/>
          <w:szCs w:val="21"/>
        </w:rPr>
      </w:pPr>
      <w:r w:rsidRPr="00952A17">
        <w:rPr>
          <w:rFonts w:ascii="Cambria" w:hAnsi="Cambria"/>
          <w:b/>
          <w:bCs/>
          <w:color w:val="010205"/>
          <w:sz w:val="21"/>
          <w:szCs w:val="21"/>
        </w:rPr>
        <w:t xml:space="preserve">The Effect of Company Growth on the Acceptance of </w:t>
      </w:r>
      <w:r w:rsidRPr="00952A17">
        <w:rPr>
          <w:rFonts w:ascii="Cambria" w:hAnsi="Cambria"/>
          <w:b/>
          <w:bCs/>
          <w:i/>
          <w:iCs/>
          <w:color w:val="010205"/>
          <w:sz w:val="21"/>
          <w:szCs w:val="21"/>
        </w:rPr>
        <w:t xml:space="preserve">Going Concern </w:t>
      </w:r>
      <w:r w:rsidRPr="00952A17">
        <w:rPr>
          <w:rFonts w:ascii="Cambria" w:hAnsi="Cambria"/>
          <w:b/>
          <w:bCs/>
          <w:color w:val="010205"/>
          <w:sz w:val="21"/>
          <w:szCs w:val="21"/>
        </w:rPr>
        <w:t>Audit Opinions During the Covid-19 Pandemic</w:t>
      </w:r>
    </w:p>
    <w:p w14:paraId="763FAD15" w14:textId="77777777" w:rsidR="00F04CEF" w:rsidRDefault="000F4100">
      <w:pPr>
        <w:spacing w:line="240" w:lineRule="auto"/>
        <w:ind w:firstLine="709"/>
        <w:jc w:val="both"/>
        <w:rPr>
          <w:rFonts w:ascii="Cambria" w:hAnsi="Cambria"/>
          <w:b/>
          <w:bCs/>
          <w:color w:val="010205"/>
          <w:sz w:val="21"/>
          <w:szCs w:val="21"/>
        </w:rPr>
      </w:pPr>
      <w:r w:rsidRPr="00952A17">
        <w:rPr>
          <w:rFonts w:ascii="Cambria" w:hAnsi="Cambria"/>
          <w:color w:val="010205"/>
          <w:sz w:val="21"/>
          <w:szCs w:val="21"/>
        </w:rPr>
        <w:t xml:space="preserve">Company growth is used to measure the </w:t>
      </w:r>
      <w:r w:rsidRPr="00952A17">
        <w:rPr>
          <w:rFonts w:ascii="Cambria" w:hAnsi="Cambria"/>
          <w:sz w:val="21"/>
          <w:szCs w:val="21"/>
        </w:rPr>
        <w:t xml:space="preserve">company's ability to increase assets through sales. Companies with increasing sales growth are less likely to receive a </w:t>
      </w:r>
      <w:r w:rsidRPr="00952A17">
        <w:rPr>
          <w:rFonts w:ascii="Cambria" w:hAnsi="Cambria"/>
          <w:i/>
          <w:iCs/>
          <w:sz w:val="21"/>
          <w:szCs w:val="21"/>
        </w:rPr>
        <w:t xml:space="preserve">going concern </w:t>
      </w:r>
      <w:r w:rsidRPr="00952A17">
        <w:rPr>
          <w:rFonts w:ascii="Cambria" w:hAnsi="Cambria"/>
          <w:sz w:val="21"/>
          <w:szCs w:val="21"/>
        </w:rPr>
        <w:t xml:space="preserve">audit opinion. Conversely, companies with negative sales growth will likely get a </w:t>
      </w:r>
      <w:r w:rsidRPr="00952A17">
        <w:rPr>
          <w:rFonts w:ascii="Cambria" w:hAnsi="Cambria"/>
          <w:i/>
          <w:iCs/>
          <w:sz w:val="21"/>
          <w:szCs w:val="21"/>
        </w:rPr>
        <w:t xml:space="preserve">going concern </w:t>
      </w:r>
      <w:r w:rsidRPr="00952A17">
        <w:rPr>
          <w:rFonts w:ascii="Cambria" w:hAnsi="Cambria"/>
          <w:sz w:val="21"/>
          <w:szCs w:val="21"/>
        </w:rPr>
        <w:t xml:space="preserve">audit opinion. However, based on the results found during the Covid-19 pandemic, the value of company growth in the logistic regression test is 0.244, greater than 0.05. It shows that company growth during the Covid-19 pandemic has no effect on </w:t>
      </w:r>
      <w:r w:rsidRPr="00952A17">
        <w:rPr>
          <w:rFonts w:ascii="Cambria" w:hAnsi="Cambria"/>
          <w:i/>
          <w:iCs/>
          <w:sz w:val="21"/>
          <w:szCs w:val="21"/>
        </w:rPr>
        <w:t xml:space="preserve">going concern </w:t>
      </w:r>
      <w:r w:rsidRPr="00952A17">
        <w:rPr>
          <w:rFonts w:ascii="Cambria" w:hAnsi="Cambria"/>
          <w:sz w:val="21"/>
          <w:szCs w:val="21"/>
        </w:rPr>
        <w:t>audit opinion</w:t>
      </w:r>
      <w:r w:rsidRPr="00952A17">
        <w:rPr>
          <w:rFonts w:ascii="Cambria" w:hAnsi="Cambria"/>
          <w:i/>
          <w:iCs/>
          <w:sz w:val="21"/>
          <w:szCs w:val="21"/>
        </w:rPr>
        <w:t xml:space="preserve">, </w:t>
      </w:r>
      <w:r w:rsidRPr="00952A17">
        <w:rPr>
          <w:rFonts w:ascii="Cambria" w:hAnsi="Cambria"/>
          <w:sz w:val="21"/>
          <w:szCs w:val="21"/>
        </w:rPr>
        <w:t xml:space="preserve">even though, according to the data obtained, it shows that in 2020 most manufacturing companies experienced a decline in sales. These results indicate that high or low company growth has no effect on </w:t>
      </w:r>
      <w:r w:rsidRPr="00952A17">
        <w:rPr>
          <w:rFonts w:ascii="Cambria" w:hAnsi="Cambria"/>
          <w:i/>
          <w:iCs/>
          <w:sz w:val="21"/>
          <w:szCs w:val="21"/>
        </w:rPr>
        <w:t xml:space="preserve">going concern </w:t>
      </w:r>
      <w:r w:rsidRPr="00952A17">
        <w:rPr>
          <w:rFonts w:ascii="Cambria" w:hAnsi="Cambria"/>
          <w:sz w:val="21"/>
          <w:szCs w:val="21"/>
        </w:rPr>
        <w:t>audit opinion acceptance. Therefore, it gives a positive signal to investors and creditors. Th</w:t>
      </w:r>
      <w:r w:rsidRPr="00952A17">
        <w:rPr>
          <w:rFonts w:ascii="Cambria" w:hAnsi="Cambria"/>
          <w:color w:val="010205"/>
          <w:sz w:val="21"/>
          <w:szCs w:val="21"/>
        </w:rPr>
        <w:t xml:space="preserve">is study's results align with research conducted </w:t>
      </w:r>
      <w:r w:rsidR="00CE65AC">
        <w:rPr>
          <w:rFonts w:ascii="Cambria" w:hAnsi="Cambria"/>
          <w:color w:val="010205"/>
          <w:sz w:val="21"/>
          <w:szCs w:val="21"/>
        </w:rPr>
        <w:t xml:space="preserve">by </w:t>
      </w:r>
      <w:r w:rsidR="0075036B">
        <w:rPr>
          <w:rFonts w:ascii="Cambria" w:hAnsi="Cambria"/>
          <w:color w:val="010205"/>
          <w:sz w:val="21"/>
          <w:szCs w:val="21"/>
        </w:rPr>
        <w:fldChar w:fldCharType="begin" w:fldLock="1"/>
      </w:r>
      <w:r w:rsidR="0075036B">
        <w:rPr>
          <w:rFonts w:ascii="Cambria" w:hAnsi="Cambria"/>
          <w:color w:val="010205"/>
          <w:sz w:val="21"/>
          <w:szCs w:val="21"/>
        </w:rPr>
        <w:instrText>ADDIN CSL_CITATION {"citationItems":[{"id":"ITEM-1","itemData":{"DOI":"10.38035/dijefa.v3i4.1438","ISSN":"2721-3021","abstract":"Factors affecting going concern audit opinions have always been the focus of academic research. This article categorizes relevant previous research in Indonesia and analyzes several variables affecting audit opinion. This article examines the relationship or effect of company size, company growth, and company liquidity on going concern audit opinions, a study of auditing literature. This article aims to build a hypothesis of the effect between variables to be used in further research. This literature study shows the following results: 1) Company size has a negative effect on going concern audit opinion; 2) Company growth has a negative effect on going concern audit opinion; 3) Company liquidity has a negative effect on going concern audit opinion. This article provides a reference for more in-depth research on the factors affecting going concern audit opinions.","author":[{"dropping-particle":"","family":"Winarta","given":"Wiwiek","non-dropping-particle":"","parse-names":false,"suffix":""},{"dropping-particle":"","family":"Kuntadi","given":"Cris","non-dropping-particle":"","parse-names":false,"suffix":""}],"container-title":"Dinasti International Journal of Economics, Finance &amp; Accounting","id":"ITEM-1","issue":"4","issued":{"date-parts":[["2022"]]},"page":"430-437","title":"Literature review: the Effect of Company Size, Company Growth, and Company Liquidity on Going Concern Audit Opinion","type":"article-journal","volume":"3"},"uris":["http://www.mendeley.com/documents/?uuid=d320bd9f-49a3-46b1-b26f-3be96daa74cb"]}],"mendeley":{"formattedCitation":"(Winarta &amp; Kuntadi, 2022)","manualFormatting":"Winarta &amp; Kuntadi, (2022)","plainTextFormattedCitation":"(Winarta &amp; Kuntadi, 2022)","previouslyFormattedCitation":"(Winarta &amp; Kuntadi, 2022)"},"properties":{"noteIndex":0},"schema":"https://github.com/citation-style-language/schema/raw/master/csl-citation.json"}</w:instrText>
      </w:r>
      <w:r w:rsidR="0075036B">
        <w:rPr>
          <w:rFonts w:ascii="Cambria" w:hAnsi="Cambria"/>
          <w:color w:val="010205"/>
          <w:sz w:val="21"/>
          <w:szCs w:val="21"/>
        </w:rPr>
        <w:fldChar w:fldCharType="separate"/>
      </w:r>
      <w:r w:rsidR="00CE65AC" w:rsidRPr="00CE65AC">
        <w:rPr>
          <w:rFonts w:ascii="Cambria" w:hAnsi="Cambria"/>
          <w:noProof/>
          <w:color w:val="010205"/>
          <w:sz w:val="21"/>
          <w:szCs w:val="21"/>
        </w:rPr>
        <w:t xml:space="preserve">Winarta &amp; Kuntadi </w:t>
      </w:r>
      <w:r w:rsidR="00CE65AC">
        <w:rPr>
          <w:rFonts w:ascii="Cambria" w:hAnsi="Cambria"/>
          <w:noProof/>
          <w:color w:val="010205"/>
          <w:sz w:val="21"/>
          <w:szCs w:val="21"/>
        </w:rPr>
        <w:t>(</w:t>
      </w:r>
      <w:r w:rsidR="00CE65AC" w:rsidRPr="00CE65AC">
        <w:rPr>
          <w:rFonts w:ascii="Cambria" w:hAnsi="Cambria"/>
          <w:noProof/>
          <w:color w:val="010205"/>
          <w:sz w:val="21"/>
          <w:szCs w:val="21"/>
        </w:rPr>
        <w:t>2022)</w:t>
      </w:r>
      <w:r w:rsidR="0075036B">
        <w:rPr>
          <w:rFonts w:ascii="Cambria" w:hAnsi="Cambria"/>
          <w:color w:val="010205"/>
          <w:sz w:val="21"/>
          <w:szCs w:val="21"/>
        </w:rPr>
        <w:fldChar w:fldCharType="end"/>
      </w:r>
      <w:r w:rsidRPr="00952A17">
        <w:rPr>
          <w:rFonts w:ascii="Cambria" w:hAnsi="Cambria"/>
          <w:color w:val="010205"/>
          <w:sz w:val="21"/>
          <w:szCs w:val="21"/>
        </w:rPr>
        <w:t xml:space="preserve">, which states that company growth has no effect on </w:t>
      </w:r>
      <w:r w:rsidRPr="00952A17">
        <w:rPr>
          <w:rFonts w:ascii="Cambria" w:hAnsi="Cambria"/>
          <w:i/>
          <w:iCs/>
          <w:color w:val="010205"/>
          <w:sz w:val="21"/>
          <w:szCs w:val="21"/>
        </w:rPr>
        <w:t xml:space="preserve">Going Concern </w:t>
      </w:r>
      <w:r w:rsidRPr="00952A17">
        <w:rPr>
          <w:rFonts w:ascii="Cambria" w:hAnsi="Cambria"/>
          <w:color w:val="010205"/>
          <w:sz w:val="21"/>
          <w:szCs w:val="21"/>
        </w:rPr>
        <w:t>Audit Opinions.</w:t>
      </w:r>
    </w:p>
    <w:p w14:paraId="03DFF698" w14:textId="77777777" w:rsidR="00F04CEF" w:rsidRDefault="000F4100">
      <w:pPr>
        <w:pStyle w:val="07HEADA"/>
      </w:pPr>
      <w:r>
        <w:t>CONCLUSION</w:t>
      </w:r>
    </w:p>
    <w:p w14:paraId="4203D15A" w14:textId="77777777" w:rsidR="00F04CEF" w:rsidRDefault="000F4100">
      <w:pPr>
        <w:spacing w:after="0" w:line="240" w:lineRule="auto"/>
        <w:ind w:firstLine="720"/>
        <w:jc w:val="both"/>
        <w:rPr>
          <w:rFonts w:ascii="Cambria" w:hAnsi="Cambria"/>
          <w:color w:val="010205"/>
          <w:sz w:val="21"/>
          <w:szCs w:val="21"/>
        </w:rPr>
      </w:pPr>
      <w:r w:rsidRPr="008E6DD7">
        <w:rPr>
          <w:rFonts w:ascii="Cambria" w:hAnsi="Cambria"/>
          <w:color w:val="010205"/>
          <w:sz w:val="21"/>
          <w:szCs w:val="21"/>
        </w:rPr>
        <w:t>Based on the data analysis and discussion that has been carried out, the following conclusions can be drawn:</w:t>
      </w:r>
      <w:r w:rsidRPr="008E6DD7">
        <w:rPr>
          <w:rFonts w:ascii="Cambria" w:hAnsi="Cambria" w:cs="Cambria"/>
          <w:color w:val="000000"/>
          <w:sz w:val="21"/>
          <w:szCs w:val="21"/>
        </w:rPr>
        <w:t xml:space="preserve"> 1) </w:t>
      </w:r>
      <w:r w:rsidRPr="008E6DD7">
        <w:rPr>
          <w:rFonts w:ascii="Cambria" w:hAnsi="Cambria"/>
          <w:color w:val="010205"/>
          <w:sz w:val="21"/>
          <w:szCs w:val="21"/>
        </w:rPr>
        <w:t xml:space="preserve">Profitability before the Covid-19 pandemic had no effect on </w:t>
      </w:r>
      <w:r w:rsidRPr="008E6DD7">
        <w:rPr>
          <w:rFonts w:ascii="Cambria" w:hAnsi="Cambria"/>
          <w:i/>
          <w:iCs/>
          <w:color w:val="010205"/>
          <w:sz w:val="21"/>
          <w:szCs w:val="21"/>
        </w:rPr>
        <w:t xml:space="preserve">going concern </w:t>
      </w:r>
      <w:r w:rsidRPr="008E6DD7">
        <w:rPr>
          <w:rFonts w:ascii="Cambria" w:hAnsi="Cambria"/>
          <w:color w:val="010205"/>
          <w:sz w:val="21"/>
          <w:szCs w:val="21"/>
        </w:rPr>
        <w:t>audit opinion acceptance</w:t>
      </w:r>
      <w:r w:rsidR="00A238B9">
        <w:rPr>
          <w:rFonts w:ascii="Cambria" w:hAnsi="Cambria"/>
          <w:color w:val="010205"/>
          <w:sz w:val="21"/>
          <w:szCs w:val="21"/>
        </w:rPr>
        <w:t>.</w:t>
      </w:r>
      <w:r w:rsidRPr="008E6DD7">
        <w:rPr>
          <w:rFonts w:ascii="Cambria" w:hAnsi="Cambria"/>
          <w:color w:val="010205"/>
          <w:sz w:val="21"/>
          <w:szCs w:val="21"/>
        </w:rPr>
        <w:t xml:space="preserve"> It is because manufacturing companies before the Covid-19 pandemic could maintain the continuity of the company's business in carrying out company operations to earn profits. </w:t>
      </w:r>
      <w:r w:rsidRPr="008E6DD7">
        <w:rPr>
          <w:rFonts w:ascii="Cambria" w:hAnsi="Cambria" w:cs="Cambria"/>
          <w:color w:val="000000"/>
          <w:sz w:val="21"/>
          <w:szCs w:val="21"/>
        </w:rPr>
        <w:t xml:space="preserve">2) </w:t>
      </w:r>
      <w:r w:rsidRPr="008E6DD7">
        <w:rPr>
          <w:rFonts w:ascii="Cambria" w:hAnsi="Cambria"/>
          <w:color w:val="010205"/>
          <w:sz w:val="21"/>
          <w:szCs w:val="21"/>
        </w:rPr>
        <w:t xml:space="preserve">When the Covid-19 pandemic occurred, the profitability variable had an effect on </w:t>
      </w:r>
      <w:r w:rsidRPr="008E6DD7">
        <w:rPr>
          <w:rFonts w:ascii="Cambria" w:hAnsi="Cambria"/>
          <w:i/>
          <w:iCs/>
          <w:color w:val="010205"/>
          <w:sz w:val="21"/>
          <w:szCs w:val="21"/>
        </w:rPr>
        <w:t xml:space="preserve">going concern </w:t>
      </w:r>
      <w:r w:rsidRPr="008E6DD7">
        <w:rPr>
          <w:rFonts w:ascii="Cambria" w:hAnsi="Cambria"/>
          <w:color w:val="010205"/>
          <w:sz w:val="21"/>
          <w:szCs w:val="21"/>
        </w:rPr>
        <w:t>audit opinion</w:t>
      </w:r>
      <w:r w:rsidR="00A238B9">
        <w:rPr>
          <w:rFonts w:ascii="Cambria" w:hAnsi="Cambria"/>
          <w:color w:val="010205"/>
          <w:sz w:val="21"/>
          <w:szCs w:val="21"/>
        </w:rPr>
        <w:t xml:space="preserve">. </w:t>
      </w:r>
      <w:r w:rsidRPr="008E6DD7">
        <w:rPr>
          <w:rFonts w:ascii="Cambria" w:hAnsi="Cambria"/>
          <w:color w:val="010205"/>
          <w:sz w:val="21"/>
          <w:szCs w:val="21"/>
        </w:rPr>
        <w:t>During the Covid-19 pandemic, many companies were required to reduce working hours or even temporarily close due to government policies to carry out social distancing, lockdown and other policies resulting in the company experiencing losses reflected in the number of companies that had negative net income</w:t>
      </w:r>
      <w:r w:rsidR="0017601B">
        <w:rPr>
          <w:rFonts w:ascii="Cambria" w:hAnsi="Cambria"/>
          <w:color w:val="010205"/>
          <w:sz w:val="21"/>
          <w:szCs w:val="21"/>
        </w:rPr>
        <w:t>. N</w:t>
      </w:r>
      <w:r w:rsidRPr="008E6DD7">
        <w:rPr>
          <w:rFonts w:ascii="Cambria" w:hAnsi="Cambria"/>
          <w:color w:val="010205"/>
          <w:sz w:val="21"/>
          <w:szCs w:val="21"/>
        </w:rPr>
        <w:t>egative net income is an indicator that illustrates a decline in a company's performance.</w:t>
      </w:r>
      <w:r w:rsidRPr="008E6DD7">
        <w:rPr>
          <w:rFonts w:ascii="Cambria" w:hAnsi="Cambria" w:cs="Cambria"/>
          <w:color w:val="000000"/>
          <w:sz w:val="21"/>
          <w:szCs w:val="21"/>
        </w:rPr>
        <w:t xml:space="preserve"> 3) </w:t>
      </w:r>
      <w:r w:rsidRPr="008E6DD7">
        <w:rPr>
          <w:rFonts w:ascii="Cambria" w:hAnsi="Cambria"/>
          <w:i/>
          <w:iCs/>
          <w:color w:val="010205"/>
          <w:sz w:val="21"/>
          <w:szCs w:val="21"/>
        </w:rPr>
        <w:t xml:space="preserve">Leverage </w:t>
      </w:r>
      <w:r w:rsidRPr="008E6DD7">
        <w:rPr>
          <w:rFonts w:ascii="Cambria" w:hAnsi="Cambria"/>
          <w:color w:val="010205"/>
          <w:sz w:val="21"/>
          <w:szCs w:val="21"/>
        </w:rPr>
        <w:t xml:space="preserve">before the Covid-19 pandemic had no effect on </w:t>
      </w:r>
      <w:r w:rsidRPr="008E6DD7">
        <w:rPr>
          <w:rFonts w:ascii="Cambria" w:hAnsi="Cambria"/>
          <w:i/>
          <w:iCs/>
          <w:color w:val="010205"/>
          <w:sz w:val="21"/>
          <w:szCs w:val="21"/>
        </w:rPr>
        <w:t xml:space="preserve">going concern </w:t>
      </w:r>
      <w:r w:rsidRPr="008E6DD7">
        <w:rPr>
          <w:rFonts w:ascii="Cambria" w:hAnsi="Cambria"/>
          <w:color w:val="010205"/>
          <w:sz w:val="21"/>
          <w:szCs w:val="21"/>
        </w:rPr>
        <w:t>audit opinion acceptance</w:t>
      </w:r>
      <w:r w:rsidRPr="008E6DD7">
        <w:rPr>
          <w:rFonts w:ascii="Cambria" w:hAnsi="Cambria"/>
          <w:i/>
          <w:iCs/>
          <w:color w:val="010205"/>
          <w:sz w:val="21"/>
          <w:szCs w:val="21"/>
        </w:rPr>
        <w:t xml:space="preserve">. </w:t>
      </w:r>
      <w:r w:rsidRPr="008E6DD7">
        <w:rPr>
          <w:rFonts w:ascii="Cambria" w:hAnsi="Cambria"/>
          <w:color w:val="010205"/>
          <w:sz w:val="21"/>
          <w:szCs w:val="21"/>
        </w:rPr>
        <w:t xml:space="preserve">It is because, before the Covid-19 pandemic, the company could still fulfill its obligations using the capital owned by the company, so before the Covid-19 pandemic, manufacturing companies could maintain their business continuity. </w:t>
      </w:r>
      <w:r w:rsidRPr="008E6DD7">
        <w:rPr>
          <w:rFonts w:ascii="Cambria" w:hAnsi="Cambria" w:cs="Cambria"/>
          <w:color w:val="000000"/>
          <w:sz w:val="21"/>
          <w:szCs w:val="21"/>
        </w:rPr>
        <w:t xml:space="preserve">4) </w:t>
      </w:r>
      <w:r w:rsidRPr="008E6DD7">
        <w:rPr>
          <w:rFonts w:ascii="Cambria" w:hAnsi="Cambria"/>
          <w:color w:val="010205"/>
          <w:sz w:val="21"/>
          <w:szCs w:val="21"/>
        </w:rPr>
        <w:t>During the Covid-19 pandemic</w:t>
      </w:r>
      <w:r w:rsidRPr="008E6DD7">
        <w:rPr>
          <w:rFonts w:ascii="Cambria" w:hAnsi="Cambria"/>
          <w:i/>
          <w:iCs/>
          <w:color w:val="010205"/>
          <w:sz w:val="21"/>
          <w:szCs w:val="21"/>
        </w:rPr>
        <w:t xml:space="preserve">, the leverage </w:t>
      </w:r>
      <w:r w:rsidRPr="008E6DD7">
        <w:rPr>
          <w:rFonts w:ascii="Cambria" w:hAnsi="Cambria"/>
          <w:color w:val="010205"/>
          <w:sz w:val="21"/>
          <w:szCs w:val="21"/>
        </w:rPr>
        <w:t xml:space="preserve">variable affects the </w:t>
      </w:r>
      <w:r w:rsidRPr="008E6DD7">
        <w:rPr>
          <w:rFonts w:ascii="Cambria" w:hAnsi="Cambria"/>
          <w:i/>
          <w:iCs/>
          <w:color w:val="010205"/>
          <w:sz w:val="21"/>
          <w:szCs w:val="21"/>
        </w:rPr>
        <w:t xml:space="preserve">going concern </w:t>
      </w:r>
      <w:r w:rsidRPr="008E6DD7">
        <w:rPr>
          <w:rFonts w:ascii="Cambria" w:hAnsi="Cambria"/>
          <w:color w:val="010205"/>
          <w:sz w:val="21"/>
          <w:szCs w:val="21"/>
        </w:rPr>
        <w:t>audit opinio</w:t>
      </w:r>
      <w:r w:rsidR="0017601B">
        <w:rPr>
          <w:rFonts w:ascii="Cambria" w:hAnsi="Cambria"/>
          <w:color w:val="010205"/>
          <w:sz w:val="21"/>
          <w:szCs w:val="21"/>
        </w:rPr>
        <w:t>n</w:t>
      </w:r>
      <w:r w:rsidR="0017601B">
        <w:rPr>
          <w:rFonts w:ascii="Cambria" w:hAnsi="Cambria"/>
          <w:i/>
          <w:iCs/>
          <w:color w:val="010205"/>
          <w:sz w:val="21"/>
          <w:szCs w:val="21"/>
        </w:rPr>
        <w:t xml:space="preserve">. </w:t>
      </w:r>
      <w:r w:rsidRPr="008E6DD7">
        <w:rPr>
          <w:rFonts w:ascii="Cambria" w:hAnsi="Cambria"/>
          <w:color w:val="010205"/>
          <w:sz w:val="21"/>
          <w:szCs w:val="21"/>
        </w:rPr>
        <w:t xml:space="preserve">It is because, during the Covid-19 pandemic, the company experienced a significant decrease in revenue. The company needed more funds to finance its operational </w:t>
      </w:r>
      <w:r w:rsidRPr="008E6DD7">
        <w:rPr>
          <w:rFonts w:ascii="Cambria" w:hAnsi="Cambria"/>
          <w:color w:val="010205"/>
          <w:sz w:val="21"/>
          <w:szCs w:val="21"/>
        </w:rPr>
        <w:lastRenderedPageBreak/>
        <w:t xml:space="preserve">activities and fulfill its short-term and long-term obligations, so many companies increase the value of debt, which causes </w:t>
      </w:r>
      <w:r w:rsidR="0075036B">
        <w:rPr>
          <w:rFonts w:ascii="Cambria" w:hAnsi="Cambria"/>
          <w:color w:val="010205"/>
          <w:sz w:val="21"/>
          <w:szCs w:val="21"/>
        </w:rPr>
        <w:t xml:space="preserve">higher </w:t>
      </w:r>
      <w:r w:rsidRPr="008E6DD7">
        <w:rPr>
          <w:rFonts w:ascii="Cambria" w:hAnsi="Cambria"/>
          <w:i/>
          <w:iCs/>
          <w:color w:val="010205"/>
          <w:sz w:val="21"/>
          <w:szCs w:val="21"/>
        </w:rPr>
        <w:t xml:space="preserve">leverage. </w:t>
      </w:r>
      <w:r w:rsidRPr="008E6DD7">
        <w:rPr>
          <w:rFonts w:ascii="Cambria" w:hAnsi="Cambria"/>
          <w:color w:val="010205"/>
          <w:sz w:val="21"/>
          <w:szCs w:val="21"/>
        </w:rPr>
        <w:t xml:space="preserve">High leverage shows that the company's performance has decreased, causing uncertainty about the company's survival. </w:t>
      </w:r>
      <w:r w:rsidRPr="008E6DD7">
        <w:rPr>
          <w:rFonts w:ascii="Cambria" w:hAnsi="Cambria" w:cs="Cambria"/>
          <w:color w:val="000000"/>
          <w:sz w:val="21"/>
          <w:szCs w:val="21"/>
        </w:rPr>
        <w:t xml:space="preserve">5) </w:t>
      </w:r>
      <w:r w:rsidRPr="008E6DD7">
        <w:rPr>
          <w:rFonts w:ascii="Cambria" w:hAnsi="Cambria"/>
          <w:color w:val="010205"/>
          <w:sz w:val="21"/>
          <w:szCs w:val="21"/>
        </w:rPr>
        <w:t xml:space="preserve">Company growth before and during the Covid-19 pandemic has no effect on </w:t>
      </w:r>
      <w:r w:rsidRPr="008E6DD7">
        <w:rPr>
          <w:rFonts w:ascii="Cambria" w:hAnsi="Cambria"/>
          <w:i/>
          <w:iCs/>
          <w:color w:val="010205"/>
          <w:sz w:val="21"/>
          <w:szCs w:val="21"/>
        </w:rPr>
        <w:t xml:space="preserve">going concern </w:t>
      </w:r>
      <w:r w:rsidRPr="008E6DD7">
        <w:rPr>
          <w:rFonts w:ascii="Cambria" w:hAnsi="Cambria"/>
          <w:color w:val="010205"/>
          <w:sz w:val="21"/>
          <w:szCs w:val="21"/>
        </w:rPr>
        <w:t xml:space="preserve">audit opinion. It shows that the high and low value of company growth has no impact on the </w:t>
      </w:r>
      <w:r w:rsidRPr="008E6DD7">
        <w:rPr>
          <w:rFonts w:ascii="Cambria" w:hAnsi="Cambria"/>
          <w:i/>
          <w:iCs/>
          <w:color w:val="010205"/>
          <w:sz w:val="21"/>
          <w:szCs w:val="21"/>
        </w:rPr>
        <w:t xml:space="preserve">going concern </w:t>
      </w:r>
      <w:r w:rsidRPr="008E6DD7">
        <w:rPr>
          <w:rFonts w:ascii="Cambria" w:hAnsi="Cambria"/>
          <w:color w:val="010205"/>
          <w:sz w:val="21"/>
          <w:szCs w:val="21"/>
        </w:rPr>
        <w:t>audit opinion received by the company. When viewed from the data of manufacturing companies in 2020, most companies experienced decreased sales</w:t>
      </w:r>
      <w:r w:rsidR="00E64DA8">
        <w:rPr>
          <w:rFonts w:ascii="Cambria" w:hAnsi="Cambria"/>
          <w:color w:val="010205"/>
          <w:sz w:val="21"/>
          <w:szCs w:val="21"/>
        </w:rPr>
        <w:t xml:space="preserve">. However, </w:t>
      </w:r>
      <w:r w:rsidRPr="008E6DD7">
        <w:rPr>
          <w:rFonts w:ascii="Cambria" w:hAnsi="Cambria"/>
          <w:color w:val="010205"/>
          <w:sz w:val="21"/>
          <w:szCs w:val="21"/>
        </w:rPr>
        <w:t>the decline in sales had no effect on the company's survival.</w:t>
      </w:r>
    </w:p>
    <w:p w14:paraId="27834303" w14:textId="77777777" w:rsidR="0075036B" w:rsidRDefault="0075036B" w:rsidP="008E6DD7">
      <w:pPr>
        <w:spacing w:after="0" w:line="240" w:lineRule="auto"/>
        <w:ind w:firstLine="720"/>
        <w:jc w:val="both"/>
        <w:rPr>
          <w:rFonts w:ascii="Cambria" w:hAnsi="Cambria" w:cs="Cambria"/>
          <w:color w:val="000000"/>
          <w:sz w:val="21"/>
          <w:szCs w:val="21"/>
        </w:rPr>
      </w:pPr>
    </w:p>
    <w:p w14:paraId="71AE9158" w14:textId="77777777" w:rsidR="00F04CEF" w:rsidRDefault="000F4100">
      <w:pPr>
        <w:spacing w:after="0" w:line="240" w:lineRule="auto"/>
        <w:ind w:firstLine="720"/>
        <w:jc w:val="both"/>
        <w:rPr>
          <w:rFonts w:ascii="Cambria" w:hAnsi="Cambria" w:cs="Cambria"/>
          <w:color w:val="000000"/>
          <w:sz w:val="21"/>
          <w:szCs w:val="21"/>
        </w:rPr>
      </w:pPr>
      <w:r w:rsidRPr="008E6DD7">
        <w:rPr>
          <w:rFonts w:ascii="Cambria" w:hAnsi="Cambria"/>
          <w:color w:val="010205"/>
          <w:sz w:val="21"/>
          <w:szCs w:val="21"/>
        </w:rPr>
        <w:t xml:space="preserve">Based on the conclusions and results of the study, </w:t>
      </w:r>
      <w:r w:rsidR="0075036B">
        <w:rPr>
          <w:rFonts w:ascii="Cambria" w:hAnsi="Cambria"/>
          <w:color w:val="010205"/>
          <w:sz w:val="21"/>
          <w:szCs w:val="21"/>
        </w:rPr>
        <w:t xml:space="preserve">some </w:t>
      </w:r>
      <w:r w:rsidRPr="008E6DD7">
        <w:rPr>
          <w:rFonts w:ascii="Cambria" w:hAnsi="Cambria"/>
          <w:color w:val="010205"/>
          <w:sz w:val="21"/>
          <w:szCs w:val="21"/>
        </w:rPr>
        <w:t xml:space="preserve">suggestions </w:t>
      </w:r>
      <w:r w:rsidR="0075036B">
        <w:rPr>
          <w:rFonts w:ascii="Cambria" w:hAnsi="Cambria"/>
          <w:color w:val="010205"/>
          <w:sz w:val="21"/>
          <w:szCs w:val="21"/>
        </w:rPr>
        <w:t xml:space="preserve">can be given as </w:t>
      </w:r>
      <w:r w:rsidRPr="008E6DD7">
        <w:rPr>
          <w:rFonts w:ascii="Cambria" w:hAnsi="Cambria"/>
          <w:color w:val="010205"/>
          <w:sz w:val="21"/>
          <w:szCs w:val="21"/>
        </w:rPr>
        <w:t>follows:</w:t>
      </w:r>
      <w:r>
        <w:rPr>
          <w:rFonts w:ascii="Cambria" w:hAnsi="Cambria" w:cs="Cambria"/>
          <w:color w:val="000000"/>
          <w:sz w:val="21"/>
          <w:szCs w:val="21"/>
        </w:rPr>
        <w:t xml:space="preserve"> 1) The </w:t>
      </w:r>
      <w:r w:rsidRPr="008E6DD7">
        <w:rPr>
          <w:rFonts w:ascii="Cambria" w:hAnsi="Cambria"/>
          <w:color w:val="010205"/>
          <w:sz w:val="21"/>
          <w:szCs w:val="21"/>
        </w:rPr>
        <w:t xml:space="preserve">findings of the results of this study prove that in addition to Profitability, </w:t>
      </w:r>
      <w:r w:rsidRPr="008E6DD7">
        <w:rPr>
          <w:rFonts w:ascii="Cambria" w:hAnsi="Cambria"/>
          <w:i/>
          <w:iCs/>
          <w:color w:val="010205"/>
          <w:sz w:val="21"/>
          <w:szCs w:val="21"/>
        </w:rPr>
        <w:t>Leverage</w:t>
      </w:r>
      <w:r w:rsidRPr="008E6DD7">
        <w:rPr>
          <w:rFonts w:ascii="Cambria" w:hAnsi="Cambria"/>
          <w:color w:val="010205"/>
          <w:sz w:val="21"/>
          <w:szCs w:val="21"/>
        </w:rPr>
        <w:t xml:space="preserve">, and company growth, there are other factors used in the study of </w:t>
      </w:r>
      <w:r w:rsidRPr="008E6DD7">
        <w:rPr>
          <w:rFonts w:ascii="Cambria" w:hAnsi="Cambria"/>
          <w:i/>
          <w:iCs/>
          <w:color w:val="010205"/>
          <w:sz w:val="21"/>
          <w:szCs w:val="21"/>
        </w:rPr>
        <w:t xml:space="preserve">Going Concern </w:t>
      </w:r>
      <w:r w:rsidRPr="008E6DD7">
        <w:rPr>
          <w:rFonts w:ascii="Cambria" w:hAnsi="Cambria"/>
          <w:color w:val="010205"/>
          <w:sz w:val="21"/>
          <w:szCs w:val="21"/>
        </w:rPr>
        <w:t xml:space="preserve">Audit Opinions in manufacturing companies listed on the Indonesia Stock Exchange. Profitability, </w:t>
      </w:r>
      <w:r w:rsidRPr="008E6DD7">
        <w:rPr>
          <w:rFonts w:ascii="Cambria" w:hAnsi="Cambria"/>
          <w:i/>
          <w:iCs/>
          <w:color w:val="010205"/>
          <w:sz w:val="21"/>
          <w:szCs w:val="21"/>
        </w:rPr>
        <w:t xml:space="preserve">leverage </w:t>
      </w:r>
      <w:r w:rsidRPr="008E6DD7">
        <w:rPr>
          <w:rFonts w:ascii="Cambria" w:hAnsi="Cambria"/>
          <w:color w:val="010205"/>
          <w:sz w:val="21"/>
          <w:szCs w:val="21"/>
        </w:rPr>
        <w:t xml:space="preserve">and company growth have an effect of </w:t>
      </w:r>
      <w:r w:rsidRPr="008E6DD7">
        <w:rPr>
          <w:rFonts w:ascii="Cambria" w:hAnsi="Cambria"/>
          <w:sz w:val="21"/>
          <w:szCs w:val="21"/>
        </w:rPr>
        <w:t xml:space="preserve">35.5% </w:t>
      </w:r>
      <w:r w:rsidRPr="008E6DD7">
        <w:rPr>
          <w:rFonts w:ascii="Cambria" w:hAnsi="Cambria"/>
          <w:color w:val="010205"/>
          <w:sz w:val="21"/>
          <w:szCs w:val="21"/>
        </w:rPr>
        <w:t xml:space="preserve">on </w:t>
      </w:r>
      <w:r w:rsidRPr="008E6DD7">
        <w:rPr>
          <w:rFonts w:ascii="Cambria" w:hAnsi="Cambria"/>
          <w:i/>
          <w:iCs/>
          <w:color w:val="010205"/>
          <w:sz w:val="21"/>
          <w:szCs w:val="21"/>
        </w:rPr>
        <w:t xml:space="preserve">Going Concern </w:t>
      </w:r>
      <w:r w:rsidRPr="008E6DD7">
        <w:rPr>
          <w:rFonts w:ascii="Cambria" w:hAnsi="Cambria"/>
          <w:color w:val="010205"/>
          <w:sz w:val="21"/>
          <w:szCs w:val="21"/>
        </w:rPr>
        <w:t xml:space="preserve">audit opinion, while the remaining </w:t>
      </w:r>
      <w:r w:rsidRPr="008E6DD7">
        <w:rPr>
          <w:rFonts w:ascii="Cambria" w:hAnsi="Cambria"/>
          <w:sz w:val="21"/>
          <w:szCs w:val="21"/>
        </w:rPr>
        <w:t xml:space="preserve">64.5% </w:t>
      </w:r>
      <w:r w:rsidRPr="008E6DD7">
        <w:rPr>
          <w:rFonts w:ascii="Cambria" w:hAnsi="Cambria"/>
          <w:color w:val="010205"/>
          <w:sz w:val="21"/>
          <w:szCs w:val="21"/>
        </w:rPr>
        <w:t xml:space="preserve">is explained by other factors outside this study. For further researchers, adding other variables that affect the acceptance of </w:t>
      </w:r>
      <w:r w:rsidRPr="008E6DD7">
        <w:rPr>
          <w:rFonts w:ascii="Cambria" w:hAnsi="Cambria"/>
          <w:i/>
          <w:iCs/>
          <w:color w:val="010205"/>
          <w:sz w:val="21"/>
          <w:szCs w:val="21"/>
        </w:rPr>
        <w:t xml:space="preserve">Going Concern </w:t>
      </w:r>
      <w:r w:rsidRPr="008E6DD7">
        <w:rPr>
          <w:rFonts w:ascii="Cambria" w:hAnsi="Cambria"/>
          <w:color w:val="010205"/>
          <w:sz w:val="21"/>
          <w:szCs w:val="21"/>
        </w:rPr>
        <w:t xml:space="preserve">Audit Opinions outside of this study, such as Company Size, Previous Year's Audit Opinion, Liquidity, </w:t>
      </w:r>
      <w:r w:rsidR="00E64DA8">
        <w:rPr>
          <w:rFonts w:ascii="Cambria" w:hAnsi="Cambria"/>
          <w:color w:val="010205"/>
          <w:sz w:val="21"/>
          <w:szCs w:val="21"/>
        </w:rPr>
        <w:t xml:space="preserve">or </w:t>
      </w:r>
      <w:r w:rsidRPr="008E6DD7">
        <w:rPr>
          <w:rFonts w:ascii="Cambria" w:hAnsi="Cambria"/>
          <w:color w:val="010205"/>
          <w:sz w:val="21"/>
          <w:szCs w:val="21"/>
        </w:rPr>
        <w:t xml:space="preserve">Auditor Reputation, is recommended. </w:t>
      </w:r>
      <w:r>
        <w:rPr>
          <w:rFonts w:ascii="Cambria" w:hAnsi="Cambria" w:cs="Cambria"/>
          <w:color w:val="000000"/>
          <w:sz w:val="21"/>
          <w:szCs w:val="21"/>
        </w:rPr>
        <w:t xml:space="preserve">2) </w:t>
      </w:r>
      <w:r w:rsidRPr="008E6DD7">
        <w:rPr>
          <w:rFonts w:ascii="Cambria" w:hAnsi="Cambria"/>
          <w:color w:val="010205"/>
          <w:sz w:val="21"/>
          <w:szCs w:val="21"/>
        </w:rPr>
        <w:t xml:space="preserve">It is suggested that future researchers can expand the research objects used because during the Covid-19 pandemic, not only manufacturing companies were affected, but several other companies were affected, such as real estate companies </w:t>
      </w:r>
      <w:r w:rsidR="003A207C">
        <w:rPr>
          <w:rFonts w:ascii="Cambria" w:hAnsi="Cambria"/>
          <w:color w:val="010205"/>
          <w:sz w:val="21"/>
          <w:szCs w:val="21"/>
        </w:rPr>
        <w:t xml:space="preserve">and </w:t>
      </w:r>
      <w:r w:rsidRPr="008E6DD7">
        <w:rPr>
          <w:rFonts w:ascii="Cambria" w:hAnsi="Cambria"/>
          <w:color w:val="010205"/>
          <w:sz w:val="21"/>
          <w:szCs w:val="21"/>
        </w:rPr>
        <w:t>transportation.</w:t>
      </w:r>
    </w:p>
    <w:p w14:paraId="510AD334" w14:textId="77777777" w:rsidR="00F04CEF" w:rsidRDefault="000F4100">
      <w:pPr>
        <w:spacing w:before="360" w:after="120" w:line="240" w:lineRule="auto"/>
        <w:rPr>
          <w:rFonts w:ascii="Cambria" w:hAnsi="Cambria" w:cs="Cambria"/>
          <w:b/>
          <w:color w:val="000000"/>
        </w:rPr>
      </w:pPr>
      <w:r>
        <w:rPr>
          <w:rFonts w:ascii="Cambria" w:hAnsi="Cambria" w:cs="Cambria"/>
          <w:b/>
          <w:color w:val="000000"/>
        </w:rPr>
        <w:t xml:space="preserve">REFERENCES </w:t>
      </w:r>
    </w:p>
    <w:p w14:paraId="27556402"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Pr>
          <w:rFonts w:ascii="Cambria" w:hAnsi="Cambria" w:cs="Cambria"/>
          <w:b/>
          <w:color w:val="000000"/>
        </w:rPr>
        <w:fldChar w:fldCharType="begin" w:fldLock="1"/>
      </w:r>
      <w:r>
        <w:rPr>
          <w:rFonts w:ascii="Cambria" w:hAnsi="Cambria" w:cs="Cambria"/>
          <w:b/>
          <w:color w:val="000000"/>
        </w:rPr>
        <w:instrText xml:space="preserve">ADDIN Mendeley Bibliography CSL_BIBLIOGRAPHY </w:instrText>
      </w:r>
      <w:r>
        <w:rPr>
          <w:rFonts w:ascii="Cambria" w:hAnsi="Cambria" w:cs="Cambria"/>
          <w:b/>
          <w:color w:val="000000"/>
        </w:rPr>
        <w:fldChar w:fldCharType="separate"/>
      </w:r>
      <w:r w:rsidRPr="0075036B">
        <w:rPr>
          <w:rFonts w:ascii="Cambria" w:hAnsi="Cambria" w:cs="Times New Roman"/>
          <w:noProof/>
          <w:szCs w:val="24"/>
        </w:rPr>
        <w:t xml:space="preserve">Abdellatif, R., &amp; Elsayed, A. (2023). The effect of investment in the brand value chain on profitability and market value of the firm: lessons of success taken from Amazon. </w:t>
      </w:r>
      <w:r w:rsidRPr="0075036B">
        <w:rPr>
          <w:rFonts w:ascii="Cambria" w:hAnsi="Cambria" w:cs="Times New Roman"/>
          <w:i/>
          <w:iCs/>
          <w:noProof/>
          <w:szCs w:val="24"/>
        </w:rPr>
        <w:t>Future Business Journal</w:t>
      </w:r>
      <w:r w:rsidRPr="0075036B">
        <w:rPr>
          <w:rFonts w:ascii="Cambria" w:hAnsi="Cambria" w:cs="Times New Roman"/>
          <w:noProof/>
          <w:szCs w:val="24"/>
        </w:rPr>
        <w:t xml:space="preserve">, </w:t>
      </w:r>
      <w:r w:rsidRPr="0075036B">
        <w:rPr>
          <w:rFonts w:ascii="Cambria" w:hAnsi="Cambria" w:cs="Times New Roman"/>
          <w:i/>
          <w:iCs/>
          <w:noProof/>
          <w:szCs w:val="24"/>
        </w:rPr>
        <w:t>9</w:t>
      </w:r>
      <w:r w:rsidRPr="0075036B">
        <w:rPr>
          <w:rFonts w:ascii="Cambria" w:hAnsi="Cambria" w:cs="Times New Roman"/>
          <w:noProof/>
          <w:szCs w:val="24"/>
        </w:rPr>
        <w:t>(19), 1-17. https://doi.org/10.1186/s43093-023-00196-2</w:t>
      </w:r>
    </w:p>
    <w:p w14:paraId="11EA6CB5"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Akhtar, M., Yusheng, K., Haris, M., Ain, Q. U., &amp; Javaid, H. M. (2022). Impact of financial leverage on sustainable growth, market performance, and profitability. In </w:t>
      </w:r>
      <w:r w:rsidRPr="0075036B">
        <w:rPr>
          <w:rFonts w:ascii="Cambria" w:hAnsi="Cambria" w:cs="Times New Roman"/>
          <w:i/>
          <w:iCs/>
          <w:noProof/>
          <w:szCs w:val="24"/>
        </w:rPr>
        <w:t xml:space="preserve">Economic Change and Restructuring </w:t>
      </w:r>
      <w:r w:rsidRPr="0075036B">
        <w:rPr>
          <w:rFonts w:ascii="Cambria" w:hAnsi="Cambria" w:cs="Times New Roman"/>
          <w:noProof/>
          <w:szCs w:val="24"/>
        </w:rPr>
        <w:t>(Vol. 55, Issue 2). Springer US. https://doi.org/10.1007/s10644-021-09321-z</w:t>
      </w:r>
    </w:p>
    <w:p w14:paraId="69591645"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Alsmady, A. A. (2022). Quality of financial reporting, external audit, earnings power and companies performance: The case of Gulf Corporate Council Countries. </w:t>
      </w:r>
      <w:r w:rsidRPr="0075036B">
        <w:rPr>
          <w:rFonts w:ascii="Cambria" w:hAnsi="Cambria" w:cs="Times New Roman"/>
          <w:i/>
          <w:iCs/>
          <w:noProof/>
          <w:szCs w:val="24"/>
        </w:rPr>
        <w:t>Research in Globalization</w:t>
      </w:r>
      <w:r w:rsidRPr="0075036B">
        <w:rPr>
          <w:rFonts w:ascii="Cambria" w:hAnsi="Cambria" w:cs="Times New Roman"/>
          <w:noProof/>
          <w:szCs w:val="24"/>
        </w:rPr>
        <w:t xml:space="preserve">, </w:t>
      </w:r>
      <w:r w:rsidRPr="0075036B">
        <w:rPr>
          <w:rFonts w:ascii="Cambria" w:hAnsi="Cambria" w:cs="Times New Roman"/>
          <w:i/>
          <w:iCs/>
          <w:noProof/>
          <w:szCs w:val="24"/>
        </w:rPr>
        <w:t>5</w:t>
      </w:r>
      <w:r w:rsidRPr="0075036B">
        <w:rPr>
          <w:rFonts w:ascii="Cambria" w:hAnsi="Cambria" w:cs="Times New Roman"/>
          <w:noProof/>
          <w:szCs w:val="24"/>
        </w:rPr>
        <w:t>, 1-13. https://doi.org/10.1016/j.resglo.2022.100093</w:t>
      </w:r>
    </w:p>
    <w:p w14:paraId="19B84FF4"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Averio, T. (2020). The analysis of influencing factors on the going concern audit opinion - a study in manufacturing firms in Indonesia. </w:t>
      </w:r>
      <w:r w:rsidRPr="0075036B">
        <w:rPr>
          <w:rFonts w:ascii="Cambria" w:hAnsi="Cambria" w:cs="Times New Roman"/>
          <w:i/>
          <w:iCs/>
          <w:noProof/>
          <w:szCs w:val="24"/>
        </w:rPr>
        <w:t>Asian Journal of Accounting Research</w:t>
      </w:r>
      <w:r w:rsidRPr="0075036B">
        <w:rPr>
          <w:rFonts w:ascii="Cambria" w:hAnsi="Cambria" w:cs="Times New Roman"/>
          <w:noProof/>
          <w:szCs w:val="24"/>
        </w:rPr>
        <w:t xml:space="preserve">, </w:t>
      </w:r>
      <w:r w:rsidRPr="0075036B">
        <w:rPr>
          <w:rFonts w:ascii="Cambria" w:hAnsi="Cambria" w:cs="Times New Roman"/>
          <w:i/>
          <w:iCs/>
          <w:noProof/>
          <w:szCs w:val="24"/>
        </w:rPr>
        <w:t>6</w:t>
      </w:r>
      <w:r w:rsidRPr="0075036B">
        <w:rPr>
          <w:rFonts w:ascii="Cambria" w:hAnsi="Cambria" w:cs="Times New Roman"/>
          <w:noProof/>
          <w:szCs w:val="24"/>
        </w:rPr>
        <w:t>(2), 152-164. https://doi.org/10.1108/AJAR-09-2020-0078</w:t>
      </w:r>
    </w:p>
    <w:p w14:paraId="4EDFF2EB"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Aydin, N., Sahin, N., Deveci, M., &amp; Pamucar, D. (2022). Prediction of financial distress of companies with artificial neural networks and decision trees models. </w:t>
      </w:r>
      <w:r w:rsidRPr="0075036B">
        <w:rPr>
          <w:rFonts w:ascii="Cambria" w:hAnsi="Cambria" w:cs="Times New Roman"/>
          <w:i/>
          <w:iCs/>
          <w:noProof/>
          <w:szCs w:val="24"/>
        </w:rPr>
        <w:t>Machine Learning with Applications</w:t>
      </w:r>
      <w:r w:rsidRPr="0075036B">
        <w:rPr>
          <w:rFonts w:ascii="Cambria" w:hAnsi="Cambria" w:cs="Times New Roman"/>
          <w:noProof/>
          <w:szCs w:val="24"/>
        </w:rPr>
        <w:t xml:space="preserve">, </w:t>
      </w:r>
      <w:r w:rsidRPr="0075036B">
        <w:rPr>
          <w:rFonts w:ascii="Cambria" w:hAnsi="Cambria" w:cs="Times New Roman"/>
          <w:i/>
          <w:iCs/>
          <w:noProof/>
          <w:szCs w:val="24"/>
        </w:rPr>
        <w:t>10</w:t>
      </w:r>
      <w:r w:rsidRPr="0075036B">
        <w:rPr>
          <w:rFonts w:ascii="Cambria" w:hAnsi="Cambria" w:cs="Times New Roman"/>
          <w:noProof/>
          <w:szCs w:val="24"/>
        </w:rPr>
        <w:t>, 1-13. https://doi.org/10.1016/j.mlwa.2022.100432</w:t>
      </w:r>
    </w:p>
    <w:p w14:paraId="007712D1"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Bierstaker, J. L., &amp; Todd DeZoort, F. (2019). The effects of problem severity and recovery strategy on managers' going concern judgments and decisions. </w:t>
      </w:r>
      <w:r w:rsidRPr="0075036B">
        <w:rPr>
          <w:rFonts w:ascii="Cambria" w:hAnsi="Cambria" w:cs="Times New Roman"/>
          <w:i/>
          <w:iCs/>
          <w:noProof/>
          <w:szCs w:val="24"/>
        </w:rPr>
        <w:t>Journal of Accounting and Public Policy</w:t>
      </w:r>
      <w:r w:rsidRPr="0075036B">
        <w:rPr>
          <w:rFonts w:ascii="Cambria" w:hAnsi="Cambria" w:cs="Times New Roman"/>
          <w:noProof/>
          <w:szCs w:val="24"/>
        </w:rPr>
        <w:t xml:space="preserve">, </w:t>
      </w:r>
      <w:r w:rsidRPr="0075036B">
        <w:rPr>
          <w:rFonts w:ascii="Cambria" w:hAnsi="Cambria" w:cs="Times New Roman"/>
          <w:i/>
          <w:iCs/>
          <w:noProof/>
          <w:szCs w:val="24"/>
        </w:rPr>
        <w:t>38</w:t>
      </w:r>
      <w:r w:rsidRPr="0075036B">
        <w:rPr>
          <w:rFonts w:ascii="Cambria" w:hAnsi="Cambria" w:cs="Times New Roman"/>
          <w:noProof/>
          <w:szCs w:val="24"/>
        </w:rPr>
        <w:t>(5), 1-12. https://doi.org/10.1016/j.jaccpubpol.2019.106682</w:t>
      </w:r>
    </w:p>
    <w:p w14:paraId="73198F8C"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Brakus, J. J. (2014). Brand Experience: What Is It? How Is It Measured? Does It Affect Loyalty? </w:t>
      </w:r>
      <w:r w:rsidRPr="0075036B">
        <w:rPr>
          <w:rFonts w:ascii="Cambria" w:hAnsi="Cambria" w:cs="Times New Roman"/>
          <w:i/>
          <w:iCs/>
          <w:noProof/>
          <w:szCs w:val="24"/>
        </w:rPr>
        <w:t>Journal of Marketing</w:t>
      </w:r>
      <w:r w:rsidRPr="0075036B">
        <w:rPr>
          <w:rFonts w:ascii="Cambria" w:hAnsi="Cambria" w:cs="Times New Roman"/>
          <w:noProof/>
          <w:szCs w:val="24"/>
        </w:rPr>
        <w:t xml:space="preserve">, </w:t>
      </w:r>
      <w:r w:rsidRPr="0075036B">
        <w:rPr>
          <w:rFonts w:ascii="Cambria" w:hAnsi="Cambria" w:cs="Times New Roman"/>
          <w:i/>
          <w:iCs/>
          <w:noProof/>
          <w:szCs w:val="24"/>
        </w:rPr>
        <w:t>73</w:t>
      </w:r>
      <w:r w:rsidRPr="0075036B">
        <w:rPr>
          <w:rFonts w:ascii="Cambria" w:hAnsi="Cambria" w:cs="Times New Roman"/>
          <w:noProof/>
          <w:szCs w:val="24"/>
        </w:rPr>
        <w:t>, 52-66. https://doi.org/10.1509/jmkg.73.3.52</w:t>
      </w:r>
    </w:p>
    <w:p w14:paraId="36A4F3D5"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Brulhart, F., Gherra, S., &amp; Quelin, B. V. (2019). Do Stakeholder Orientation and Environmental Proactivity Impact Firm Profitability? </w:t>
      </w:r>
      <w:r w:rsidRPr="0075036B">
        <w:rPr>
          <w:rFonts w:ascii="Cambria" w:hAnsi="Cambria" w:cs="Times New Roman"/>
          <w:i/>
          <w:iCs/>
          <w:noProof/>
          <w:szCs w:val="24"/>
        </w:rPr>
        <w:t>Journal of Business Ethics</w:t>
      </w:r>
      <w:r w:rsidRPr="0075036B">
        <w:rPr>
          <w:rFonts w:ascii="Cambria" w:hAnsi="Cambria" w:cs="Times New Roman"/>
          <w:noProof/>
          <w:szCs w:val="24"/>
        </w:rPr>
        <w:t xml:space="preserve">, </w:t>
      </w:r>
      <w:r w:rsidRPr="0075036B">
        <w:rPr>
          <w:rFonts w:ascii="Cambria" w:hAnsi="Cambria" w:cs="Times New Roman"/>
          <w:i/>
          <w:iCs/>
          <w:noProof/>
          <w:szCs w:val="24"/>
        </w:rPr>
        <w:t>158</w:t>
      </w:r>
      <w:r w:rsidRPr="0075036B">
        <w:rPr>
          <w:rFonts w:ascii="Cambria" w:hAnsi="Cambria" w:cs="Times New Roman"/>
          <w:noProof/>
          <w:szCs w:val="24"/>
        </w:rPr>
        <w:t>(1), 25-46. https://doi.org/10.1007/s10551-017-3732-y</w:t>
      </w:r>
    </w:p>
    <w:p w14:paraId="712B0F10"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Economics, A., Alarc, P. De, &amp; Alarc, P. De. (2022). Detection of shell companies in financial institutions using dynamic social networks. </w:t>
      </w:r>
      <w:r w:rsidRPr="0075036B">
        <w:rPr>
          <w:rFonts w:ascii="Cambria" w:hAnsi="Cambria" w:cs="Times New Roman"/>
          <w:i/>
          <w:iCs/>
          <w:noProof/>
          <w:szCs w:val="24"/>
        </w:rPr>
        <w:t>Expert Systems with Applications</w:t>
      </w:r>
      <w:r w:rsidRPr="0075036B">
        <w:rPr>
          <w:rFonts w:ascii="Cambria" w:hAnsi="Cambria" w:cs="Times New Roman"/>
          <w:noProof/>
          <w:szCs w:val="24"/>
        </w:rPr>
        <w:t xml:space="preserve">, </w:t>
      </w:r>
      <w:r w:rsidRPr="0075036B">
        <w:rPr>
          <w:rFonts w:ascii="Cambria" w:hAnsi="Cambria" w:cs="Times New Roman"/>
          <w:i/>
          <w:iCs/>
          <w:noProof/>
          <w:szCs w:val="24"/>
        </w:rPr>
        <w:t>207</w:t>
      </w:r>
      <w:r w:rsidRPr="0075036B">
        <w:rPr>
          <w:rFonts w:ascii="Cambria" w:hAnsi="Cambria" w:cs="Times New Roman"/>
          <w:noProof/>
          <w:szCs w:val="24"/>
        </w:rPr>
        <w:t xml:space="preserve">, 1-13. </w:t>
      </w:r>
      <w:r w:rsidRPr="0075036B">
        <w:rPr>
          <w:rFonts w:ascii="Cambria" w:hAnsi="Cambria" w:cs="Times New Roman"/>
          <w:noProof/>
          <w:szCs w:val="24"/>
        </w:rPr>
        <w:lastRenderedPageBreak/>
        <w:t>https://doi.org/10.1016/j.eswa.2022.117981</w:t>
      </w:r>
    </w:p>
    <w:p w14:paraId="1BEDCD1B"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Fagerland, M. W., &amp; Hosmer, D. W. (2012). A generalized Hosmer-Lemeshow goodness-of-fit test for multinomial logistic regression models. </w:t>
      </w:r>
      <w:r w:rsidRPr="0075036B">
        <w:rPr>
          <w:rFonts w:ascii="Cambria" w:hAnsi="Cambria" w:cs="Times New Roman"/>
          <w:i/>
          <w:iCs/>
          <w:noProof/>
          <w:szCs w:val="24"/>
        </w:rPr>
        <w:t>Stata Journal</w:t>
      </w:r>
      <w:r w:rsidRPr="0075036B">
        <w:rPr>
          <w:rFonts w:ascii="Cambria" w:hAnsi="Cambria" w:cs="Times New Roman"/>
          <w:noProof/>
          <w:szCs w:val="24"/>
        </w:rPr>
        <w:t xml:space="preserve">, </w:t>
      </w:r>
      <w:r w:rsidRPr="0075036B">
        <w:rPr>
          <w:rFonts w:ascii="Cambria" w:hAnsi="Cambria" w:cs="Times New Roman"/>
          <w:i/>
          <w:iCs/>
          <w:noProof/>
          <w:szCs w:val="24"/>
        </w:rPr>
        <w:t>12</w:t>
      </w:r>
      <w:r w:rsidRPr="0075036B">
        <w:rPr>
          <w:rFonts w:ascii="Cambria" w:hAnsi="Cambria" w:cs="Times New Roman"/>
          <w:noProof/>
          <w:szCs w:val="24"/>
        </w:rPr>
        <w:t>(3), 447-453. https://doi.org/10.1177/1536867x1201200307</w:t>
      </w:r>
    </w:p>
    <w:p w14:paraId="0CE234B1"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Fidiana, F., Yani, P., &amp; Suryaningrum, D. H. (2023). Corporate going-concern report in early pandemic situation: Evidence from Indonesia. </w:t>
      </w:r>
      <w:r w:rsidRPr="0075036B">
        <w:rPr>
          <w:rFonts w:ascii="Cambria" w:hAnsi="Cambria" w:cs="Times New Roman"/>
          <w:i/>
          <w:iCs/>
          <w:noProof/>
          <w:szCs w:val="24"/>
        </w:rPr>
        <w:t>Heliyon</w:t>
      </w:r>
      <w:r w:rsidRPr="0075036B">
        <w:rPr>
          <w:rFonts w:ascii="Cambria" w:hAnsi="Cambria" w:cs="Times New Roman"/>
          <w:noProof/>
          <w:szCs w:val="24"/>
        </w:rPr>
        <w:t xml:space="preserve">, </w:t>
      </w:r>
      <w:r w:rsidRPr="0075036B">
        <w:rPr>
          <w:rFonts w:ascii="Cambria" w:hAnsi="Cambria" w:cs="Times New Roman"/>
          <w:i/>
          <w:iCs/>
          <w:noProof/>
          <w:szCs w:val="24"/>
        </w:rPr>
        <w:t>9</w:t>
      </w:r>
      <w:r w:rsidRPr="0075036B">
        <w:rPr>
          <w:rFonts w:ascii="Cambria" w:hAnsi="Cambria" w:cs="Times New Roman"/>
          <w:noProof/>
          <w:szCs w:val="24"/>
        </w:rPr>
        <w:t>(4), 1-19. https://doi.org/10.1016/j.heliyon.2023.e15138</w:t>
      </w:r>
    </w:p>
    <w:p w14:paraId="5D0C2066"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Ghozali, I. (2006). </w:t>
      </w:r>
      <w:r w:rsidR="00C05BE3" w:rsidRPr="0075036B">
        <w:rPr>
          <w:rFonts w:ascii="Cambria" w:hAnsi="Cambria" w:cs="Times New Roman"/>
          <w:i/>
          <w:iCs/>
          <w:noProof/>
          <w:szCs w:val="24"/>
        </w:rPr>
        <w:t xml:space="preserve">Aplikasi Analisis Multivariate dengan Eksperimen </w:t>
      </w:r>
      <w:r w:rsidR="00C05BE3">
        <w:rPr>
          <w:rFonts w:ascii="Cambria" w:hAnsi="Cambria" w:cs="Times New Roman"/>
          <w:i/>
          <w:iCs/>
          <w:noProof/>
          <w:szCs w:val="24"/>
        </w:rPr>
        <w:t>[</w:t>
      </w:r>
      <w:r w:rsidRPr="0075036B">
        <w:rPr>
          <w:rFonts w:ascii="Cambria" w:hAnsi="Cambria" w:cs="Times New Roman"/>
          <w:i/>
          <w:iCs/>
          <w:noProof/>
          <w:szCs w:val="24"/>
        </w:rPr>
        <w:t>Application of Multivariate Analysis with Experiments</w:t>
      </w:r>
      <w:r w:rsidR="00C05BE3">
        <w:rPr>
          <w:rFonts w:ascii="Cambria" w:hAnsi="Cambria" w:cs="Times New Roman"/>
          <w:i/>
          <w:iCs/>
          <w:noProof/>
          <w:szCs w:val="24"/>
        </w:rPr>
        <w:t>]</w:t>
      </w:r>
      <w:r w:rsidRPr="0075036B">
        <w:rPr>
          <w:rFonts w:ascii="Cambria" w:hAnsi="Cambria" w:cs="Times New Roman"/>
          <w:noProof/>
          <w:szCs w:val="24"/>
        </w:rPr>
        <w:t>. Diponegoro University Publishing Agency.</w:t>
      </w:r>
    </w:p>
    <w:p w14:paraId="3543C870"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Guluma, T. F. (2021). The impact of corporate governance measures on firm performance: the influences of managerial overconfidence. </w:t>
      </w:r>
      <w:r w:rsidRPr="0075036B">
        <w:rPr>
          <w:rFonts w:ascii="Cambria" w:hAnsi="Cambria" w:cs="Times New Roman"/>
          <w:i/>
          <w:iCs/>
          <w:noProof/>
          <w:szCs w:val="24"/>
        </w:rPr>
        <w:t>Future Business Journal</w:t>
      </w:r>
      <w:r w:rsidRPr="0075036B">
        <w:rPr>
          <w:rFonts w:ascii="Cambria" w:hAnsi="Cambria" w:cs="Times New Roman"/>
          <w:noProof/>
          <w:szCs w:val="24"/>
        </w:rPr>
        <w:t xml:space="preserve">, </w:t>
      </w:r>
      <w:r w:rsidRPr="0075036B">
        <w:rPr>
          <w:rFonts w:ascii="Cambria" w:hAnsi="Cambria" w:cs="Times New Roman"/>
          <w:i/>
          <w:iCs/>
          <w:noProof/>
          <w:szCs w:val="24"/>
        </w:rPr>
        <w:t>7</w:t>
      </w:r>
      <w:r w:rsidRPr="0075036B">
        <w:rPr>
          <w:rFonts w:ascii="Cambria" w:hAnsi="Cambria" w:cs="Times New Roman"/>
          <w:noProof/>
          <w:szCs w:val="24"/>
        </w:rPr>
        <w:t>(1), 1-18. https://doi.org/10.1186/s43093-021-00093-6</w:t>
      </w:r>
    </w:p>
    <w:p w14:paraId="046D534C"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Halim, K. I. (2021). </w:t>
      </w:r>
      <w:r w:rsidR="00FC2D97" w:rsidRPr="0075036B">
        <w:rPr>
          <w:rFonts w:ascii="Cambria" w:hAnsi="Cambria" w:cs="Times New Roman"/>
          <w:noProof/>
          <w:szCs w:val="24"/>
        </w:rPr>
        <w:t xml:space="preserve">Pengaruh Leverage, Opini Audit Tahun Sebelumnya, Pertumbuhan Perusahaan, dan Ukuran Perusahaan terhadap Opini Audit Going Concern </w:t>
      </w:r>
      <w:r w:rsidR="00FC2D97">
        <w:rPr>
          <w:rFonts w:ascii="Cambria" w:hAnsi="Cambria" w:cs="Times New Roman"/>
          <w:noProof/>
          <w:szCs w:val="24"/>
        </w:rPr>
        <w:t xml:space="preserve"> [</w:t>
      </w:r>
      <w:r w:rsidRPr="0075036B">
        <w:rPr>
          <w:rFonts w:ascii="Cambria" w:hAnsi="Cambria" w:cs="Times New Roman"/>
          <w:noProof/>
          <w:szCs w:val="24"/>
        </w:rPr>
        <w:t>The Effect of Leverage, Previous Year's Audit Opinion, Company Growth, and Company Size on Going Concern Audit Opinions</w:t>
      </w:r>
      <w:r w:rsidR="00FC2D97">
        <w:rPr>
          <w:rFonts w:ascii="Cambria" w:hAnsi="Cambria" w:cs="Times New Roman"/>
          <w:noProof/>
          <w:szCs w:val="24"/>
        </w:rPr>
        <w:t>]</w:t>
      </w:r>
      <w:r w:rsidRPr="0075036B">
        <w:rPr>
          <w:rFonts w:ascii="Cambria" w:hAnsi="Cambria" w:cs="Times New Roman"/>
          <w:noProof/>
          <w:szCs w:val="24"/>
        </w:rPr>
        <w:t xml:space="preserve">. </w:t>
      </w:r>
      <w:r w:rsidRPr="0075036B">
        <w:rPr>
          <w:rFonts w:ascii="Cambria" w:hAnsi="Cambria" w:cs="Times New Roman"/>
          <w:i/>
          <w:iCs/>
          <w:noProof/>
          <w:szCs w:val="24"/>
        </w:rPr>
        <w:t>Owner</w:t>
      </w:r>
      <w:r w:rsidRPr="0075036B">
        <w:rPr>
          <w:rFonts w:ascii="Cambria" w:hAnsi="Cambria" w:cs="Times New Roman"/>
          <w:noProof/>
          <w:szCs w:val="24"/>
        </w:rPr>
        <w:t xml:space="preserve">, </w:t>
      </w:r>
      <w:r w:rsidRPr="0075036B">
        <w:rPr>
          <w:rFonts w:ascii="Cambria" w:hAnsi="Cambria" w:cs="Times New Roman"/>
          <w:i/>
          <w:iCs/>
          <w:noProof/>
          <w:szCs w:val="24"/>
        </w:rPr>
        <w:t>5</w:t>
      </w:r>
      <w:r w:rsidRPr="0075036B">
        <w:rPr>
          <w:rFonts w:ascii="Cambria" w:hAnsi="Cambria" w:cs="Times New Roman"/>
          <w:noProof/>
          <w:szCs w:val="24"/>
        </w:rPr>
        <w:t>(1), 164-173. https://doi.org/10.33395/owner.v5i1.348</w:t>
      </w:r>
    </w:p>
    <w:p w14:paraId="71213F95"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Harrison, J. S., Hart, M., &amp; Oler, D. K. (2014). Leverage and acquisition performance. </w:t>
      </w:r>
      <w:r w:rsidRPr="0075036B">
        <w:rPr>
          <w:rFonts w:ascii="Cambria" w:hAnsi="Cambria" w:cs="Times New Roman"/>
          <w:i/>
          <w:iCs/>
          <w:noProof/>
          <w:szCs w:val="24"/>
        </w:rPr>
        <w:t>Review of Quantitative Finance and Accounting</w:t>
      </w:r>
      <w:r w:rsidRPr="0075036B">
        <w:rPr>
          <w:rFonts w:ascii="Cambria" w:hAnsi="Cambria" w:cs="Times New Roman"/>
          <w:noProof/>
          <w:szCs w:val="24"/>
        </w:rPr>
        <w:t xml:space="preserve">, </w:t>
      </w:r>
      <w:r w:rsidRPr="0075036B">
        <w:rPr>
          <w:rFonts w:ascii="Cambria" w:hAnsi="Cambria" w:cs="Times New Roman"/>
          <w:i/>
          <w:iCs/>
          <w:noProof/>
          <w:szCs w:val="24"/>
        </w:rPr>
        <w:t>43</w:t>
      </w:r>
      <w:r w:rsidRPr="0075036B">
        <w:rPr>
          <w:rFonts w:ascii="Cambria" w:hAnsi="Cambria" w:cs="Times New Roman"/>
          <w:noProof/>
          <w:szCs w:val="24"/>
        </w:rPr>
        <w:t>(3), 571-603. https://doi.org/10.1007/s11156-013-0385-5</w:t>
      </w:r>
    </w:p>
    <w:p w14:paraId="23912114"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Idx.co.id. (2021). </w:t>
      </w:r>
      <w:r w:rsidRPr="0075036B">
        <w:rPr>
          <w:rFonts w:ascii="Cambria" w:hAnsi="Cambria" w:cs="Times New Roman"/>
          <w:i/>
          <w:iCs/>
          <w:noProof/>
          <w:szCs w:val="24"/>
        </w:rPr>
        <w:t>Indonesia Stock Exchange</w:t>
      </w:r>
      <w:r w:rsidRPr="0075036B">
        <w:rPr>
          <w:rFonts w:ascii="Cambria" w:hAnsi="Cambria" w:cs="Times New Roman"/>
          <w:noProof/>
          <w:szCs w:val="24"/>
        </w:rPr>
        <w:t>.</w:t>
      </w:r>
    </w:p>
    <w:p w14:paraId="11AED01D"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Ilyukhin Evgeny. (2010). </w:t>
      </w:r>
      <w:r w:rsidRPr="0075036B">
        <w:rPr>
          <w:rFonts w:ascii="Cambria" w:hAnsi="Cambria" w:cs="Times New Roman"/>
          <w:i/>
          <w:iCs/>
          <w:noProof/>
          <w:szCs w:val="24"/>
        </w:rPr>
        <w:t>THE IMPACT OF FINANCIAL LEVERAGE ON FIRM PERFORMANCE: EVIDENCE FROM RUSSIA</w:t>
      </w:r>
      <w:r w:rsidRPr="0075036B">
        <w:rPr>
          <w:rFonts w:ascii="Cambria" w:hAnsi="Cambria" w:cs="Times New Roman"/>
          <w:noProof/>
          <w:szCs w:val="24"/>
        </w:rPr>
        <w:t xml:space="preserve">. </w:t>
      </w:r>
      <w:r w:rsidRPr="0075036B">
        <w:rPr>
          <w:rFonts w:ascii="Cambria" w:hAnsi="Cambria" w:cs="Times New Roman"/>
          <w:i/>
          <w:iCs/>
          <w:noProof/>
          <w:szCs w:val="24"/>
        </w:rPr>
        <w:t>9</w:t>
      </w:r>
      <w:r w:rsidRPr="0075036B">
        <w:rPr>
          <w:rFonts w:ascii="Cambria" w:hAnsi="Cambria" w:cs="Times New Roman"/>
          <w:noProof/>
          <w:szCs w:val="24"/>
        </w:rPr>
        <w:t>(2), 24-36.</w:t>
      </w:r>
    </w:p>
    <w:p w14:paraId="7A72A5D3"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Iqbal, U., &amp; Usman, M. (2018). Impact of Financial Leverage on Firm Performance. </w:t>
      </w:r>
      <w:r w:rsidRPr="0075036B">
        <w:rPr>
          <w:rFonts w:ascii="Cambria" w:hAnsi="Cambria" w:cs="Times New Roman"/>
          <w:i/>
          <w:iCs/>
          <w:noProof/>
          <w:szCs w:val="24"/>
        </w:rPr>
        <w:t>SEISENSE Journal of Management</w:t>
      </w:r>
      <w:r w:rsidRPr="0075036B">
        <w:rPr>
          <w:rFonts w:ascii="Cambria" w:hAnsi="Cambria" w:cs="Times New Roman"/>
          <w:noProof/>
          <w:szCs w:val="24"/>
        </w:rPr>
        <w:t xml:space="preserve">, </w:t>
      </w:r>
      <w:r w:rsidRPr="0075036B">
        <w:rPr>
          <w:rFonts w:ascii="Cambria" w:hAnsi="Cambria" w:cs="Times New Roman"/>
          <w:i/>
          <w:iCs/>
          <w:noProof/>
          <w:szCs w:val="24"/>
        </w:rPr>
        <w:t>1</w:t>
      </w:r>
      <w:r w:rsidRPr="0075036B">
        <w:rPr>
          <w:rFonts w:ascii="Cambria" w:hAnsi="Cambria" w:cs="Times New Roman"/>
          <w:noProof/>
          <w:szCs w:val="24"/>
        </w:rPr>
        <w:t>(2), 70-78. https://doi.org/10.33215/sjom.v1i2.13</w:t>
      </w:r>
    </w:p>
    <w:p w14:paraId="1B507FD3"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Kim, M. (Hyo J. (2021). Effects of managerial overconfidence and ability on going-concern decisions and auditor turnover. </w:t>
      </w:r>
      <w:r w:rsidRPr="0075036B">
        <w:rPr>
          <w:rFonts w:ascii="Cambria" w:hAnsi="Cambria" w:cs="Times New Roman"/>
          <w:i/>
          <w:iCs/>
          <w:noProof/>
          <w:szCs w:val="24"/>
        </w:rPr>
        <w:t>Advances in Accounting</w:t>
      </w:r>
      <w:r w:rsidRPr="0075036B">
        <w:rPr>
          <w:rFonts w:ascii="Cambria" w:hAnsi="Cambria" w:cs="Times New Roman"/>
          <w:noProof/>
          <w:szCs w:val="24"/>
        </w:rPr>
        <w:t xml:space="preserve">, </w:t>
      </w:r>
      <w:r w:rsidRPr="0075036B">
        <w:rPr>
          <w:rFonts w:ascii="Cambria" w:hAnsi="Cambria" w:cs="Times New Roman"/>
          <w:i/>
          <w:iCs/>
          <w:noProof/>
          <w:szCs w:val="24"/>
        </w:rPr>
        <w:t>54</w:t>
      </w:r>
      <w:r w:rsidRPr="0075036B">
        <w:rPr>
          <w:rFonts w:ascii="Cambria" w:hAnsi="Cambria" w:cs="Times New Roman"/>
          <w:noProof/>
          <w:szCs w:val="24"/>
        </w:rPr>
        <w:t>(July), 1-15. https://doi.org/10.1016/j.adiac.2021.100549</w:t>
      </w:r>
    </w:p>
    <w:p w14:paraId="7A4471FA"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Omer, T. C., Sharp, N. Y., &amp; Wang, D. (2018). The Impact of Religion on the Going Concern Reporting Decisions of Local Audit Offices. </w:t>
      </w:r>
      <w:r w:rsidRPr="0075036B">
        <w:rPr>
          <w:rFonts w:ascii="Cambria" w:hAnsi="Cambria" w:cs="Times New Roman"/>
          <w:i/>
          <w:iCs/>
          <w:noProof/>
          <w:szCs w:val="24"/>
        </w:rPr>
        <w:t>Journal of Business Ethics</w:t>
      </w:r>
      <w:r w:rsidRPr="0075036B">
        <w:rPr>
          <w:rFonts w:ascii="Cambria" w:hAnsi="Cambria" w:cs="Times New Roman"/>
          <w:noProof/>
          <w:szCs w:val="24"/>
        </w:rPr>
        <w:t xml:space="preserve">, </w:t>
      </w:r>
      <w:r w:rsidRPr="0075036B">
        <w:rPr>
          <w:rFonts w:ascii="Cambria" w:hAnsi="Cambria" w:cs="Times New Roman"/>
          <w:i/>
          <w:iCs/>
          <w:noProof/>
          <w:szCs w:val="24"/>
        </w:rPr>
        <w:t>149</w:t>
      </w:r>
      <w:r w:rsidRPr="0075036B">
        <w:rPr>
          <w:rFonts w:ascii="Cambria" w:hAnsi="Cambria" w:cs="Times New Roman"/>
          <w:noProof/>
          <w:szCs w:val="24"/>
        </w:rPr>
        <w:t>(4), 811-831. https://doi.org/10.1007/s10551-016-3045-6</w:t>
      </w:r>
    </w:p>
    <w:p w14:paraId="2ED58A18"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Ortiz-Martínez, E., Marín-Hernández, S., &amp; Santos-Jaén, J. M. (2023). Sustainability, corporate social responsibility, non-financial reporting and company performance: Relationships and mediating effects in Spanish small and medium sized enterprises. </w:t>
      </w:r>
      <w:r w:rsidRPr="0075036B">
        <w:rPr>
          <w:rFonts w:ascii="Cambria" w:hAnsi="Cambria" w:cs="Times New Roman"/>
          <w:i/>
          <w:iCs/>
          <w:noProof/>
          <w:szCs w:val="24"/>
        </w:rPr>
        <w:t>Sustainable Production and Consumption</w:t>
      </w:r>
      <w:r w:rsidRPr="0075036B">
        <w:rPr>
          <w:rFonts w:ascii="Cambria" w:hAnsi="Cambria" w:cs="Times New Roman"/>
          <w:noProof/>
          <w:szCs w:val="24"/>
        </w:rPr>
        <w:t xml:space="preserve">, </w:t>
      </w:r>
      <w:r w:rsidRPr="0075036B">
        <w:rPr>
          <w:rFonts w:ascii="Cambria" w:hAnsi="Cambria" w:cs="Times New Roman"/>
          <w:i/>
          <w:iCs/>
          <w:noProof/>
          <w:szCs w:val="24"/>
        </w:rPr>
        <w:t>35</w:t>
      </w:r>
      <w:r w:rsidRPr="0075036B">
        <w:rPr>
          <w:rFonts w:ascii="Cambria" w:hAnsi="Cambria" w:cs="Times New Roman"/>
          <w:noProof/>
          <w:szCs w:val="24"/>
        </w:rPr>
        <w:t>, 349-364. https://doi.org/10.1016/j.spc.2022.11.015</w:t>
      </w:r>
    </w:p>
    <w:p w14:paraId="511F8160"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Osadchy, E. A., Akhmetshin, E. M., Amirova, E. F., Bochkareva, T. N., Gazizyanova, Y. Y., &amp; Yumashev, A. V. (2018). Financial statements of a company as an information base for decision-making in a transforming economy. </w:t>
      </w:r>
      <w:r w:rsidRPr="0075036B">
        <w:rPr>
          <w:rFonts w:ascii="Cambria" w:hAnsi="Cambria" w:cs="Times New Roman"/>
          <w:i/>
          <w:iCs/>
          <w:noProof/>
          <w:szCs w:val="24"/>
        </w:rPr>
        <w:t>European Research Studies Journal</w:t>
      </w:r>
      <w:r w:rsidRPr="0075036B">
        <w:rPr>
          <w:rFonts w:ascii="Cambria" w:hAnsi="Cambria" w:cs="Times New Roman"/>
          <w:noProof/>
          <w:szCs w:val="24"/>
        </w:rPr>
        <w:t xml:space="preserve">, </w:t>
      </w:r>
      <w:r w:rsidRPr="0075036B">
        <w:rPr>
          <w:rFonts w:ascii="Cambria" w:hAnsi="Cambria" w:cs="Times New Roman"/>
          <w:i/>
          <w:iCs/>
          <w:noProof/>
          <w:szCs w:val="24"/>
        </w:rPr>
        <w:t>21</w:t>
      </w:r>
      <w:r w:rsidRPr="0075036B">
        <w:rPr>
          <w:rFonts w:ascii="Cambria" w:hAnsi="Cambria" w:cs="Times New Roman"/>
          <w:noProof/>
          <w:szCs w:val="24"/>
        </w:rPr>
        <w:t>(2), 339-350. https://doi.org/10.35808/ersj/1006</w:t>
      </w:r>
    </w:p>
    <w:p w14:paraId="40B324BB"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Prabheesh, K. P., Sasongko, A., &amp; Indawan, F. (2023). Did the policy responses influence credit and business cycle co-movement during the COVID-19 crisis? Evidence from Indonesia. </w:t>
      </w:r>
      <w:r w:rsidRPr="0075036B">
        <w:rPr>
          <w:rFonts w:ascii="Cambria" w:hAnsi="Cambria" w:cs="Times New Roman"/>
          <w:i/>
          <w:iCs/>
          <w:noProof/>
          <w:szCs w:val="24"/>
        </w:rPr>
        <w:t>Economic Analysis and Policy</w:t>
      </w:r>
      <w:r w:rsidRPr="0075036B">
        <w:rPr>
          <w:rFonts w:ascii="Cambria" w:hAnsi="Cambria" w:cs="Times New Roman"/>
          <w:noProof/>
          <w:szCs w:val="24"/>
        </w:rPr>
        <w:t xml:space="preserve">, </w:t>
      </w:r>
      <w:r w:rsidRPr="0075036B">
        <w:rPr>
          <w:rFonts w:ascii="Cambria" w:hAnsi="Cambria" w:cs="Times New Roman"/>
          <w:i/>
          <w:iCs/>
          <w:noProof/>
          <w:szCs w:val="24"/>
        </w:rPr>
        <w:t>78</w:t>
      </w:r>
      <w:r w:rsidRPr="0075036B">
        <w:rPr>
          <w:rFonts w:ascii="Cambria" w:hAnsi="Cambria" w:cs="Times New Roman"/>
          <w:noProof/>
          <w:szCs w:val="24"/>
        </w:rPr>
        <w:t>, 243-255. https://doi.org/10.1016/j.eap.2023.02.007</w:t>
      </w:r>
    </w:p>
    <w:p w14:paraId="3394E024"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Puspaningsih, A. (2021). Drivers of going concern audit opinions: empirical evidence from Indonesia. </w:t>
      </w:r>
      <w:r w:rsidRPr="0075036B">
        <w:rPr>
          <w:rFonts w:ascii="Cambria" w:hAnsi="Cambria" w:cs="Times New Roman"/>
          <w:i/>
          <w:iCs/>
          <w:noProof/>
          <w:szCs w:val="24"/>
        </w:rPr>
        <w:t>Review of Integrative Business and Economics Research</w:t>
      </w:r>
      <w:r w:rsidRPr="0075036B">
        <w:rPr>
          <w:rFonts w:ascii="Cambria" w:hAnsi="Cambria" w:cs="Times New Roman"/>
          <w:noProof/>
          <w:szCs w:val="24"/>
        </w:rPr>
        <w:t xml:space="preserve">, </w:t>
      </w:r>
      <w:r w:rsidRPr="0075036B">
        <w:rPr>
          <w:rFonts w:ascii="Cambria" w:hAnsi="Cambria" w:cs="Times New Roman"/>
          <w:i/>
          <w:iCs/>
          <w:noProof/>
          <w:szCs w:val="24"/>
        </w:rPr>
        <w:t>10</w:t>
      </w:r>
      <w:r w:rsidRPr="0075036B">
        <w:rPr>
          <w:rFonts w:ascii="Cambria" w:hAnsi="Cambria" w:cs="Times New Roman"/>
          <w:noProof/>
          <w:szCs w:val="24"/>
        </w:rPr>
        <w:t>(1), 26-39. https://doi.org/10.1515/hjbpa-2017-0015</w:t>
      </w:r>
    </w:p>
    <w:p w14:paraId="7167A67B"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Putra, W. M., &amp; Purnamawati, R. (2021). The Effect of Audit Tenure, Audit Delay, Company Growth, Profitability, Leverage, and Financial Difficulties on Acceptance of Going Concern Audit Opinions. </w:t>
      </w:r>
      <w:r w:rsidRPr="0075036B">
        <w:rPr>
          <w:rFonts w:ascii="Cambria" w:hAnsi="Cambria" w:cs="Times New Roman"/>
          <w:i/>
          <w:iCs/>
          <w:noProof/>
          <w:szCs w:val="24"/>
        </w:rPr>
        <w:t xml:space="preserve">Proceedings of the 4th International Conference on Sustainable </w:t>
      </w:r>
      <w:r w:rsidRPr="0075036B">
        <w:rPr>
          <w:rFonts w:ascii="Cambria" w:hAnsi="Cambria" w:cs="Times New Roman"/>
          <w:i/>
          <w:iCs/>
          <w:noProof/>
          <w:szCs w:val="24"/>
        </w:rPr>
        <w:lastRenderedPageBreak/>
        <w:t>Innovation 2020-Accounting and Management (ICoSIAMS 2020)</w:t>
      </w:r>
      <w:r w:rsidRPr="0075036B">
        <w:rPr>
          <w:rFonts w:ascii="Cambria" w:hAnsi="Cambria" w:cs="Times New Roman"/>
          <w:noProof/>
          <w:szCs w:val="24"/>
        </w:rPr>
        <w:t xml:space="preserve">, </w:t>
      </w:r>
      <w:r w:rsidRPr="0075036B">
        <w:rPr>
          <w:rFonts w:ascii="Cambria" w:hAnsi="Cambria" w:cs="Times New Roman"/>
          <w:i/>
          <w:iCs/>
          <w:noProof/>
          <w:szCs w:val="24"/>
        </w:rPr>
        <w:t xml:space="preserve">176 </w:t>
      </w:r>
      <w:r w:rsidRPr="0075036B">
        <w:rPr>
          <w:rFonts w:ascii="Cambria" w:hAnsi="Cambria" w:cs="Times New Roman"/>
          <w:noProof/>
          <w:szCs w:val="24"/>
        </w:rPr>
        <w:t>(ICoSIAMS 2020), 199-208. https://doi.org/10.2991/aer.k.210121.027</w:t>
      </w:r>
    </w:p>
    <w:p w14:paraId="306AC1FB"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Ryu, T. G., Clifton, G., &amp; Roh, C.-Y. (2019). The effect of profitability and liquidity on audit opinions: An empirical analysis. </w:t>
      </w:r>
      <w:r w:rsidRPr="0075036B">
        <w:rPr>
          <w:rFonts w:ascii="Cambria" w:hAnsi="Cambria" w:cs="Times New Roman"/>
          <w:i/>
          <w:iCs/>
          <w:noProof/>
          <w:szCs w:val="24"/>
        </w:rPr>
        <w:t>Journal of Finance and Accountancy</w:t>
      </w:r>
      <w:r w:rsidRPr="0075036B">
        <w:rPr>
          <w:rFonts w:ascii="Cambria" w:hAnsi="Cambria" w:cs="Times New Roman"/>
          <w:noProof/>
          <w:szCs w:val="24"/>
        </w:rPr>
        <w:t xml:space="preserve">, </w:t>
      </w:r>
      <w:r w:rsidRPr="0075036B">
        <w:rPr>
          <w:rFonts w:ascii="Cambria" w:hAnsi="Cambria" w:cs="Times New Roman"/>
          <w:i/>
          <w:iCs/>
          <w:noProof/>
          <w:szCs w:val="24"/>
        </w:rPr>
        <w:t>25</w:t>
      </w:r>
      <w:r w:rsidRPr="0075036B">
        <w:rPr>
          <w:rFonts w:ascii="Cambria" w:hAnsi="Cambria" w:cs="Times New Roman"/>
          <w:noProof/>
          <w:szCs w:val="24"/>
        </w:rPr>
        <w:t>, 1-13. http://www.aabri.com/copyright.html</w:t>
      </w:r>
    </w:p>
    <w:p w14:paraId="0AA0996C"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Secondary Analysis Research. (2019). </w:t>
      </w:r>
      <w:r w:rsidRPr="0075036B">
        <w:rPr>
          <w:rFonts w:ascii="Cambria" w:hAnsi="Cambria" w:cs="Times New Roman"/>
          <w:i/>
          <w:iCs/>
          <w:noProof/>
          <w:szCs w:val="24"/>
        </w:rPr>
        <w:t>Journal of the Advanced Practitioner in Oncology</w:t>
      </w:r>
      <w:r w:rsidRPr="0075036B">
        <w:rPr>
          <w:rFonts w:ascii="Cambria" w:hAnsi="Cambria" w:cs="Times New Roman"/>
          <w:noProof/>
          <w:szCs w:val="24"/>
        </w:rPr>
        <w:t xml:space="preserve">, </w:t>
      </w:r>
      <w:r w:rsidRPr="0075036B">
        <w:rPr>
          <w:rFonts w:ascii="Cambria" w:hAnsi="Cambria" w:cs="Times New Roman"/>
          <w:i/>
          <w:iCs/>
          <w:noProof/>
          <w:szCs w:val="24"/>
        </w:rPr>
        <w:t>10</w:t>
      </w:r>
      <w:r w:rsidRPr="0075036B">
        <w:rPr>
          <w:rFonts w:ascii="Cambria" w:hAnsi="Cambria" w:cs="Times New Roman"/>
          <w:noProof/>
          <w:szCs w:val="24"/>
        </w:rPr>
        <w:t>(4), 395-400. https://doi.org/10.6004/jadpro.2019.10.4.7</w:t>
      </w:r>
    </w:p>
    <w:p w14:paraId="4E2A728A"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Simamora, R. A., &amp; Hendarjatno, H. (2019). The effects of audit client tenure, audit lag, opinion shopping, liquidity ratio, and leverage to the going concern audit opinion. </w:t>
      </w:r>
      <w:r w:rsidRPr="0075036B">
        <w:rPr>
          <w:rFonts w:ascii="Cambria" w:hAnsi="Cambria" w:cs="Times New Roman"/>
          <w:i/>
          <w:iCs/>
          <w:noProof/>
          <w:szCs w:val="24"/>
        </w:rPr>
        <w:t>Asian Journal of Accounting Research</w:t>
      </w:r>
      <w:r w:rsidRPr="0075036B">
        <w:rPr>
          <w:rFonts w:ascii="Cambria" w:hAnsi="Cambria" w:cs="Times New Roman"/>
          <w:noProof/>
          <w:szCs w:val="24"/>
        </w:rPr>
        <w:t xml:space="preserve">, </w:t>
      </w:r>
      <w:r w:rsidRPr="0075036B">
        <w:rPr>
          <w:rFonts w:ascii="Cambria" w:hAnsi="Cambria" w:cs="Times New Roman"/>
          <w:i/>
          <w:iCs/>
          <w:noProof/>
          <w:szCs w:val="24"/>
        </w:rPr>
        <w:t>4</w:t>
      </w:r>
      <w:r w:rsidRPr="0075036B">
        <w:rPr>
          <w:rFonts w:ascii="Cambria" w:hAnsi="Cambria" w:cs="Times New Roman"/>
          <w:noProof/>
          <w:szCs w:val="24"/>
        </w:rPr>
        <w:t>(1), 145-156. https://doi.org/10.1108/AJAR-05-2019-0038</w:t>
      </w:r>
    </w:p>
    <w:p w14:paraId="4D78FBB6"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Stice, D., Stice, E. K., &amp; Stice, J. D. (2017). Cash Flow Problems Can Kill Profitable Companies. </w:t>
      </w:r>
      <w:r w:rsidRPr="0075036B">
        <w:rPr>
          <w:rFonts w:ascii="Cambria" w:hAnsi="Cambria" w:cs="Times New Roman"/>
          <w:i/>
          <w:iCs/>
          <w:noProof/>
          <w:szCs w:val="24"/>
        </w:rPr>
        <w:t>International Journal of Business Administration</w:t>
      </w:r>
      <w:r w:rsidRPr="0075036B">
        <w:rPr>
          <w:rFonts w:ascii="Cambria" w:hAnsi="Cambria" w:cs="Times New Roman"/>
          <w:noProof/>
          <w:szCs w:val="24"/>
        </w:rPr>
        <w:t xml:space="preserve">, </w:t>
      </w:r>
      <w:r w:rsidRPr="0075036B">
        <w:rPr>
          <w:rFonts w:ascii="Cambria" w:hAnsi="Cambria" w:cs="Times New Roman"/>
          <w:i/>
          <w:iCs/>
          <w:noProof/>
          <w:szCs w:val="24"/>
        </w:rPr>
        <w:t>8</w:t>
      </w:r>
      <w:r w:rsidRPr="0075036B">
        <w:rPr>
          <w:rFonts w:ascii="Cambria" w:hAnsi="Cambria" w:cs="Times New Roman"/>
          <w:noProof/>
          <w:szCs w:val="24"/>
        </w:rPr>
        <w:t>(6), 46-54. https://doi.org/10.5430/ijba.v8n6p46</w:t>
      </w:r>
    </w:p>
    <w:p w14:paraId="355D5E51"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Sun, Y., Zou, Y., Jiang, J., &amp; Yang, Y. (2023). Climate change risks and financial performance of the electric power sector: Evidence from listed companies in China. </w:t>
      </w:r>
      <w:r w:rsidRPr="0075036B">
        <w:rPr>
          <w:rFonts w:ascii="Cambria" w:hAnsi="Cambria" w:cs="Times New Roman"/>
          <w:i/>
          <w:iCs/>
          <w:noProof/>
          <w:szCs w:val="24"/>
        </w:rPr>
        <w:t>Climate Risk Management</w:t>
      </w:r>
      <w:r w:rsidRPr="0075036B">
        <w:rPr>
          <w:rFonts w:ascii="Cambria" w:hAnsi="Cambria" w:cs="Times New Roman"/>
          <w:noProof/>
          <w:szCs w:val="24"/>
        </w:rPr>
        <w:t xml:space="preserve">, </w:t>
      </w:r>
      <w:r w:rsidRPr="0075036B">
        <w:rPr>
          <w:rFonts w:ascii="Cambria" w:hAnsi="Cambria" w:cs="Times New Roman"/>
          <w:i/>
          <w:iCs/>
          <w:noProof/>
          <w:szCs w:val="24"/>
        </w:rPr>
        <w:t>39</w:t>
      </w:r>
      <w:r w:rsidRPr="0075036B">
        <w:rPr>
          <w:rFonts w:ascii="Cambria" w:hAnsi="Cambria" w:cs="Times New Roman"/>
          <w:noProof/>
          <w:szCs w:val="24"/>
        </w:rPr>
        <w:t>, 1-15. https://doi.org/10.1016/j.crm.2022.100474</w:t>
      </w:r>
    </w:p>
    <w:p w14:paraId="59F8242A"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Suroto, L. R., &amp; Kusuma, H. (2017). Drivers of going concern audit opinions: empirical evidence from Indonesia. </w:t>
      </w:r>
      <w:r w:rsidRPr="0075036B">
        <w:rPr>
          <w:rFonts w:ascii="Cambria" w:hAnsi="Cambria" w:cs="Times New Roman"/>
          <w:i/>
          <w:iCs/>
          <w:noProof/>
          <w:szCs w:val="24"/>
        </w:rPr>
        <w:t>HOLISTICA - Journal of Business and Public Administration</w:t>
      </w:r>
      <w:r w:rsidRPr="0075036B">
        <w:rPr>
          <w:rFonts w:ascii="Cambria" w:hAnsi="Cambria" w:cs="Times New Roman"/>
          <w:noProof/>
          <w:szCs w:val="24"/>
        </w:rPr>
        <w:t xml:space="preserve">, </w:t>
      </w:r>
      <w:r w:rsidRPr="0075036B">
        <w:rPr>
          <w:rFonts w:ascii="Cambria" w:hAnsi="Cambria" w:cs="Times New Roman"/>
          <w:i/>
          <w:iCs/>
          <w:noProof/>
          <w:szCs w:val="24"/>
        </w:rPr>
        <w:t>8</w:t>
      </w:r>
      <w:r w:rsidRPr="0075036B">
        <w:rPr>
          <w:rFonts w:ascii="Cambria" w:hAnsi="Cambria" w:cs="Times New Roman"/>
          <w:noProof/>
          <w:szCs w:val="24"/>
        </w:rPr>
        <w:t>(2), 79-90. https://doi.org/10.1515/hjbpa-2017-0015</w:t>
      </w:r>
    </w:p>
    <w:p w14:paraId="1F9037D3"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Suryani, I., Yuniarti, R., &amp; Syahrudin, M. (2023). Effect of Financial Distress, Liquidity, and Leverage on the Audit Opinion Going Concern on Companies Listed on IDXESGL During the Pandemic Period (2019-2021). </w:t>
      </w:r>
      <w:r w:rsidRPr="0075036B">
        <w:rPr>
          <w:rFonts w:ascii="Cambria" w:hAnsi="Cambria" w:cs="Times New Roman"/>
          <w:i/>
          <w:iCs/>
          <w:noProof/>
          <w:szCs w:val="24"/>
        </w:rPr>
        <w:t>International Journal of Business, Economics, and Social Development</w:t>
      </w:r>
      <w:r w:rsidRPr="0075036B">
        <w:rPr>
          <w:rFonts w:ascii="Cambria" w:hAnsi="Cambria" w:cs="Times New Roman"/>
          <w:noProof/>
          <w:szCs w:val="24"/>
        </w:rPr>
        <w:t xml:space="preserve">, </w:t>
      </w:r>
      <w:r w:rsidRPr="0075036B">
        <w:rPr>
          <w:rFonts w:ascii="Cambria" w:hAnsi="Cambria" w:cs="Times New Roman"/>
          <w:i/>
          <w:iCs/>
          <w:noProof/>
          <w:szCs w:val="24"/>
        </w:rPr>
        <w:t>4</w:t>
      </w:r>
      <w:r w:rsidRPr="0075036B">
        <w:rPr>
          <w:rFonts w:ascii="Cambria" w:hAnsi="Cambria" w:cs="Times New Roman"/>
          <w:noProof/>
          <w:szCs w:val="24"/>
        </w:rPr>
        <w:t>(1), 1-11. https://doi.org/10.46336/ijbesd.v4i1.379</w:t>
      </w:r>
    </w:p>
    <w:p w14:paraId="7ABA67F3" w14:textId="77777777" w:rsidR="00F04CEF" w:rsidRDefault="000F4100">
      <w:pPr>
        <w:widowControl w:val="0"/>
        <w:autoSpaceDE w:val="0"/>
        <w:autoSpaceDN w:val="0"/>
        <w:adjustRightInd w:val="0"/>
        <w:spacing w:after="0" w:line="240" w:lineRule="auto"/>
        <w:ind w:left="480" w:hanging="480"/>
        <w:jc w:val="both"/>
        <w:rPr>
          <w:rFonts w:ascii="Cambria" w:hAnsi="Cambria" w:cs="Times New Roman"/>
          <w:noProof/>
          <w:szCs w:val="24"/>
        </w:rPr>
      </w:pPr>
      <w:r w:rsidRPr="0075036B">
        <w:rPr>
          <w:rFonts w:ascii="Cambria" w:hAnsi="Cambria" w:cs="Times New Roman"/>
          <w:noProof/>
          <w:szCs w:val="24"/>
        </w:rPr>
        <w:t xml:space="preserve">Winarta, W., &amp; Kuntadi, C. (2022). Literature review: the Effect of Company Size, Company Growth, and Company Liquidity on Going Concern Audit Opinion. </w:t>
      </w:r>
      <w:r w:rsidRPr="0075036B">
        <w:rPr>
          <w:rFonts w:ascii="Cambria" w:hAnsi="Cambria" w:cs="Times New Roman"/>
          <w:i/>
          <w:iCs/>
          <w:noProof/>
          <w:szCs w:val="24"/>
        </w:rPr>
        <w:t>Dynasty International Journal of Economics, Finance &amp; Accounting</w:t>
      </w:r>
      <w:r w:rsidRPr="0075036B">
        <w:rPr>
          <w:rFonts w:ascii="Cambria" w:hAnsi="Cambria" w:cs="Times New Roman"/>
          <w:noProof/>
          <w:szCs w:val="24"/>
        </w:rPr>
        <w:t xml:space="preserve">, </w:t>
      </w:r>
      <w:r w:rsidRPr="0075036B">
        <w:rPr>
          <w:rFonts w:ascii="Cambria" w:hAnsi="Cambria" w:cs="Times New Roman"/>
          <w:i/>
          <w:iCs/>
          <w:noProof/>
          <w:szCs w:val="24"/>
        </w:rPr>
        <w:t>3</w:t>
      </w:r>
      <w:r w:rsidRPr="0075036B">
        <w:rPr>
          <w:rFonts w:ascii="Cambria" w:hAnsi="Cambria" w:cs="Times New Roman"/>
          <w:noProof/>
          <w:szCs w:val="24"/>
        </w:rPr>
        <w:t>(4), 430-437. https://doi.org/10.38035/dijefa.v3i4.1438</w:t>
      </w:r>
    </w:p>
    <w:p w14:paraId="5C32CE5C" w14:textId="77777777" w:rsidR="00F04CEF" w:rsidRDefault="000F4100">
      <w:pPr>
        <w:widowControl w:val="0"/>
        <w:autoSpaceDE w:val="0"/>
        <w:autoSpaceDN w:val="0"/>
        <w:adjustRightInd w:val="0"/>
        <w:spacing w:after="0" w:line="240" w:lineRule="auto"/>
        <w:ind w:left="480" w:hanging="480"/>
        <w:jc w:val="both"/>
        <w:rPr>
          <w:rFonts w:ascii="Cambria" w:hAnsi="Cambria"/>
          <w:noProof/>
        </w:rPr>
      </w:pPr>
      <w:r w:rsidRPr="0075036B">
        <w:rPr>
          <w:rFonts w:ascii="Cambria" w:hAnsi="Cambria" w:cs="Times New Roman"/>
          <w:noProof/>
          <w:szCs w:val="24"/>
        </w:rPr>
        <w:t xml:space="preserve">Yanti, N. K. S., Datrini, L. K., &amp; Larasdiputra, G. D. (2021). </w:t>
      </w:r>
      <w:r w:rsidR="00FC2D97" w:rsidRPr="0075036B">
        <w:rPr>
          <w:rFonts w:ascii="Cambria" w:hAnsi="Cambria" w:cs="Times New Roman"/>
          <w:noProof/>
          <w:szCs w:val="24"/>
        </w:rPr>
        <w:t>Pengaruh Profitabilitas, Ukuran Perusahaan, Pertumbuhan Perusahaan Dan Leverage Terhadap Penerimaan Opini Audit Going Concern (Pada Perusahaan Manufaktur Sektor Industri Barang Konsumsi di BEI Periode 2017-2019)</w:t>
      </w:r>
      <w:r w:rsidR="00FC2D97">
        <w:rPr>
          <w:rFonts w:ascii="Cambria" w:hAnsi="Cambria" w:cs="Times New Roman"/>
          <w:noProof/>
          <w:szCs w:val="24"/>
        </w:rPr>
        <w:t xml:space="preserve"> [</w:t>
      </w:r>
      <w:r w:rsidRPr="0075036B">
        <w:rPr>
          <w:rFonts w:ascii="Cambria" w:hAnsi="Cambria" w:cs="Times New Roman"/>
          <w:noProof/>
          <w:szCs w:val="24"/>
        </w:rPr>
        <w:t>The Effect of Profitability, Company Size, Company Growth and Leverage on Receiving Going Concern Audit Opinions (In Manufacturing Companies in the Consumer Goods Industry Sector on the IDX for the 2017-2019 Period)</w:t>
      </w:r>
      <w:r w:rsidR="00FC2D97">
        <w:rPr>
          <w:rFonts w:ascii="Cambria" w:hAnsi="Cambria" w:cs="Times New Roman"/>
          <w:noProof/>
          <w:szCs w:val="24"/>
        </w:rPr>
        <w:t>]</w:t>
      </w:r>
      <w:r w:rsidRPr="0075036B">
        <w:rPr>
          <w:rFonts w:ascii="Cambria" w:hAnsi="Cambria" w:cs="Times New Roman"/>
          <w:noProof/>
          <w:szCs w:val="24"/>
        </w:rPr>
        <w:t xml:space="preserve">. </w:t>
      </w:r>
      <w:r w:rsidRPr="0075036B">
        <w:rPr>
          <w:rFonts w:ascii="Cambria" w:hAnsi="Cambria" w:cs="Times New Roman"/>
          <w:i/>
          <w:iCs/>
          <w:noProof/>
          <w:szCs w:val="24"/>
        </w:rPr>
        <w:t>Warmadewa Journal of Accounting Research</w:t>
      </w:r>
      <w:r w:rsidRPr="0075036B">
        <w:rPr>
          <w:rFonts w:ascii="Cambria" w:hAnsi="Cambria" w:cs="Times New Roman"/>
          <w:noProof/>
          <w:szCs w:val="24"/>
        </w:rPr>
        <w:t xml:space="preserve">, </w:t>
      </w:r>
      <w:r w:rsidRPr="0075036B">
        <w:rPr>
          <w:rFonts w:ascii="Cambria" w:hAnsi="Cambria" w:cs="Times New Roman"/>
          <w:i/>
          <w:iCs/>
          <w:noProof/>
          <w:szCs w:val="24"/>
        </w:rPr>
        <w:t>2</w:t>
      </w:r>
      <w:r w:rsidRPr="0075036B">
        <w:rPr>
          <w:rFonts w:ascii="Cambria" w:hAnsi="Cambria" w:cs="Times New Roman"/>
          <w:noProof/>
          <w:szCs w:val="24"/>
        </w:rPr>
        <w:t>(2), 70-74. https://doi.org/10.22225/jraw.2.2.3364.70-74</w:t>
      </w:r>
    </w:p>
    <w:p w14:paraId="24238DA5" w14:textId="77777777" w:rsidR="0075036B" w:rsidRDefault="000F4100" w:rsidP="0075036B">
      <w:pPr>
        <w:spacing w:after="0" w:line="240" w:lineRule="auto"/>
        <w:jc w:val="both"/>
        <w:rPr>
          <w:rFonts w:ascii="Cambria" w:hAnsi="Cambria" w:cs="Cambria"/>
          <w:b/>
          <w:color w:val="000000"/>
        </w:rPr>
      </w:pPr>
      <w:r>
        <w:rPr>
          <w:rFonts w:ascii="Cambria" w:hAnsi="Cambria" w:cs="Cambria"/>
          <w:b/>
          <w:color w:val="000000"/>
        </w:rPr>
        <w:fldChar w:fldCharType="end"/>
      </w:r>
    </w:p>
    <w:sectPr w:rsidR="0075036B" w:rsidSect="00E8624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268" w:right="1559" w:bottom="1985" w:left="1559" w:header="1134" w:footer="1134" w:gutter="0"/>
      <w:pgNumType w:start="25"/>
      <w:cols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2EA6C" w14:textId="77777777" w:rsidR="00833C42" w:rsidRDefault="00833C42">
      <w:pPr>
        <w:spacing w:after="0" w:line="240" w:lineRule="auto"/>
      </w:pPr>
      <w:r>
        <w:separator/>
      </w:r>
    </w:p>
  </w:endnote>
  <w:endnote w:type="continuationSeparator" w:id="0">
    <w:p w14:paraId="79098013" w14:textId="77777777" w:rsidR="00833C42" w:rsidRDefault="0083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font>
  <w:font w:name="Camb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ani">
    <w:altName w:val="Gadug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CD965" w14:textId="77777777" w:rsidR="00CE13B2" w:rsidRDefault="00CE13B2">
    <w:pPr>
      <w:pStyle w:val="Footer"/>
      <w:framePr w:wrap="auto" w:vAnchor="text" w:hAnchor="margin" w:xAlign="outside" w:y="1"/>
      <w:spacing w:before="120" w:after="0" w:line="240" w:lineRule="auto"/>
      <w:rPr>
        <w:rStyle w:val="PageNumber"/>
      </w:rPr>
    </w:pPr>
    <w:r w:rsidRPr="00B505D8">
      <w:rPr>
        <w:rStyle w:val="PageNumber"/>
      </w:rPr>
      <w:fldChar w:fldCharType="begin"/>
    </w:r>
    <w:r w:rsidRPr="00B505D8">
      <w:rPr>
        <w:rStyle w:val="PageNumber"/>
      </w:rPr>
      <w:instrText xml:space="preserve">PAGE  </w:instrText>
    </w:r>
    <w:r w:rsidRPr="00B505D8">
      <w:rPr>
        <w:rStyle w:val="PageNumber"/>
      </w:rPr>
      <w:fldChar w:fldCharType="separate"/>
    </w:r>
    <w:r w:rsidR="00CD4C2D">
      <w:rPr>
        <w:rStyle w:val="PageNumber"/>
        <w:noProof/>
      </w:rPr>
      <w:t>32</w:t>
    </w:r>
    <w:r w:rsidRPr="00B505D8">
      <w:rPr>
        <w:rStyle w:val="PageNumber"/>
      </w:rPr>
      <w:fldChar w:fldCharType="end"/>
    </w:r>
    <w:r>
      <w:rPr>
        <w:rStyle w:val="PageNumber"/>
      </w:rPr>
      <w:t xml:space="preserve"> │</w:t>
    </w:r>
  </w:p>
  <w:p w14:paraId="7D2CA7DE" w14:textId="77777777" w:rsidR="00CE13B2" w:rsidRDefault="00CE13B2">
    <w:pPr>
      <w:pStyle w:val="Footer"/>
      <w:pBdr>
        <w:top w:val="single" w:sz="8" w:space="6" w:color="auto"/>
      </w:pBdr>
      <w:spacing w:after="0" w:line="240" w:lineRule="auto"/>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 xml:space="preserve">ISSN </w:t>
    </w:r>
    <w:r>
      <w:rPr>
        <w:rFonts w:ascii="Cambria" w:hAnsi="Cambria" w:cs="Vani"/>
        <w:spacing w:val="-6"/>
        <w:sz w:val="20"/>
        <w:szCs w:val="20"/>
      </w:rPr>
      <w:t xml:space="preserve">2715-8071 </w:t>
    </w:r>
    <w:r w:rsidRPr="00E8624E">
      <w:rPr>
        <w:rFonts w:ascii="Cambria" w:hAnsi="Cambria" w:cs="Vani"/>
        <w:spacing w:val="-6"/>
        <w:sz w:val="20"/>
        <w:szCs w:val="20"/>
      </w:rPr>
      <w:t>(online)</w:t>
    </w:r>
  </w:p>
  <w:p w14:paraId="3530E7FC" w14:textId="77777777" w:rsidR="00CE13B2" w:rsidRPr="00E8624E" w:rsidRDefault="00CE13B2" w:rsidP="00677579">
    <w:pPr>
      <w:spacing w:after="0" w:line="240" w:lineRule="auto"/>
      <w:jc w:val="right"/>
      <w:rPr>
        <w:rFonts w:ascii="Cambria" w:hAnsi="Cambria"/>
        <w:spacing w:val="-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F2243" w14:textId="77777777" w:rsidR="00CE13B2" w:rsidRDefault="00CE13B2">
    <w:pPr>
      <w:pStyle w:val="Footer"/>
      <w:framePr w:wrap="auto" w:vAnchor="text" w:hAnchor="margin" w:xAlign="outside" w:y="1"/>
      <w:spacing w:before="120" w:after="0" w:line="240" w:lineRule="auto"/>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CD4C2D">
      <w:rPr>
        <w:rStyle w:val="PageNumber"/>
        <w:noProof/>
      </w:rPr>
      <w:t>31</w:t>
    </w:r>
    <w:r>
      <w:rPr>
        <w:rStyle w:val="PageNumber"/>
      </w:rPr>
      <w:fldChar w:fldCharType="end"/>
    </w:r>
  </w:p>
  <w:p w14:paraId="0672295A" w14:textId="77777777" w:rsidR="00CE13B2" w:rsidRDefault="00CE13B2">
    <w:pPr>
      <w:pStyle w:val="Footer"/>
      <w:pBdr>
        <w:top w:val="single" w:sz="8" w:space="6" w:color="auto"/>
      </w:pBdr>
      <w:spacing w:after="0" w:line="240" w:lineRule="auto"/>
      <w:rPr>
        <w:rFonts w:ascii="Cambria" w:hAnsi="Cambria" w:cs="Vani"/>
        <w:spacing w:val="-6"/>
        <w:sz w:val="20"/>
        <w:szCs w:val="20"/>
      </w:rPr>
    </w:pPr>
    <w:r w:rsidRPr="00E8624E">
      <w:rPr>
        <w:rFonts w:ascii="Cambria" w:hAnsi="Cambria"/>
        <w:spacing w:val="-6"/>
        <w:sz w:val="20"/>
        <w:szCs w:val="20"/>
      </w:rPr>
      <w:t xml:space="preserve">ISSN </w:t>
    </w:r>
    <w:r>
      <w:rPr>
        <w:rFonts w:ascii="Cambria" w:hAnsi="Cambria"/>
        <w:spacing w:val="-6"/>
        <w:sz w:val="20"/>
        <w:szCs w:val="20"/>
      </w:rPr>
      <w:t xml:space="preserve">2715-8071 </w:t>
    </w:r>
    <w:r w:rsidRPr="00E8624E">
      <w:rPr>
        <w:rFonts w:ascii="Cambria" w:hAnsi="Cambria"/>
        <w:spacing w:val="-6"/>
        <w:sz w:val="20"/>
        <w:szCs w:val="20"/>
      </w:rPr>
      <w:t>(online)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723B6" w14:textId="77777777" w:rsidR="00CE13B2" w:rsidRDefault="00CE13B2">
    <w:pPr>
      <w:pStyle w:val="BodyText"/>
      <w:spacing w:before="20"/>
      <w:ind w:left="20"/>
      <w:rPr>
        <w:rFonts w:ascii="Cambria" w:hAnsi="Cambria" w:cs="Open Sans"/>
        <w:b/>
        <w:bCs/>
        <w:color w:val="333333"/>
        <w:sz w:val="20"/>
        <w:szCs w:val="20"/>
        <w:shd w:val="clear" w:color="auto" w:fill="FFFFFF"/>
      </w:rPr>
    </w:pPr>
    <w:r w:rsidRPr="00D2701C">
      <w:rPr>
        <w:rFonts w:ascii="Cambria" w:hAnsi="Cambria" w:cs="Open Sans"/>
        <w:color w:val="333333"/>
        <w:sz w:val="20"/>
        <w:szCs w:val="20"/>
        <w:shd w:val="clear" w:color="auto" w:fill="FFFFFF"/>
      </w:rPr>
      <w:t xml:space="preserve">* Copyright (c) 2020 </w:t>
    </w:r>
    <w:r>
      <w:rPr>
        <w:rFonts w:ascii="Cambria" w:hAnsi="Cambria"/>
        <w:b/>
        <w:bCs/>
        <w:sz w:val="20"/>
        <w:szCs w:val="20"/>
      </w:rPr>
      <w:t>Lira Arlia Meilani</w:t>
    </w:r>
  </w:p>
  <w:p w14:paraId="44A1B4B7" w14:textId="77777777" w:rsidR="00CE13B2" w:rsidRDefault="00CE13B2">
    <w:pPr>
      <w:pStyle w:val="FootnoteText"/>
      <w:rPr>
        <w:rFonts w:ascii="Cambria" w:hAnsi="Cambria"/>
        <w:bCs/>
      </w:rPr>
    </w:pPr>
    <w:r w:rsidRPr="00D2701C">
      <w:rPr>
        <w:rFonts w:ascii="Cambria" w:hAnsi="Cambria" w:cs="Open Sans"/>
        <w:color w:val="333333"/>
        <w:shd w:val="clear" w:color="auto" w:fill="FFFFFF"/>
      </w:rPr>
      <w:t xml:space="preserve">This work is licensed under a </w:t>
    </w:r>
    <w:hyperlink r:id="rId1" w:history="1">
      <w:r w:rsidRPr="00D2701C">
        <w:rPr>
          <w:rStyle w:val="Hyperlink"/>
          <w:rFonts w:ascii="Cambria" w:hAnsi="Cambria" w:cs="Open Sans"/>
          <w:color w:val="0D355E"/>
          <w:shd w:val="clear" w:color="auto" w:fill="FFFFFF"/>
        </w:rPr>
        <w:t>Creative Commons Attribution-ShareAlike 4.0 International License</w:t>
      </w:r>
    </w:hyperlink>
    <w:r w:rsidRPr="00D2701C">
      <w:rPr>
        <w:rFonts w:ascii="Cambria" w:hAnsi="Cambria" w:cs="Open Sans"/>
        <w:color w:val="333333"/>
        <w:shd w:val="clear" w:color="auto" w:fill="FFFFFF"/>
      </w:rPr>
      <w:t>.</w:t>
    </w:r>
    <w:r w:rsidRPr="00D2701C">
      <w:rPr>
        <w:rFonts w:ascii="Cambria" w:hAnsi="Cambria" w:cs="Vani"/>
        <w:spacing w:val="-6"/>
        <w:lang w:val="id-ID"/>
      </w:rPr>
      <w:tab/>
    </w:r>
    <w:r w:rsidRPr="00D2701C">
      <w:rPr>
        <w:rFonts w:ascii="Cambria" w:hAnsi="Cambria" w:cs="Vani"/>
        <w:spacing w:val="-6"/>
        <w:lang w:val="id-ID"/>
      </w:rPr>
      <w:tab/>
    </w:r>
    <w:r w:rsidRPr="00D2701C">
      <w:rPr>
        <w:rFonts w:ascii="Cambria" w:hAnsi="Cambria" w:cs="Vani"/>
        <w:spacing w:val="-6"/>
        <w:lang w:val="id-ID"/>
      </w:rPr>
      <w:tab/>
      <w:t xml:space="preserve">            </w:t>
    </w:r>
    <w:r w:rsidRPr="00D2701C">
      <w:rPr>
        <w:rFonts w:ascii="Cambria" w:hAnsi="Cambria" w:cs="Vani"/>
        <w:spacing w:val="-6"/>
        <w:lang w:val="id-ID"/>
      </w:rPr>
      <w:tab/>
    </w:r>
    <w:r w:rsidRPr="00D2701C">
      <w:rPr>
        <w:rFonts w:ascii="Cambria" w:hAnsi="Cambria" w:cs="Vani"/>
        <w:spacing w:val="-6"/>
        <w:lang w:val="id-ID"/>
      </w:rPr>
      <w:tab/>
    </w:r>
  </w:p>
  <w:p w14:paraId="0A9EA1C8" w14:textId="77777777" w:rsidR="00CE13B2" w:rsidRDefault="00CE13B2">
    <w:pPr>
      <w:pStyle w:val="FootnoteText"/>
    </w:pPr>
    <w:r>
      <w:rPr>
        <w:rFonts w:ascii="Cambria" w:hAnsi="Cambria"/>
      </w:rPr>
      <w:t>Received</w:t>
    </w:r>
    <w:r w:rsidRPr="00D2701C">
      <w:rPr>
        <w:rFonts w:ascii="Cambria" w:hAnsi="Cambria"/>
      </w:rPr>
      <w:t xml:space="preserve">: </w:t>
    </w:r>
    <w:r>
      <w:rPr>
        <w:rFonts w:ascii="Cambria" w:hAnsi="Cambria"/>
      </w:rPr>
      <w:t>April 7, 2020</w:t>
    </w:r>
    <w:r w:rsidRPr="00D2701C">
      <w:rPr>
        <w:rFonts w:ascii="Cambria" w:hAnsi="Cambria"/>
      </w:rPr>
      <w:t xml:space="preserve">; </w:t>
    </w:r>
    <w:r>
      <w:rPr>
        <w:rFonts w:ascii="Cambria" w:hAnsi="Cambria"/>
      </w:rPr>
      <w:t>Revised</w:t>
    </w:r>
    <w:r w:rsidRPr="00D2701C">
      <w:rPr>
        <w:rFonts w:ascii="Cambria" w:hAnsi="Cambria"/>
      </w:rPr>
      <w:t xml:space="preserve">: </w:t>
    </w:r>
    <w:r>
      <w:rPr>
        <w:rFonts w:ascii="Cambria" w:hAnsi="Cambria"/>
      </w:rPr>
      <w:t>April 26, 2020</w:t>
    </w:r>
    <w:r w:rsidRPr="00D2701C">
      <w:rPr>
        <w:rFonts w:ascii="Cambria" w:hAnsi="Cambria"/>
      </w:rPr>
      <w:t xml:space="preserve">; </w:t>
    </w:r>
    <w:r>
      <w:rPr>
        <w:rFonts w:ascii="Cambria" w:hAnsi="Cambria"/>
      </w:rPr>
      <w:t>Accepted: April 29, 2020</w:t>
    </w:r>
    <w:r w:rsidRPr="00D2701C">
      <w:rPr>
        <w:rFonts w:ascii="Cambria" w:hAnsi="Cambria"/>
      </w:rPr>
      <w:tab/>
    </w:r>
    <w:r w:rsidRPr="009E3B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FB9A5" w14:textId="77777777" w:rsidR="00833C42" w:rsidRDefault="00833C42">
      <w:pPr>
        <w:spacing w:after="0" w:line="240" w:lineRule="auto"/>
      </w:pPr>
      <w:r>
        <w:separator/>
      </w:r>
    </w:p>
  </w:footnote>
  <w:footnote w:type="continuationSeparator" w:id="0">
    <w:p w14:paraId="6F6E48FF" w14:textId="77777777" w:rsidR="00833C42" w:rsidRDefault="00833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038ED" w14:textId="77777777" w:rsidR="00CE13B2" w:rsidRDefault="00CE13B2">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Pr>
        <w:rFonts w:ascii="Cambria" w:hAnsi="Cambria"/>
        <w:b/>
        <w:bCs/>
        <w:spacing w:val="-6"/>
        <w:sz w:val="20"/>
        <w:szCs w:val="20"/>
        <w:lang w:val="en-ID"/>
      </w:rPr>
      <w:t>Sosial</w:t>
    </w:r>
    <w:r w:rsidRPr="003903EB">
      <w:rPr>
        <w:rFonts w:ascii="Cambria" w:hAnsi="Cambria"/>
        <w:b/>
        <w:bCs/>
        <w:spacing w:val="-6"/>
        <w:sz w:val="20"/>
        <w:szCs w:val="20"/>
        <w:lang w:val="en-ID"/>
      </w:rPr>
      <w:t xml:space="preserve">, Vol. </w:t>
    </w:r>
    <w:r>
      <w:rPr>
        <w:rFonts w:ascii="Cambria" w:hAnsi="Cambria"/>
        <w:b/>
        <w:bCs/>
        <w:spacing w:val="-6"/>
        <w:sz w:val="20"/>
        <w:szCs w:val="20"/>
        <w:lang w:val="en-ID"/>
      </w:rPr>
      <w:t xml:space="preserve">2 </w:t>
    </w:r>
    <w:r w:rsidRPr="003903EB">
      <w:rPr>
        <w:rFonts w:ascii="Cambria" w:hAnsi="Cambria"/>
        <w:b/>
        <w:bCs/>
        <w:spacing w:val="-6"/>
        <w:sz w:val="20"/>
        <w:szCs w:val="20"/>
        <w:lang w:val="en-ID"/>
      </w:rPr>
      <w:t xml:space="preserve">No. 1: </w:t>
    </w:r>
    <w:r>
      <w:rPr>
        <w:rFonts w:ascii="Cambria" w:hAnsi="Cambria"/>
        <w:b/>
        <w:bCs/>
        <w:spacing w:val="-6"/>
        <w:sz w:val="20"/>
        <w:szCs w:val="20"/>
        <w:lang w:val="en-ID"/>
      </w:rPr>
      <w:t>25-30</w:t>
    </w:r>
  </w:p>
  <w:p w14:paraId="6734BF87" w14:textId="77777777" w:rsidR="00CE13B2" w:rsidRDefault="00CE13B2">
    <w:pPr>
      <w:pStyle w:val="Header"/>
      <w:pBdr>
        <w:bottom w:val="single" w:sz="8" w:space="6" w:color="auto"/>
      </w:pBdr>
      <w:jc w:val="center"/>
      <w:rPr>
        <w:rFonts w:ascii="Cambria" w:hAnsi="Cambria"/>
        <w:noProof/>
        <w:sz w:val="20"/>
        <w:szCs w:val="20"/>
      </w:rPr>
    </w:pPr>
    <w:r w:rsidRPr="003903EB">
      <w:rPr>
        <w:rFonts w:ascii="Cambria" w:hAnsi="Cambria"/>
        <w:sz w:val="20"/>
        <w:szCs w:val="20"/>
      </w:rPr>
      <w:t>Competence of Islamic Human Resources in Islamic Banks</w:t>
    </w:r>
  </w:p>
  <w:p w14:paraId="6DA4794E" w14:textId="77777777" w:rsidR="00CE13B2" w:rsidRDefault="00CE13B2">
    <w:pPr>
      <w:pStyle w:val="Header"/>
      <w:pBdr>
        <w:bottom w:val="single" w:sz="8" w:space="6" w:color="auto"/>
      </w:pBdr>
      <w:jc w:val="center"/>
      <w:rPr>
        <w:rFonts w:ascii="Cambria" w:hAnsi="Cambria"/>
        <w:bCs/>
        <w:spacing w:val="-6"/>
        <w:sz w:val="20"/>
        <w:szCs w:val="20"/>
        <w:lang w:val="id-ID"/>
      </w:rPr>
    </w:pPr>
    <w:r w:rsidRPr="003903EB">
      <w:rPr>
        <w:rFonts w:ascii="Cambria" w:hAnsi="Cambria"/>
        <w:sz w:val="20"/>
        <w:szCs w:val="20"/>
      </w:rPr>
      <w:t>Lira Arlia Melani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6351" w14:textId="77777777" w:rsidR="00CE13B2" w:rsidRDefault="00CE13B2">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Pr>
        <w:rFonts w:ascii="Cambria" w:hAnsi="Cambria"/>
        <w:b/>
        <w:bCs/>
        <w:spacing w:val="-6"/>
        <w:sz w:val="20"/>
        <w:szCs w:val="20"/>
        <w:lang w:val="en-ID"/>
      </w:rPr>
      <w:t>Sosial</w:t>
    </w:r>
    <w:r w:rsidRPr="003903EB">
      <w:rPr>
        <w:rFonts w:ascii="Cambria" w:hAnsi="Cambria"/>
        <w:b/>
        <w:bCs/>
        <w:spacing w:val="-6"/>
        <w:sz w:val="20"/>
        <w:szCs w:val="20"/>
        <w:lang w:val="en-ID"/>
      </w:rPr>
      <w:t xml:space="preserve">, Vol. </w:t>
    </w:r>
    <w:r>
      <w:rPr>
        <w:rFonts w:ascii="Cambria" w:hAnsi="Cambria"/>
        <w:b/>
        <w:bCs/>
        <w:spacing w:val="-6"/>
        <w:sz w:val="20"/>
        <w:szCs w:val="20"/>
        <w:lang w:val="en-ID"/>
      </w:rPr>
      <w:t xml:space="preserve">2 </w:t>
    </w:r>
    <w:r w:rsidRPr="003903EB">
      <w:rPr>
        <w:rFonts w:ascii="Cambria" w:hAnsi="Cambria"/>
        <w:b/>
        <w:bCs/>
        <w:spacing w:val="-6"/>
        <w:sz w:val="20"/>
        <w:szCs w:val="20"/>
        <w:lang w:val="en-ID"/>
      </w:rPr>
      <w:t xml:space="preserve">No. 1: </w:t>
    </w:r>
    <w:r>
      <w:rPr>
        <w:rFonts w:ascii="Cambria" w:hAnsi="Cambria"/>
        <w:b/>
        <w:bCs/>
        <w:spacing w:val="-6"/>
        <w:sz w:val="20"/>
        <w:szCs w:val="20"/>
        <w:lang w:val="en-ID"/>
      </w:rPr>
      <w:t>25-30</w:t>
    </w:r>
  </w:p>
  <w:p w14:paraId="1DFEF6BD" w14:textId="77777777" w:rsidR="00CE13B2" w:rsidRDefault="00CE13B2">
    <w:pPr>
      <w:pStyle w:val="Header"/>
      <w:pBdr>
        <w:bottom w:val="single" w:sz="8" w:space="6" w:color="auto"/>
      </w:pBdr>
      <w:jc w:val="center"/>
      <w:rPr>
        <w:rFonts w:ascii="Cambria" w:hAnsi="Cambria"/>
        <w:noProof/>
        <w:sz w:val="20"/>
        <w:szCs w:val="20"/>
      </w:rPr>
    </w:pPr>
    <w:r w:rsidRPr="003903EB">
      <w:rPr>
        <w:rFonts w:ascii="Cambria" w:hAnsi="Cambria"/>
        <w:sz w:val="20"/>
        <w:szCs w:val="20"/>
      </w:rPr>
      <w:t>Competence of Islamic Human Resources in Islamic Banks</w:t>
    </w:r>
  </w:p>
  <w:p w14:paraId="594C821B" w14:textId="77777777" w:rsidR="00CE13B2" w:rsidRDefault="00CE13B2">
    <w:pPr>
      <w:pStyle w:val="Header"/>
      <w:pBdr>
        <w:bottom w:val="single" w:sz="8" w:space="6" w:color="auto"/>
      </w:pBdr>
      <w:jc w:val="center"/>
      <w:rPr>
        <w:rFonts w:ascii="Cambria" w:hAnsi="Cambria"/>
        <w:bCs/>
        <w:spacing w:val="-6"/>
        <w:sz w:val="20"/>
        <w:szCs w:val="20"/>
        <w:lang w:val="id-ID"/>
      </w:rPr>
    </w:pPr>
    <w:r w:rsidRPr="003903EB">
      <w:rPr>
        <w:rFonts w:ascii="Cambria" w:hAnsi="Cambria"/>
        <w:sz w:val="20"/>
        <w:szCs w:val="20"/>
      </w:rPr>
      <w:t>Lira Arlia Melani</w:t>
    </w:r>
  </w:p>
  <w:p w14:paraId="672830A7" w14:textId="77777777" w:rsidR="00CE13B2" w:rsidRPr="00FD584C" w:rsidRDefault="00CE13B2" w:rsidP="00FD58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5763" w14:textId="77777777" w:rsidR="00CE13B2" w:rsidRDefault="00CE13B2">
    <w:pPr>
      <w:pStyle w:val="Header"/>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 xml:space="preserve">Available online at: </w:t>
    </w:r>
    <w:r w:rsidRPr="00E8624E">
      <w:rPr>
        <w:rFonts w:ascii="Cambria" w:hAnsi="Cambria" w:cs="Vani"/>
        <w:spacing w:val="-6"/>
        <w:sz w:val="20"/>
        <w:szCs w:val="20"/>
        <w:lang w:val="id-ID"/>
      </w:rPr>
      <w:t>http:</w:t>
    </w:r>
    <w:r>
      <w:rPr>
        <w:rFonts w:ascii="Cambria" w:hAnsi="Cambria" w:cs="Vani"/>
        <w:spacing w:val="-6"/>
        <w:sz w:val="20"/>
        <w:szCs w:val="20"/>
      </w:rPr>
      <w:t>//journal.uinsgd.ac.id/index.php/ks</w:t>
    </w:r>
  </w:p>
  <w:p w14:paraId="0A074A22" w14:textId="77777777" w:rsidR="00CE13B2" w:rsidRDefault="00CE13B2">
    <w:pPr>
      <w:pStyle w:val="Header"/>
      <w:tabs>
        <w:tab w:val="clear" w:pos="4680"/>
        <w:tab w:val="clear" w:pos="9360"/>
      </w:tabs>
      <w:rPr>
        <w:rFonts w:ascii="Cambria" w:hAnsi="Cambria"/>
        <w:b/>
        <w:spacing w:val="-6"/>
        <w:sz w:val="20"/>
        <w:szCs w:val="20"/>
        <w:lang w:val="en-ID"/>
      </w:rPr>
    </w:pPr>
    <w:r w:rsidRPr="00E8624E">
      <w:rPr>
        <w:rFonts w:ascii="Cambria" w:hAnsi="Cambria"/>
        <w:b/>
        <w:spacing w:val="-6"/>
        <w:sz w:val="20"/>
        <w:szCs w:val="20"/>
        <w:lang w:val="en-ID"/>
      </w:rPr>
      <w:t xml:space="preserve">Khazanah </w:t>
    </w:r>
    <w:r>
      <w:rPr>
        <w:rFonts w:ascii="Cambria" w:hAnsi="Cambria"/>
        <w:b/>
        <w:spacing w:val="-6"/>
        <w:sz w:val="20"/>
        <w:szCs w:val="20"/>
        <w:lang w:val="en-ID"/>
      </w:rPr>
      <w:t>Sosial</w:t>
    </w:r>
    <w:r w:rsidRPr="00E8624E">
      <w:rPr>
        <w:rFonts w:ascii="Cambria" w:hAnsi="Cambria"/>
        <w:b/>
        <w:spacing w:val="-6"/>
        <w:sz w:val="20"/>
        <w:szCs w:val="20"/>
        <w:lang w:val="en-ID"/>
      </w:rPr>
      <w:t>, Vol. 2 No. 1: 25-30</w:t>
    </w:r>
  </w:p>
  <w:p w14:paraId="54B3B3AC" w14:textId="77777777" w:rsidR="00CE13B2" w:rsidRPr="00E8624E" w:rsidRDefault="00CE13B2" w:rsidP="00030C06">
    <w:pPr>
      <w:pStyle w:val="Header"/>
      <w:tabs>
        <w:tab w:val="clear" w:pos="4680"/>
        <w:tab w:val="clear" w:pos="9360"/>
      </w:tabs>
      <w:rPr>
        <w:rFonts w:ascii="Cambria" w:hAnsi="Cambria" w:cs="Vani"/>
        <w:spacing w:val="-6"/>
        <w:sz w:val="20"/>
        <w:szCs w:val="20"/>
        <w:lang w:val="id-ID"/>
      </w:rPr>
    </w:pPr>
  </w:p>
  <w:p w14:paraId="0D00A59A" w14:textId="77777777" w:rsidR="00CE13B2" w:rsidRDefault="00CE13B2">
    <w:pPr>
      <w:pStyle w:val="Header"/>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hyperlink r:id="rId1" w:history="1">
      <w:r w:rsidRPr="00E8624E">
        <w:rPr>
          <w:rStyle w:val="Hyperlink"/>
          <w:rFonts w:ascii="Cambria" w:hAnsi="Cambria" w:cs="Vani"/>
          <w:color w:val="auto"/>
          <w:spacing w:val="-6"/>
          <w:sz w:val="20"/>
          <w:szCs w:val="20"/>
          <w:u w:val="none"/>
          <w:lang w:val="id-ID"/>
        </w:rPr>
        <w:t>10.</w:t>
      </w:r>
      <w:r>
        <w:rPr>
          <w:rStyle w:val="Hyperlink"/>
          <w:rFonts w:ascii="Cambria" w:hAnsi="Cambria" w:cs="Vani"/>
          <w:color w:val="auto"/>
          <w:spacing w:val="-6"/>
          <w:sz w:val="20"/>
          <w:szCs w:val="20"/>
          <w:u w:val="none"/>
        </w:rPr>
        <w:t>15575/ks</w:t>
      </w:r>
      <w:r w:rsidRPr="00E8624E">
        <w:rPr>
          <w:rStyle w:val="Hyperlink"/>
          <w:rFonts w:ascii="Cambria" w:hAnsi="Cambria" w:cs="Vani"/>
          <w:color w:val="auto"/>
          <w:spacing w:val="-6"/>
          <w:sz w:val="20"/>
          <w:szCs w:val="20"/>
          <w:u w:val="none"/>
          <w:lang w:val="id-ID"/>
        </w:rPr>
        <w:t>.</w:t>
      </w:r>
      <w:r w:rsidRPr="00E8624E">
        <w:rPr>
          <w:rStyle w:val="Hyperlink"/>
          <w:rFonts w:ascii="Cambria" w:hAnsi="Cambria" w:cs="Vani"/>
          <w:color w:val="auto"/>
          <w:spacing w:val="-6"/>
          <w:sz w:val="20"/>
          <w:szCs w:val="20"/>
          <w:u w:val="none"/>
        </w:rPr>
        <w:t>v1i1</w:t>
      </w:r>
      <w:r w:rsidRPr="00E8624E">
        <w:rPr>
          <w:rStyle w:val="Hyperlink"/>
          <w:rFonts w:ascii="Cambria" w:hAnsi="Cambria" w:cs="Vani"/>
          <w:color w:val="auto"/>
          <w:spacing w:val="-6"/>
          <w:sz w:val="20"/>
          <w:szCs w:val="20"/>
          <w:u w:val="none"/>
          <w:lang w:val="id-ID"/>
        </w:rPr>
        <w:t>.</w:t>
      </w:r>
    </w:hyperlink>
    <w:r w:rsidRPr="00E8624E">
      <w:rPr>
        <w:rStyle w:val="08BodyArticleChar"/>
        <w:szCs w:val="21"/>
        <w:lang w:val="en-US"/>
      </w:rPr>
      <w:t xml:space="preserve"> 8157</w:t>
    </w:r>
  </w:p>
  <w:p w14:paraId="6CDDCFCC" w14:textId="77777777" w:rsidR="00CE13B2" w:rsidRPr="00965301" w:rsidRDefault="00CE13B2" w:rsidP="00965301">
    <w:pPr>
      <w:pStyle w:val="Header"/>
      <w:tabs>
        <w:tab w:val="clear" w:pos="4680"/>
        <w:tab w:val="clear" w:pos="9360"/>
      </w:tabs>
      <w:rPr>
        <w:rFonts w:ascii="Cambria" w:hAnsi="Cambria"/>
        <w:b/>
        <w:spacing w:val="-6"/>
        <w:sz w:val="20"/>
        <w:szCs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9F1"/>
    <w:multiLevelType w:val="hybridMultilevel"/>
    <w:tmpl w:val="FFFFFFFF"/>
    <w:lvl w:ilvl="0" w:tplc="6D1671B6">
      <w:start w:val="3"/>
      <w:numFmt w:val="decimal"/>
      <w:lvlText w:val="%1."/>
      <w:lvlJc w:val="left"/>
      <w:pPr>
        <w:ind w:left="1800" w:hanging="360"/>
      </w:pPr>
      <w:rPr>
        <w:rFonts w:ascii="Cambria" w:hAnsi="Cambria" w:cs="Times New Roman" w:hint="default"/>
        <w:b/>
      </w:rPr>
    </w:lvl>
    <w:lvl w:ilvl="1" w:tplc="E52ED696" w:tentative="1">
      <w:start w:val="1"/>
      <w:numFmt w:val="lowerLetter"/>
      <w:lvlText w:val="%2."/>
      <w:lvlJc w:val="left"/>
      <w:pPr>
        <w:ind w:left="1440" w:hanging="360"/>
      </w:pPr>
      <w:rPr>
        <w:rFonts w:cs="Times New Roman"/>
      </w:rPr>
    </w:lvl>
    <w:lvl w:ilvl="2" w:tplc="D254946E" w:tentative="1">
      <w:start w:val="1"/>
      <w:numFmt w:val="lowerRoman"/>
      <w:lvlText w:val="%3."/>
      <w:lvlJc w:val="right"/>
      <w:pPr>
        <w:ind w:left="2160" w:hanging="180"/>
      </w:pPr>
      <w:rPr>
        <w:rFonts w:cs="Times New Roman"/>
      </w:rPr>
    </w:lvl>
    <w:lvl w:ilvl="3" w:tplc="ADCE5BA8" w:tentative="1">
      <w:start w:val="1"/>
      <w:numFmt w:val="decimal"/>
      <w:lvlText w:val="%4."/>
      <w:lvlJc w:val="left"/>
      <w:pPr>
        <w:ind w:left="2880" w:hanging="360"/>
      </w:pPr>
      <w:rPr>
        <w:rFonts w:cs="Times New Roman"/>
      </w:rPr>
    </w:lvl>
    <w:lvl w:ilvl="4" w:tplc="D5526764" w:tentative="1">
      <w:start w:val="1"/>
      <w:numFmt w:val="lowerLetter"/>
      <w:lvlText w:val="%5."/>
      <w:lvlJc w:val="left"/>
      <w:pPr>
        <w:ind w:left="3600" w:hanging="360"/>
      </w:pPr>
      <w:rPr>
        <w:rFonts w:cs="Times New Roman"/>
      </w:rPr>
    </w:lvl>
    <w:lvl w:ilvl="5" w:tplc="FB7201BA" w:tentative="1">
      <w:start w:val="1"/>
      <w:numFmt w:val="lowerRoman"/>
      <w:lvlText w:val="%6."/>
      <w:lvlJc w:val="right"/>
      <w:pPr>
        <w:ind w:left="4320" w:hanging="180"/>
      </w:pPr>
      <w:rPr>
        <w:rFonts w:cs="Times New Roman"/>
      </w:rPr>
    </w:lvl>
    <w:lvl w:ilvl="6" w:tplc="9E48DF8C" w:tentative="1">
      <w:start w:val="1"/>
      <w:numFmt w:val="decimal"/>
      <w:lvlText w:val="%7."/>
      <w:lvlJc w:val="left"/>
      <w:pPr>
        <w:ind w:left="5040" w:hanging="360"/>
      </w:pPr>
      <w:rPr>
        <w:rFonts w:cs="Times New Roman"/>
      </w:rPr>
    </w:lvl>
    <w:lvl w:ilvl="7" w:tplc="B0E28268" w:tentative="1">
      <w:start w:val="1"/>
      <w:numFmt w:val="lowerLetter"/>
      <w:lvlText w:val="%8."/>
      <w:lvlJc w:val="left"/>
      <w:pPr>
        <w:ind w:left="5760" w:hanging="360"/>
      </w:pPr>
      <w:rPr>
        <w:rFonts w:cs="Times New Roman"/>
      </w:rPr>
    </w:lvl>
    <w:lvl w:ilvl="8" w:tplc="51582E20" w:tentative="1">
      <w:start w:val="1"/>
      <w:numFmt w:val="lowerRoman"/>
      <w:lvlText w:val="%9."/>
      <w:lvlJc w:val="right"/>
      <w:pPr>
        <w:ind w:left="6480" w:hanging="180"/>
      </w:pPr>
      <w:rPr>
        <w:rFonts w:cs="Times New Roman"/>
      </w:rPr>
    </w:lvl>
  </w:abstractNum>
  <w:abstractNum w:abstractNumId="1">
    <w:nsid w:val="2F0E7688"/>
    <w:multiLevelType w:val="hybridMultilevel"/>
    <w:tmpl w:val="FFFFFFFF"/>
    <w:lvl w:ilvl="0" w:tplc="8E4EECC0">
      <w:start w:val="1"/>
      <w:numFmt w:val="decimal"/>
      <w:lvlText w:val="%1."/>
      <w:lvlJc w:val="left"/>
      <w:pPr>
        <w:ind w:left="1854" w:hanging="360"/>
      </w:pPr>
      <w:rPr>
        <w:rFonts w:cs="Times New Roman"/>
      </w:rPr>
    </w:lvl>
    <w:lvl w:ilvl="1" w:tplc="20F83702" w:tentative="1">
      <w:start w:val="1"/>
      <w:numFmt w:val="lowerLetter"/>
      <w:lvlText w:val="%2."/>
      <w:lvlJc w:val="left"/>
      <w:pPr>
        <w:ind w:left="2574" w:hanging="360"/>
      </w:pPr>
      <w:rPr>
        <w:rFonts w:cs="Times New Roman"/>
      </w:rPr>
    </w:lvl>
    <w:lvl w:ilvl="2" w:tplc="ACDCF490" w:tentative="1">
      <w:start w:val="1"/>
      <w:numFmt w:val="lowerRoman"/>
      <w:lvlText w:val="%3."/>
      <w:lvlJc w:val="right"/>
      <w:pPr>
        <w:ind w:left="3294" w:hanging="180"/>
      </w:pPr>
      <w:rPr>
        <w:rFonts w:cs="Times New Roman"/>
      </w:rPr>
    </w:lvl>
    <w:lvl w:ilvl="3" w:tplc="C070FBE0" w:tentative="1">
      <w:start w:val="1"/>
      <w:numFmt w:val="decimal"/>
      <w:lvlText w:val="%4."/>
      <w:lvlJc w:val="left"/>
      <w:pPr>
        <w:ind w:left="4014" w:hanging="360"/>
      </w:pPr>
      <w:rPr>
        <w:rFonts w:cs="Times New Roman"/>
      </w:rPr>
    </w:lvl>
    <w:lvl w:ilvl="4" w:tplc="61046572" w:tentative="1">
      <w:start w:val="1"/>
      <w:numFmt w:val="lowerLetter"/>
      <w:lvlText w:val="%5."/>
      <w:lvlJc w:val="left"/>
      <w:pPr>
        <w:ind w:left="4734" w:hanging="360"/>
      </w:pPr>
      <w:rPr>
        <w:rFonts w:cs="Times New Roman"/>
      </w:rPr>
    </w:lvl>
    <w:lvl w:ilvl="5" w:tplc="635C3D74" w:tentative="1">
      <w:start w:val="1"/>
      <w:numFmt w:val="lowerRoman"/>
      <w:lvlText w:val="%6."/>
      <w:lvlJc w:val="right"/>
      <w:pPr>
        <w:ind w:left="5454" w:hanging="180"/>
      </w:pPr>
      <w:rPr>
        <w:rFonts w:cs="Times New Roman"/>
      </w:rPr>
    </w:lvl>
    <w:lvl w:ilvl="6" w:tplc="F254FF44" w:tentative="1">
      <w:start w:val="1"/>
      <w:numFmt w:val="decimal"/>
      <w:lvlText w:val="%7."/>
      <w:lvlJc w:val="left"/>
      <w:pPr>
        <w:ind w:left="6174" w:hanging="360"/>
      </w:pPr>
      <w:rPr>
        <w:rFonts w:cs="Times New Roman"/>
      </w:rPr>
    </w:lvl>
    <w:lvl w:ilvl="7" w:tplc="9D7AC1C6" w:tentative="1">
      <w:start w:val="1"/>
      <w:numFmt w:val="lowerLetter"/>
      <w:lvlText w:val="%8."/>
      <w:lvlJc w:val="left"/>
      <w:pPr>
        <w:ind w:left="6894" w:hanging="360"/>
      </w:pPr>
      <w:rPr>
        <w:rFonts w:cs="Times New Roman"/>
      </w:rPr>
    </w:lvl>
    <w:lvl w:ilvl="8" w:tplc="74F09E1C" w:tentative="1">
      <w:start w:val="1"/>
      <w:numFmt w:val="lowerRoman"/>
      <w:lvlText w:val="%9."/>
      <w:lvlJc w:val="right"/>
      <w:pPr>
        <w:ind w:left="7614" w:hanging="180"/>
      </w:pPr>
      <w:rPr>
        <w:rFonts w:cs="Times New Roman"/>
      </w:rPr>
    </w:lvl>
  </w:abstractNum>
  <w:abstractNum w:abstractNumId="2">
    <w:nsid w:val="58C076DD"/>
    <w:multiLevelType w:val="hybridMultilevel"/>
    <w:tmpl w:val="FFFFFFFF"/>
    <w:lvl w:ilvl="0" w:tplc="B0A08012">
      <w:start w:val="1"/>
      <w:numFmt w:val="decimal"/>
      <w:lvlText w:val="%1."/>
      <w:lvlJc w:val="left"/>
      <w:pPr>
        <w:ind w:left="720" w:hanging="360"/>
      </w:pPr>
      <w:rPr>
        <w:rFonts w:cs="Times New Roman" w:hint="default"/>
        <w:b/>
        <w:bCs w:val="0"/>
        <w:i w:val="0"/>
      </w:rPr>
    </w:lvl>
    <w:lvl w:ilvl="1" w:tplc="BA8633E0" w:tentative="1">
      <w:start w:val="1"/>
      <w:numFmt w:val="lowerLetter"/>
      <w:lvlText w:val="%2."/>
      <w:lvlJc w:val="left"/>
      <w:pPr>
        <w:ind w:left="1440" w:hanging="360"/>
      </w:pPr>
      <w:rPr>
        <w:rFonts w:cs="Times New Roman"/>
      </w:rPr>
    </w:lvl>
    <w:lvl w:ilvl="2" w:tplc="7494D36C" w:tentative="1">
      <w:start w:val="1"/>
      <w:numFmt w:val="lowerRoman"/>
      <w:lvlText w:val="%3."/>
      <w:lvlJc w:val="right"/>
      <w:pPr>
        <w:ind w:left="2160" w:hanging="180"/>
      </w:pPr>
      <w:rPr>
        <w:rFonts w:cs="Times New Roman"/>
      </w:rPr>
    </w:lvl>
    <w:lvl w:ilvl="3" w:tplc="57D2A49A" w:tentative="1">
      <w:start w:val="1"/>
      <w:numFmt w:val="decimal"/>
      <w:lvlText w:val="%4."/>
      <w:lvlJc w:val="left"/>
      <w:pPr>
        <w:ind w:left="2880" w:hanging="360"/>
      </w:pPr>
      <w:rPr>
        <w:rFonts w:cs="Times New Roman"/>
      </w:rPr>
    </w:lvl>
    <w:lvl w:ilvl="4" w:tplc="50AC65E0" w:tentative="1">
      <w:start w:val="1"/>
      <w:numFmt w:val="lowerLetter"/>
      <w:lvlText w:val="%5."/>
      <w:lvlJc w:val="left"/>
      <w:pPr>
        <w:ind w:left="3600" w:hanging="360"/>
      </w:pPr>
      <w:rPr>
        <w:rFonts w:cs="Times New Roman"/>
      </w:rPr>
    </w:lvl>
    <w:lvl w:ilvl="5" w:tplc="C918358A" w:tentative="1">
      <w:start w:val="1"/>
      <w:numFmt w:val="lowerRoman"/>
      <w:lvlText w:val="%6."/>
      <w:lvlJc w:val="right"/>
      <w:pPr>
        <w:ind w:left="4320" w:hanging="180"/>
      </w:pPr>
      <w:rPr>
        <w:rFonts w:cs="Times New Roman"/>
      </w:rPr>
    </w:lvl>
    <w:lvl w:ilvl="6" w:tplc="67E417CC" w:tentative="1">
      <w:start w:val="1"/>
      <w:numFmt w:val="decimal"/>
      <w:lvlText w:val="%7."/>
      <w:lvlJc w:val="left"/>
      <w:pPr>
        <w:ind w:left="5040" w:hanging="360"/>
      </w:pPr>
      <w:rPr>
        <w:rFonts w:cs="Times New Roman"/>
      </w:rPr>
    </w:lvl>
    <w:lvl w:ilvl="7" w:tplc="46D01FF0" w:tentative="1">
      <w:start w:val="1"/>
      <w:numFmt w:val="lowerLetter"/>
      <w:lvlText w:val="%8."/>
      <w:lvlJc w:val="left"/>
      <w:pPr>
        <w:ind w:left="5760" w:hanging="360"/>
      </w:pPr>
      <w:rPr>
        <w:rFonts w:cs="Times New Roman"/>
      </w:rPr>
    </w:lvl>
    <w:lvl w:ilvl="8" w:tplc="B8E25F7E" w:tentative="1">
      <w:start w:val="1"/>
      <w:numFmt w:val="lowerRoman"/>
      <w:lvlText w:val="%9."/>
      <w:lvlJc w:val="right"/>
      <w:pPr>
        <w:ind w:left="6480" w:hanging="180"/>
      </w:pPr>
      <w:rPr>
        <w:rFonts w:cs="Times New Roman"/>
      </w:rPr>
    </w:lvl>
  </w:abstractNum>
  <w:abstractNum w:abstractNumId="3">
    <w:nsid w:val="63CB3887"/>
    <w:multiLevelType w:val="multilevel"/>
    <w:tmpl w:val="FFFFFFFF"/>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67F3D21"/>
    <w:multiLevelType w:val="multilevel"/>
    <w:tmpl w:val="FFFFFFF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defaultTabStop w:val="720"/>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0NrAwMzKwNLSwMDBT0lEKTi0uzszPAykwMq0FAEWIBJYtAAAA"/>
  </w:docVars>
  <w:rsids>
    <w:rsidRoot w:val="00517F27"/>
    <w:rsid w:val="00003EFC"/>
    <w:rsid w:val="00004041"/>
    <w:rsid w:val="00006177"/>
    <w:rsid w:val="00007C04"/>
    <w:rsid w:val="0001070A"/>
    <w:rsid w:val="000149F0"/>
    <w:rsid w:val="00016A0E"/>
    <w:rsid w:val="00022648"/>
    <w:rsid w:val="00025234"/>
    <w:rsid w:val="00030199"/>
    <w:rsid w:val="00030C06"/>
    <w:rsid w:val="00034BC5"/>
    <w:rsid w:val="00041152"/>
    <w:rsid w:val="000427A8"/>
    <w:rsid w:val="00045D09"/>
    <w:rsid w:val="000460A9"/>
    <w:rsid w:val="00054E7E"/>
    <w:rsid w:val="000563A5"/>
    <w:rsid w:val="00060524"/>
    <w:rsid w:val="000629BA"/>
    <w:rsid w:val="00064B80"/>
    <w:rsid w:val="00070170"/>
    <w:rsid w:val="00077ADC"/>
    <w:rsid w:val="000820BE"/>
    <w:rsid w:val="00090916"/>
    <w:rsid w:val="000936B1"/>
    <w:rsid w:val="00096F2F"/>
    <w:rsid w:val="000A2471"/>
    <w:rsid w:val="000B35C9"/>
    <w:rsid w:val="000B6842"/>
    <w:rsid w:val="000C0301"/>
    <w:rsid w:val="000C4737"/>
    <w:rsid w:val="000C490E"/>
    <w:rsid w:val="000C6912"/>
    <w:rsid w:val="000C7DB2"/>
    <w:rsid w:val="000D0086"/>
    <w:rsid w:val="000D04EE"/>
    <w:rsid w:val="000D09AD"/>
    <w:rsid w:val="000D7AAF"/>
    <w:rsid w:val="000E087E"/>
    <w:rsid w:val="000E0C01"/>
    <w:rsid w:val="000E3439"/>
    <w:rsid w:val="000E705B"/>
    <w:rsid w:val="000F2009"/>
    <w:rsid w:val="000F4100"/>
    <w:rsid w:val="000F7119"/>
    <w:rsid w:val="001065B5"/>
    <w:rsid w:val="001237B3"/>
    <w:rsid w:val="00124367"/>
    <w:rsid w:val="001266D7"/>
    <w:rsid w:val="00126F30"/>
    <w:rsid w:val="001317C3"/>
    <w:rsid w:val="0013583E"/>
    <w:rsid w:val="00137C81"/>
    <w:rsid w:val="0014314B"/>
    <w:rsid w:val="0015183A"/>
    <w:rsid w:val="001536B4"/>
    <w:rsid w:val="001601C6"/>
    <w:rsid w:val="0016112C"/>
    <w:rsid w:val="00162BD9"/>
    <w:rsid w:val="001663D4"/>
    <w:rsid w:val="00171CFA"/>
    <w:rsid w:val="00173F53"/>
    <w:rsid w:val="0017601B"/>
    <w:rsid w:val="00176EC4"/>
    <w:rsid w:val="001770F2"/>
    <w:rsid w:val="00177544"/>
    <w:rsid w:val="00180A29"/>
    <w:rsid w:val="00183B30"/>
    <w:rsid w:val="00184336"/>
    <w:rsid w:val="00184A9A"/>
    <w:rsid w:val="00190E1D"/>
    <w:rsid w:val="001948B1"/>
    <w:rsid w:val="00196377"/>
    <w:rsid w:val="001A01B7"/>
    <w:rsid w:val="001A71FC"/>
    <w:rsid w:val="001A79E0"/>
    <w:rsid w:val="001C435A"/>
    <w:rsid w:val="001C4999"/>
    <w:rsid w:val="001D1402"/>
    <w:rsid w:val="001D3B6E"/>
    <w:rsid w:val="001D6A5C"/>
    <w:rsid w:val="001E2F73"/>
    <w:rsid w:val="001E594D"/>
    <w:rsid w:val="00203E37"/>
    <w:rsid w:val="002106A1"/>
    <w:rsid w:val="00211BC7"/>
    <w:rsid w:val="00213F21"/>
    <w:rsid w:val="00230DA3"/>
    <w:rsid w:val="0023204F"/>
    <w:rsid w:val="00234868"/>
    <w:rsid w:val="0023542B"/>
    <w:rsid w:val="00235F56"/>
    <w:rsid w:val="00237379"/>
    <w:rsid w:val="002410DF"/>
    <w:rsid w:val="00242A4E"/>
    <w:rsid w:val="00246D11"/>
    <w:rsid w:val="00253C02"/>
    <w:rsid w:val="00254877"/>
    <w:rsid w:val="0025687F"/>
    <w:rsid w:val="0025737B"/>
    <w:rsid w:val="00270CEF"/>
    <w:rsid w:val="002724C9"/>
    <w:rsid w:val="002817DC"/>
    <w:rsid w:val="00297DA1"/>
    <w:rsid w:val="002A03F7"/>
    <w:rsid w:val="002A0F60"/>
    <w:rsid w:val="002A1BED"/>
    <w:rsid w:val="002A281C"/>
    <w:rsid w:val="002A613E"/>
    <w:rsid w:val="002B057E"/>
    <w:rsid w:val="002B3A4C"/>
    <w:rsid w:val="002C0609"/>
    <w:rsid w:val="002C4CF7"/>
    <w:rsid w:val="002D3CCF"/>
    <w:rsid w:val="002D6231"/>
    <w:rsid w:val="002E650F"/>
    <w:rsid w:val="002F1175"/>
    <w:rsid w:val="002F7016"/>
    <w:rsid w:val="0030483E"/>
    <w:rsid w:val="0030771C"/>
    <w:rsid w:val="00307F16"/>
    <w:rsid w:val="00312F7A"/>
    <w:rsid w:val="0031424E"/>
    <w:rsid w:val="003142D4"/>
    <w:rsid w:val="0031551C"/>
    <w:rsid w:val="00315F4D"/>
    <w:rsid w:val="003211DA"/>
    <w:rsid w:val="0032490C"/>
    <w:rsid w:val="00325BCD"/>
    <w:rsid w:val="00326EFF"/>
    <w:rsid w:val="0033149F"/>
    <w:rsid w:val="00333C27"/>
    <w:rsid w:val="0035292F"/>
    <w:rsid w:val="00355364"/>
    <w:rsid w:val="0035735B"/>
    <w:rsid w:val="00360AD5"/>
    <w:rsid w:val="0036770C"/>
    <w:rsid w:val="003679F4"/>
    <w:rsid w:val="00371100"/>
    <w:rsid w:val="00373BBA"/>
    <w:rsid w:val="00374FCB"/>
    <w:rsid w:val="0037723B"/>
    <w:rsid w:val="00381449"/>
    <w:rsid w:val="003903EB"/>
    <w:rsid w:val="00395DBA"/>
    <w:rsid w:val="0039745C"/>
    <w:rsid w:val="003A207C"/>
    <w:rsid w:val="003A7646"/>
    <w:rsid w:val="003B37F0"/>
    <w:rsid w:val="003B3811"/>
    <w:rsid w:val="003B6090"/>
    <w:rsid w:val="003B62E0"/>
    <w:rsid w:val="003C0982"/>
    <w:rsid w:val="003C5510"/>
    <w:rsid w:val="003C7B51"/>
    <w:rsid w:val="003C7F21"/>
    <w:rsid w:val="003D6607"/>
    <w:rsid w:val="003E1EAB"/>
    <w:rsid w:val="003E413F"/>
    <w:rsid w:val="003F130E"/>
    <w:rsid w:val="003F4897"/>
    <w:rsid w:val="004007FB"/>
    <w:rsid w:val="00402ACD"/>
    <w:rsid w:val="004042FC"/>
    <w:rsid w:val="004062B8"/>
    <w:rsid w:val="00406EA4"/>
    <w:rsid w:val="00411AAA"/>
    <w:rsid w:val="0041640B"/>
    <w:rsid w:val="0042031F"/>
    <w:rsid w:val="00424C00"/>
    <w:rsid w:val="00427904"/>
    <w:rsid w:val="004430D1"/>
    <w:rsid w:val="00445CF2"/>
    <w:rsid w:val="0045217B"/>
    <w:rsid w:val="00454FD1"/>
    <w:rsid w:val="00464665"/>
    <w:rsid w:val="004660FC"/>
    <w:rsid w:val="00477A70"/>
    <w:rsid w:val="00482CA1"/>
    <w:rsid w:val="00483F95"/>
    <w:rsid w:val="0048751A"/>
    <w:rsid w:val="00494F57"/>
    <w:rsid w:val="00496E43"/>
    <w:rsid w:val="004A1E0A"/>
    <w:rsid w:val="004A5212"/>
    <w:rsid w:val="004B1FA9"/>
    <w:rsid w:val="004B490A"/>
    <w:rsid w:val="004B4C43"/>
    <w:rsid w:val="004C5A2B"/>
    <w:rsid w:val="004C5ED9"/>
    <w:rsid w:val="004C741F"/>
    <w:rsid w:val="004D16E0"/>
    <w:rsid w:val="004D2251"/>
    <w:rsid w:val="004E6C92"/>
    <w:rsid w:val="004E766F"/>
    <w:rsid w:val="0050147D"/>
    <w:rsid w:val="0050641F"/>
    <w:rsid w:val="0050761F"/>
    <w:rsid w:val="00515C38"/>
    <w:rsid w:val="00517F27"/>
    <w:rsid w:val="0052034B"/>
    <w:rsid w:val="00525046"/>
    <w:rsid w:val="0052527E"/>
    <w:rsid w:val="00534BA0"/>
    <w:rsid w:val="00540B92"/>
    <w:rsid w:val="00545FB9"/>
    <w:rsid w:val="00557C4E"/>
    <w:rsid w:val="005628D1"/>
    <w:rsid w:val="00575591"/>
    <w:rsid w:val="005819FA"/>
    <w:rsid w:val="005834D6"/>
    <w:rsid w:val="00586752"/>
    <w:rsid w:val="00593135"/>
    <w:rsid w:val="005A2E92"/>
    <w:rsid w:val="005A4BDE"/>
    <w:rsid w:val="005A4F12"/>
    <w:rsid w:val="005B0F0D"/>
    <w:rsid w:val="005B1781"/>
    <w:rsid w:val="005B25E4"/>
    <w:rsid w:val="005B4BD8"/>
    <w:rsid w:val="005C0B26"/>
    <w:rsid w:val="005C0F3C"/>
    <w:rsid w:val="005C6E03"/>
    <w:rsid w:val="005D2FC2"/>
    <w:rsid w:val="005D72B0"/>
    <w:rsid w:val="005D7A63"/>
    <w:rsid w:val="005E515A"/>
    <w:rsid w:val="005E5B16"/>
    <w:rsid w:val="005E6ECF"/>
    <w:rsid w:val="005F2E42"/>
    <w:rsid w:val="005F546F"/>
    <w:rsid w:val="005F6F5C"/>
    <w:rsid w:val="00610C0F"/>
    <w:rsid w:val="006176BE"/>
    <w:rsid w:val="00620E2F"/>
    <w:rsid w:val="00623DF6"/>
    <w:rsid w:val="006373D6"/>
    <w:rsid w:val="006406D3"/>
    <w:rsid w:val="00643626"/>
    <w:rsid w:val="006453E8"/>
    <w:rsid w:val="00656E1A"/>
    <w:rsid w:val="00661CE3"/>
    <w:rsid w:val="00670572"/>
    <w:rsid w:val="006719FA"/>
    <w:rsid w:val="00676060"/>
    <w:rsid w:val="00676A60"/>
    <w:rsid w:val="00677579"/>
    <w:rsid w:val="006834DD"/>
    <w:rsid w:val="00683D3C"/>
    <w:rsid w:val="0068668D"/>
    <w:rsid w:val="00695700"/>
    <w:rsid w:val="00696E14"/>
    <w:rsid w:val="006A4B0E"/>
    <w:rsid w:val="006A7064"/>
    <w:rsid w:val="006B21A6"/>
    <w:rsid w:val="006B3C58"/>
    <w:rsid w:val="006B4DED"/>
    <w:rsid w:val="006B785B"/>
    <w:rsid w:val="006C308F"/>
    <w:rsid w:val="006C6AE9"/>
    <w:rsid w:val="006D51BC"/>
    <w:rsid w:val="006D745D"/>
    <w:rsid w:val="006D7EA3"/>
    <w:rsid w:val="006E0FA5"/>
    <w:rsid w:val="006E7FE6"/>
    <w:rsid w:val="006F0E07"/>
    <w:rsid w:val="006F5781"/>
    <w:rsid w:val="00700A58"/>
    <w:rsid w:val="00716AEC"/>
    <w:rsid w:val="00717076"/>
    <w:rsid w:val="00720572"/>
    <w:rsid w:val="00723A4A"/>
    <w:rsid w:val="00723BD0"/>
    <w:rsid w:val="00724A8F"/>
    <w:rsid w:val="00734AFD"/>
    <w:rsid w:val="0074664A"/>
    <w:rsid w:val="0075036B"/>
    <w:rsid w:val="007513F5"/>
    <w:rsid w:val="007548BF"/>
    <w:rsid w:val="00762542"/>
    <w:rsid w:val="00765C86"/>
    <w:rsid w:val="00765CC8"/>
    <w:rsid w:val="00766F62"/>
    <w:rsid w:val="0077126E"/>
    <w:rsid w:val="0077592C"/>
    <w:rsid w:val="00777BBF"/>
    <w:rsid w:val="00781C32"/>
    <w:rsid w:val="00786BEA"/>
    <w:rsid w:val="00787C0B"/>
    <w:rsid w:val="00791087"/>
    <w:rsid w:val="00791B01"/>
    <w:rsid w:val="007A21F1"/>
    <w:rsid w:val="007A433E"/>
    <w:rsid w:val="007A4E02"/>
    <w:rsid w:val="007B22EF"/>
    <w:rsid w:val="007B6359"/>
    <w:rsid w:val="007C3E40"/>
    <w:rsid w:val="007D62A5"/>
    <w:rsid w:val="007E0E37"/>
    <w:rsid w:val="007F269A"/>
    <w:rsid w:val="007F475A"/>
    <w:rsid w:val="007F73CE"/>
    <w:rsid w:val="008076DE"/>
    <w:rsid w:val="0081028F"/>
    <w:rsid w:val="0081688E"/>
    <w:rsid w:val="00817475"/>
    <w:rsid w:val="00825989"/>
    <w:rsid w:val="00832CF4"/>
    <w:rsid w:val="00833C42"/>
    <w:rsid w:val="00833D90"/>
    <w:rsid w:val="00843345"/>
    <w:rsid w:val="0084530E"/>
    <w:rsid w:val="00865DF2"/>
    <w:rsid w:val="0088638B"/>
    <w:rsid w:val="00887A1A"/>
    <w:rsid w:val="00892ADA"/>
    <w:rsid w:val="008956B4"/>
    <w:rsid w:val="00895FF6"/>
    <w:rsid w:val="008A10B8"/>
    <w:rsid w:val="008B160E"/>
    <w:rsid w:val="008B592C"/>
    <w:rsid w:val="008C1A34"/>
    <w:rsid w:val="008C696A"/>
    <w:rsid w:val="008C76A6"/>
    <w:rsid w:val="008D05AB"/>
    <w:rsid w:val="008D670F"/>
    <w:rsid w:val="008D6A86"/>
    <w:rsid w:val="008D6AC3"/>
    <w:rsid w:val="008E01A4"/>
    <w:rsid w:val="008E41B6"/>
    <w:rsid w:val="008E6DD7"/>
    <w:rsid w:val="008E71DB"/>
    <w:rsid w:val="008F500A"/>
    <w:rsid w:val="009029F5"/>
    <w:rsid w:val="009113F3"/>
    <w:rsid w:val="00911B26"/>
    <w:rsid w:val="00920632"/>
    <w:rsid w:val="00921372"/>
    <w:rsid w:val="00924975"/>
    <w:rsid w:val="009317AE"/>
    <w:rsid w:val="009372F5"/>
    <w:rsid w:val="009515EF"/>
    <w:rsid w:val="00952A17"/>
    <w:rsid w:val="009556AB"/>
    <w:rsid w:val="00956216"/>
    <w:rsid w:val="00965301"/>
    <w:rsid w:val="0097086C"/>
    <w:rsid w:val="00971D6C"/>
    <w:rsid w:val="009720DD"/>
    <w:rsid w:val="00982091"/>
    <w:rsid w:val="0099182B"/>
    <w:rsid w:val="0099574B"/>
    <w:rsid w:val="00995F93"/>
    <w:rsid w:val="009A2D72"/>
    <w:rsid w:val="009A3C07"/>
    <w:rsid w:val="009A6B10"/>
    <w:rsid w:val="009B3704"/>
    <w:rsid w:val="009B4CD7"/>
    <w:rsid w:val="009C195C"/>
    <w:rsid w:val="009C7CB7"/>
    <w:rsid w:val="009D1238"/>
    <w:rsid w:val="009D2374"/>
    <w:rsid w:val="009D3F14"/>
    <w:rsid w:val="009E17AF"/>
    <w:rsid w:val="009E3BFE"/>
    <w:rsid w:val="009E4A6D"/>
    <w:rsid w:val="009E59AB"/>
    <w:rsid w:val="009E791C"/>
    <w:rsid w:val="009F751D"/>
    <w:rsid w:val="00A01DEF"/>
    <w:rsid w:val="00A053FD"/>
    <w:rsid w:val="00A10924"/>
    <w:rsid w:val="00A111BF"/>
    <w:rsid w:val="00A1187A"/>
    <w:rsid w:val="00A155E8"/>
    <w:rsid w:val="00A1587C"/>
    <w:rsid w:val="00A16DC3"/>
    <w:rsid w:val="00A20484"/>
    <w:rsid w:val="00A236C7"/>
    <w:rsid w:val="00A238B9"/>
    <w:rsid w:val="00A30917"/>
    <w:rsid w:val="00A35545"/>
    <w:rsid w:val="00A3597E"/>
    <w:rsid w:val="00A43894"/>
    <w:rsid w:val="00A45831"/>
    <w:rsid w:val="00A51221"/>
    <w:rsid w:val="00A5609A"/>
    <w:rsid w:val="00A62F0B"/>
    <w:rsid w:val="00A6390F"/>
    <w:rsid w:val="00A670DD"/>
    <w:rsid w:val="00A71E36"/>
    <w:rsid w:val="00A72245"/>
    <w:rsid w:val="00A72E09"/>
    <w:rsid w:val="00A84F99"/>
    <w:rsid w:val="00A9002F"/>
    <w:rsid w:val="00AB0464"/>
    <w:rsid w:val="00AB4345"/>
    <w:rsid w:val="00AB4AE5"/>
    <w:rsid w:val="00AC2B41"/>
    <w:rsid w:val="00AC7965"/>
    <w:rsid w:val="00AD2155"/>
    <w:rsid w:val="00AD670D"/>
    <w:rsid w:val="00AE06BB"/>
    <w:rsid w:val="00AE6333"/>
    <w:rsid w:val="00AF7007"/>
    <w:rsid w:val="00B0007D"/>
    <w:rsid w:val="00B01F49"/>
    <w:rsid w:val="00B034BA"/>
    <w:rsid w:val="00B067DB"/>
    <w:rsid w:val="00B10BD2"/>
    <w:rsid w:val="00B14D9E"/>
    <w:rsid w:val="00B207CA"/>
    <w:rsid w:val="00B255BC"/>
    <w:rsid w:val="00B26890"/>
    <w:rsid w:val="00B30A95"/>
    <w:rsid w:val="00B32A80"/>
    <w:rsid w:val="00B32CA5"/>
    <w:rsid w:val="00B34C32"/>
    <w:rsid w:val="00B4038E"/>
    <w:rsid w:val="00B43BDD"/>
    <w:rsid w:val="00B454A9"/>
    <w:rsid w:val="00B505D8"/>
    <w:rsid w:val="00B5203D"/>
    <w:rsid w:val="00B521EC"/>
    <w:rsid w:val="00B532B9"/>
    <w:rsid w:val="00B5546E"/>
    <w:rsid w:val="00B5548C"/>
    <w:rsid w:val="00B55871"/>
    <w:rsid w:val="00B664C0"/>
    <w:rsid w:val="00B66B59"/>
    <w:rsid w:val="00B7164E"/>
    <w:rsid w:val="00B72E0A"/>
    <w:rsid w:val="00B72F4E"/>
    <w:rsid w:val="00B74D4F"/>
    <w:rsid w:val="00B76438"/>
    <w:rsid w:val="00B76DAF"/>
    <w:rsid w:val="00B81D61"/>
    <w:rsid w:val="00B844FA"/>
    <w:rsid w:val="00B87401"/>
    <w:rsid w:val="00B87521"/>
    <w:rsid w:val="00BB1B7E"/>
    <w:rsid w:val="00BB5A16"/>
    <w:rsid w:val="00BC26D1"/>
    <w:rsid w:val="00BD2438"/>
    <w:rsid w:val="00BD524D"/>
    <w:rsid w:val="00BD6016"/>
    <w:rsid w:val="00BE373C"/>
    <w:rsid w:val="00BE681A"/>
    <w:rsid w:val="00BF2F12"/>
    <w:rsid w:val="00BF57D5"/>
    <w:rsid w:val="00C015CF"/>
    <w:rsid w:val="00C04F77"/>
    <w:rsid w:val="00C05BE3"/>
    <w:rsid w:val="00C15760"/>
    <w:rsid w:val="00C15847"/>
    <w:rsid w:val="00C209B0"/>
    <w:rsid w:val="00C21360"/>
    <w:rsid w:val="00C258A3"/>
    <w:rsid w:val="00C30B3A"/>
    <w:rsid w:val="00C30F3D"/>
    <w:rsid w:val="00C33C3B"/>
    <w:rsid w:val="00C40FA4"/>
    <w:rsid w:val="00C42C4A"/>
    <w:rsid w:val="00C464D2"/>
    <w:rsid w:val="00C502EE"/>
    <w:rsid w:val="00C706C3"/>
    <w:rsid w:val="00C724AC"/>
    <w:rsid w:val="00C7356B"/>
    <w:rsid w:val="00C73987"/>
    <w:rsid w:val="00C755B0"/>
    <w:rsid w:val="00C75BDA"/>
    <w:rsid w:val="00C804D5"/>
    <w:rsid w:val="00C81E42"/>
    <w:rsid w:val="00C935F5"/>
    <w:rsid w:val="00C957E3"/>
    <w:rsid w:val="00C97468"/>
    <w:rsid w:val="00CA4E25"/>
    <w:rsid w:val="00CB0640"/>
    <w:rsid w:val="00CB0AFA"/>
    <w:rsid w:val="00CB0C03"/>
    <w:rsid w:val="00CB0CBF"/>
    <w:rsid w:val="00CB18EE"/>
    <w:rsid w:val="00CB1FAE"/>
    <w:rsid w:val="00CB56EA"/>
    <w:rsid w:val="00CC0142"/>
    <w:rsid w:val="00CC1AB7"/>
    <w:rsid w:val="00CC3143"/>
    <w:rsid w:val="00CC6593"/>
    <w:rsid w:val="00CD3E2C"/>
    <w:rsid w:val="00CD4C2D"/>
    <w:rsid w:val="00CD6491"/>
    <w:rsid w:val="00CE13B2"/>
    <w:rsid w:val="00CE4189"/>
    <w:rsid w:val="00CE44BE"/>
    <w:rsid w:val="00CE4650"/>
    <w:rsid w:val="00CE65AC"/>
    <w:rsid w:val="00CE6A08"/>
    <w:rsid w:val="00CF6B7D"/>
    <w:rsid w:val="00D05896"/>
    <w:rsid w:val="00D05B1A"/>
    <w:rsid w:val="00D065B1"/>
    <w:rsid w:val="00D07F04"/>
    <w:rsid w:val="00D23BC6"/>
    <w:rsid w:val="00D2701C"/>
    <w:rsid w:val="00D30DDB"/>
    <w:rsid w:val="00D31B71"/>
    <w:rsid w:val="00D40B81"/>
    <w:rsid w:val="00D448E6"/>
    <w:rsid w:val="00D452EE"/>
    <w:rsid w:val="00D47CCC"/>
    <w:rsid w:val="00D51AB8"/>
    <w:rsid w:val="00D532E0"/>
    <w:rsid w:val="00D53418"/>
    <w:rsid w:val="00D61785"/>
    <w:rsid w:val="00D62950"/>
    <w:rsid w:val="00D8159C"/>
    <w:rsid w:val="00D83DFE"/>
    <w:rsid w:val="00D90C27"/>
    <w:rsid w:val="00D97972"/>
    <w:rsid w:val="00DA1046"/>
    <w:rsid w:val="00DC1577"/>
    <w:rsid w:val="00DC5C3D"/>
    <w:rsid w:val="00DC6548"/>
    <w:rsid w:val="00DD4FC5"/>
    <w:rsid w:val="00DD58A8"/>
    <w:rsid w:val="00DD6E6C"/>
    <w:rsid w:val="00DE423D"/>
    <w:rsid w:val="00DE55DD"/>
    <w:rsid w:val="00DE756E"/>
    <w:rsid w:val="00DF064A"/>
    <w:rsid w:val="00DF1BDA"/>
    <w:rsid w:val="00E016E8"/>
    <w:rsid w:val="00E01EA5"/>
    <w:rsid w:val="00E058C9"/>
    <w:rsid w:val="00E072BA"/>
    <w:rsid w:val="00E10029"/>
    <w:rsid w:val="00E11ED4"/>
    <w:rsid w:val="00E1379A"/>
    <w:rsid w:val="00E1511B"/>
    <w:rsid w:val="00E166C1"/>
    <w:rsid w:val="00E216ED"/>
    <w:rsid w:val="00E22241"/>
    <w:rsid w:val="00E24E22"/>
    <w:rsid w:val="00E26BCB"/>
    <w:rsid w:val="00E304D8"/>
    <w:rsid w:val="00E30729"/>
    <w:rsid w:val="00E30B73"/>
    <w:rsid w:val="00E30BD0"/>
    <w:rsid w:val="00E324FA"/>
    <w:rsid w:val="00E34EA5"/>
    <w:rsid w:val="00E352C9"/>
    <w:rsid w:val="00E354DB"/>
    <w:rsid w:val="00E358FA"/>
    <w:rsid w:val="00E44512"/>
    <w:rsid w:val="00E5607A"/>
    <w:rsid w:val="00E56EB9"/>
    <w:rsid w:val="00E64DA8"/>
    <w:rsid w:val="00E73D9F"/>
    <w:rsid w:val="00E76ED1"/>
    <w:rsid w:val="00E77A9B"/>
    <w:rsid w:val="00E8004C"/>
    <w:rsid w:val="00E81664"/>
    <w:rsid w:val="00E8624E"/>
    <w:rsid w:val="00E879D1"/>
    <w:rsid w:val="00E924E1"/>
    <w:rsid w:val="00E95C15"/>
    <w:rsid w:val="00E9643E"/>
    <w:rsid w:val="00E96F87"/>
    <w:rsid w:val="00EA05F3"/>
    <w:rsid w:val="00EA12A1"/>
    <w:rsid w:val="00EA5B01"/>
    <w:rsid w:val="00EB13BE"/>
    <w:rsid w:val="00EB49B2"/>
    <w:rsid w:val="00EC2923"/>
    <w:rsid w:val="00EC3C71"/>
    <w:rsid w:val="00ED0ED1"/>
    <w:rsid w:val="00ED4595"/>
    <w:rsid w:val="00EE119F"/>
    <w:rsid w:val="00EE2767"/>
    <w:rsid w:val="00EE5A78"/>
    <w:rsid w:val="00EF024A"/>
    <w:rsid w:val="00EF5BE5"/>
    <w:rsid w:val="00EF60A9"/>
    <w:rsid w:val="00EF7224"/>
    <w:rsid w:val="00F04CEF"/>
    <w:rsid w:val="00F23C97"/>
    <w:rsid w:val="00F27149"/>
    <w:rsid w:val="00F30E81"/>
    <w:rsid w:val="00F320B4"/>
    <w:rsid w:val="00F349C3"/>
    <w:rsid w:val="00F370C2"/>
    <w:rsid w:val="00F41CC4"/>
    <w:rsid w:val="00F4289F"/>
    <w:rsid w:val="00F44CE6"/>
    <w:rsid w:val="00F45A5E"/>
    <w:rsid w:val="00F51672"/>
    <w:rsid w:val="00F520A7"/>
    <w:rsid w:val="00F5579E"/>
    <w:rsid w:val="00F55A75"/>
    <w:rsid w:val="00F55D65"/>
    <w:rsid w:val="00F62E93"/>
    <w:rsid w:val="00F64E2C"/>
    <w:rsid w:val="00F7063A"/>
    <w:rsid w:val="00F714F5"/>
    <w:rsid w:val="00F71A9D"/>
    <w:rsid w:val="00F72A2E"/>
    <w:rsid w:val="00F76D00"/>
    <w:rsid w:val="00F8107A"/>
    <w:rsid w:val="00F904DA"/>
    <w:rsid w:val="00F92200"/>
    <w:rsid w:val="00F93DF7"/>
    <w:rsid w:val="00F97C0A"/>
    <w:rsid w:val="00FA16FC"/>
    <w:rsid w:val="00FA30A1"/>
    <w:rsid w:val="00FB542D"/>
    <w:rsid w:val="00FB7347"/>
    <w:rsid w:val="00FC2D97"/>
    <w:rsid w:val="00FC3E5F"/>
    <w:rsid w:val="00FC6456"/>
    <w:rsid w:val="00FD584C"/>
    <w:rsid w:val="00FE11F9"/>
    <w:rsid w:val="00FE240D"/>
    <w:rsid w:val="00FE7FC1"/>
    <w:rsid w:val="00FF2C42"/>
    <w:rsid w:val="00FF518B"/>
    <w:rsid w:val="00FF542B"/>
    <w:rsid w:val="00FF5F16"/>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4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751A"/>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D83DFE"/>
    <w:pPr>
      <w:keepNext/>
      <w:keepLines/>
      <w:spacing w:before="40" w:after="0"/>
      <w:outlineLvl w:val="1"/>
    </w:pPr>
    <w:rPr>
      <w:rFonts w:ascii="Cambria" w:hAnsi="Cambria" w:cs="Times New Roman"/>
      <w:color w:val="365F91"/>
      <w:sz w:val="26"/>
      <w:szCs w:val="26"/>
    </w:rPr>
  </w:style>
  <w:style w:type="paragraph" w:styleId="Heading3">
    <w:name w:val="heading 3"/>
    <w:basedOn w:val="Normal"/>
    <w:next w:val="Normal"/>
    <w:link w:val="Heading3Char"/>
    <w:uiPriority w:val="9"/>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C97468"/>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qFormat/>
    <w:rsid w:val="00AC2B41"/>
    <w:pPr>
      <w:keepNext/>
      <w:keepLines/>
      <w:spacing w:before="40" w:after="0"/>
      <w:outlineLvl w:val="4"/>
    </w:pPr>
    <w:rPr>
      <w:rFonts w:ascii="Cambria" w:hAnsi="Cambria" w:cs="Times New Roman"/>
      <w:color w:val="365F91"/>
    </w:rPr>
  </w:style>
  <w:style w:type="paragraph" w:styleId="Heading6">
    <w:name w:val="heading 6"/>
    <w:basedOn w:val="Normal"/>
    <w:next w:val="Normal"/>
    <w:link w:val="Heading6Char"/>
    <w:uiPriority w:val="9"/>
    <w:qFormat/>
    <w:locked/>
    <w:rsid w:val="000F2009"/>
    <w:pPr>
      <w:spacing w:before="240" w:after="60"/>
      <w:outlineLvl w:val="5"/>
    </w:pPr>
    <w:rPr>
      <w:rFonts w:cs="Times New Roman"/>
      <w:b/>
      <w:bCs/>
    </w:rPr>
  </w:style>
  <w:style w:type="paragraph" w:styleId="Heading7">
    <w:name w:val="heading 7"/>
    <w:basedOn w:val="Normal"/>
    <w:next w:val="Normal"/>
    <w:link w:val="Heading7Char"/>
    <w:uiPriority w:val="9"/>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uiPriority w:val="9"/>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7F21"/>
    <w:rPr>
      <w:rFonts w:ascii="Cambria" w:hAnsi="Cambria"/>
      <w:b/>
      <w:kern w:val="32"/>
      <w:sz w:val="32"/>
    </w:rPr>
  </w:style>
  <w:style w:type="character" w:customStyle="1" w:styleId="Heading2Char">
    <w:name w:val="Heading 2 Char"/>
    <w:basedOn w:val="DefaultParagraphFont"/>
    <w:link w:val="Heading2"/>
    <w:uiPriority w:val="9"/>
    <w:locked/>
    <w:rsid w:val="00D83DFE"/>
    <w:rPr>
      <w:rFonts w:ascii="Cambria" w:hAnsi="Cambria"/>
      <w:color w:val="365F91"/>
      <w:sz w:val="26"/>
      <w:lang w:val="en-US" w:eastAsia="en-US"/>
    </w:rPr>
  </w:style>
  <w:style w:type="character" w:customStyle="1" w:styleId="Heading3Char">
    <w:name w:val="Heading 3 Char"/>
    <w:basedOn w:val="DefaultParagraphFont"/>
    <w:link w:val="Heading3"/>
    <w:uiPriority w:val="99"/>
    <w:semiHidden/>
    <w:locked/>
    <w:rsid w:val="003C7F21"/>
    <w:rPr>
      <w:rFonts w:ascii="Cambria" w:hAnsi="Cambria"/>
      <w:b/>
      <w:sz w:val="26"/>
    </w:rPr>
  </w:style>
  <w:style w:type="character" w:customStyle="1" w:styleId="Heading4Char">
    <w:name w:val="Heading 4 Char"/>
    <w:basedOn w:val="DefaultParagraphFont"/>
    <w:link w:val="Heading4"/>
    <w:uiPriority w:val="99"/>
    <w:locked/>
    <w:rsid w:val="00C97468"/>
    <w:rPr>
      <w:rFonts w:ascii="Times New Roman" w:hAnsi="Times New Roman"/>
      <w:b/>
      <w:sz w:val="24"/>
    </w:rPr>
  </w:style>
  <w:style w:type="character" w:customStyle="1" w:styleId="Heading5Char">
    <w:name w:val="Heading 5 Char"/>
    <w:basedOn w:val="DefaultParagraphFont"/>
    <w:link w:val="Heading5"/>
    <w:uiPriority w:val="99"/>
    <w:semiHidden/>
    <w:locked/>
    <w:rsid w:val="00AC2B41"/>
    <w:rPr>
      <w:rFonts w:ascii="Cambria" w:hAnsi="Cambria"/>
      <w:color w:val="365F91"/>
      <w:sz w:val="22"/>
      <w:lang w:val="en-US" w:eastAsia="en-US"/>
    </w:rPr>
  </w:style>
  <w:style w:type="character" w:customStyle="1" w:styleId="Heading6Char">
    <w:name w:val="Heading 6 Char"/>
    <w:basedOn w:val="DefaultParagraphFont"/>
    <w:link w:val="Heading6"/>
    <w:uiPriority w:val="99"/>
    <w:semiHidden/>
    <w:locked/>
    <w:rsid w:val="003C7F21"/>
    <w:rPr>
      <w:rFonts w:ascii="Calibri" w:hAnsi="Calibri"/>
      <w:b/>
    </w:rPr>
  </w:style>
  <w:style w:type="character" w:customStyle="1" w:styleId="Heading7Char">
    <w:name w:val="Heading 7 Char"/>
    <w:basedOn w:val="DefaultParagraphFont"/>
    <w:link w:val="Heading7"/>
    <w:uiPriority w:val="99"/>
    <w:semiHidden/>
    <w:locked/>
    <w:rsid w:val="003C7F21"/>
    <w:rPr>
      <w:rFonts w:ascii="Calibri" w:hAnsi="Calibri"/>
      <w:sz w:val="24"/>
    </w:rPr>
  </w:style>
  <w:style w:type="character" w:customStyle="1" w:styleId="Heading8Char">
    <w:name w:val="Heading 8 Char"/>
    <w:basedOn w:val="DefaultParagraphFont"/>
    <w:link w:val="Heading8"/>
    <w:uiPriority w:val="99"/>
    <w:semiHidden/>
    <w:locked/>
    <w:rsid w:val="003C7F21"/>
    <w:rPr>
      <w:rFonts w:ascii="Calibri" w:hAnsi="Calibri"/>
      <w:i/>
      <w:sz w:val="24"/>
    </w:rPr>
  </w:style>
  <w:style w:type="character" w:customStyle="1" w:styleId="Heading9Char">
    <w:name w:val="Heading 9 Char"/>
    <w:basedOn w:val="DefaultParagraphFont"/>
    <w:link w:val="Heading9"/>
    <w:uiPriority w:val="99"/>
    <w:semiHidden/>
    <w:locked/>
    <w:rsid w:val="003C7F21"/>
    <w:rPr>
      <w:rFonts w:ascii="Cambria" w:hAnsi="Cambria"/>
    </w:rPr>
  </w:style>
  <w:style w:type="paragraph" w:styleId="ListParagraph">
    <w:name w:val="List Paragraph"/>
    <w:aliases w:val="skripsi,spasi 2 taiii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locked/>
    <w:rsid w:val="003C7B51"/>
    <w:rPr>
      <w:rFonts w:ascii="Calibri" w:hAnsi="Calibri"/>
      <w:sz w:val="22"/>
    </w:rPr>
  </w:style>
  <w:style w:type="character" w:styleId="Hyperlink">
    <w:name w:val="Hyperlink"/>
    <w:basedOn w:val="DefaultParagraphFont"/>
    <w:uiPriority w:val="99"/>
    <w:rsid w:val="003C7B51"/>
    <w:rPr>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4B1FA9"/>
    <w:rPr>
      <w:sz w:val="22"/>
      <w:lang w:val="en-US" w:eastAsia="en-US"/>
    </w:rPr>
  </w:style>
  <w:style w:type="table" w:styleId="TableGrid">
    <w:name w:val="Table Grid"/>
    <w:basedOn w:val="TableNormal"/>
    <w:uiPriority w:val="59"/>
    <w:rsid w:val="00C9746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Normal"/>
    <w:uiPriority w:val="99"/>
    <w:semiHidden/>
    <w:rsid w:val="00CE44BE"/>
    <w:pPr>
      <w:spacing w:after="0" w:line="240" w:lineRule="auto"/>
      <w:jc w:val="center"/>
    </w:pPr>
    <w:rPr>
      <w:rFonts w:ascii="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basedOn w:val="DefaultParagraphFont"/>
    <w:uiPriority w:val="20"/>
    <w:qFormat/>
    <w:rsid w:val="00CE44BE"/>
    <w:rPr>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4737"/>
    <w:rPr>
      <w:rFonts w:ascii="Tahoma" w:hAnsi="Tahoma"/>
      <w:sz w:val="16"/>
      <w:lang w:val="en-US" w:eastAsia="en-US"/>
    </w:rPr>
  </w:style>
  <w:style w:type="paragraph" w:customStyle="1" w:styleId="Default">
    <w:name w:val="Default"/>
    <w:link w:val="DefaultChar"/>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rPr>
  </w:style>
  <w:style w:type="paragraph" w:styleId="NormalWeb">
    <w:name w:val="Normal (Web)"/>
    <w:basedOn w:val="Normal"/>
    <w:uiPriority w:val="99"/>
    <w:rsid w:val="00D83DFE"/>
    <w:pPr>
      <w:spacing w:before="100" w:beforeAutospacing="1" w:after="100" w:afterAutospacing="1" w:line="240" w:lineRule="auto"/>
    </w:pPr>
    <w:rPr>
      <w:rFonts w:ascii="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sz w:val="24"/>
      <w:lang w:val="id-ID" w:eastAsia="en-US"/>
    </w:rPr>
  </w:style>
  <w:style w:type="character" w:customStyle="1" w:styleId="08BodyArticleChar">
    <w:name w:val="08_Body Article Char"/>
    <w:link w:val="08BodyArticle"/>
    <w:uiPriority w:val="99"/>
    <w:locked/>
    <w:rsid w:val="009720DD"/>
    <w:rPr>
      <w:rFonts w:ascii="Cambria" w:hAnsi="Cambria"/>
      <w:spacing w:val="-6"/>
      <w:sz w:val="21"/>
      <w:lang w:val="id-ID" w:eastAsia="en-US"/>
    </w:rPr>
  </w:style>
  <w:style w:type="character" w:styleId="PageNumber">
    <w:name w:val="page number"/>
    <w:basedOn w:val="DefaultParagraphFont"/>
    <w:uiPriority w:val="99"/>
    <w:rsid w:val="00677579"/>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basedOn w:val="DefaultParagraphFont"/>
    <w:uiPriority w:val="99"/>
    <w:semiHidden/>
    <w:rsid w:val="000F2009"/>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7F21"/>
    <w:rPr>
      <w:rFonts w:ascii="Times New Roman" w:hAnsi="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hAnsi="Cambria" w:cs="Book Antiqua"/>
      <w:sz w:val="21"/>
      <w:szCs w:val="21"/>
    </w:rPr>
  </w:style>
  <w:style w:type="character" w:customStyle="1" w:styleId="ListParagraphChar">
    <w:name w:val="List Paragraph Char"/>
    <w:aliases w:val="skripsi Char,spasi 2 taiiii Char"/>
    <w:link w:val="ListParagraph"/>
    <w:uiPriority w:val="34"/>
    <w:locked/>
    <w:rsid w:val="002A1BED"/>
    <w:rPr>
      <w:rFonts w:ascii="Calibri" w:hAnsi="Calibri"/>
      <w:sz w:val="22"/>
      <w:lang w:val="en-US" w:eastAsia="en-US"/>
    </w:rPr>
  </w:style>
  <w:style w:type="character" w:styleId="FootnoteReference">
    <w:name w:val="footnote reference"/>
    <w:basedOn w:val="DefaultParagraphFont"/>
    <w:uiPriority w:val="99"/>
    <w:semiHidden/>
    <w:locked/>
    <w:rsid w:val="002A1BED"/>
    <w:rPr>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shorttext">
    <w:name w:val="short_text"/>
    <w:uiPriority w:val="99"/>
    <w:rsid w:val="00545FB9"/>
  </w:style>
  <w:style w:type="character" w:customStyle="1" w:styleId="BodyText2Char">
    <w:name w:val="Body Text 2 Char"/>
    <w:link w:val="BodyText2"/>
    <w:uiPriority w:val="99"/>
    <w:locked/>
    <w:rsid w:val="00004041"/>
    <w:rPr>
      <w:sz w:val="24"/>
      <w:lang w:val="en-US" w:eastAsia="en-US"/>
    </w:r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hAnsi="Times New Roman" w:cs="Times New Roman"/>
      <w:sz w:val="24"/>
      <w:szCs w:val="24"/>
    </w:rPr>
  </w:style>
  <w:style w:type="character" w:customStyle="1" w:styleId="paragrafChar">
    <w:name w:val="paragraf Char"/>
    <w:link w:val="paragraf"/>
    <w:locked/>
    <w:rsid w:val="00EA12A1"/>
    <w:rPr>
      <w:rFonts w:ascii="Times New Roman" w:hAnsi="Times New Roman"/>
      <w:sz w:val="24"/>
      <w:lang w:val="en-US" w:eastAsia="en-US"/>
    </w:rPr>
  </w:style>
  <w:style w:type="table" w:customStyle="1" w:styleId="TableGrid0">
    <w:name w:val="TableGrid"/>
    <w:rsid w:val="00DD58A8"/>
    <w:rPr>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basedOn w:val="DefaultParagraphFont"/>
    <w:link w:val="FootnoteText"/>
    <w:uiPriority w:val="99"/>
    <w:locked/>
    <w:rsid w:val="00B32A80"/>
    <w:rPr>
      <w:rFonts w:ascii="Calibri" w:eastAsia="Times New Roman" w:hAnsi="Calibri"/>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hAnsi="Times New Arabic" w:cs="Arial"/>
      <w:sz w:val="24"/>
      <w:szCs w:val="24"/>
      <w:lang w:val="id-ID"/>
    </w:rPr>
  </w:style>
  <w:style w:type="character" w:styleId="Strong">
    <w:name w:val="Strong"/>
    <w:basedOn w:val="DefaultParagraphFont"/>
    <w:uiPriority w:val="22"/>
    <w:qFormat/>
    <w:locked/>
    <w:rsid w:val="007D62A5"/>
    <w:rPr>
      <w:rFonts w:cs="Times New Roman"/>
      <w:b/>
      <w:bCs/>
    </w:rPr>
  </w:style>
  <w:style w:type="character" w:styleId="IntenseEmphasis">
    <w:name w:val="Intense Emphasis"/>
    <w:basedOn w:val="DefaultParagraphFont"/>
    <w:uiPriority w:val="21"/>
    <w:qFormat/>
    <w:rsid w:val="007D62A5"/>
    <w:rPr>
      <w:rFonts w:cs="Times New Roman"/>
      <w:i/>
      <w:iCs/>
      <w:color w:val="5B9BD5" w:themeColor="accent1"/>
    </w:rPr>
  </w:style>
  <w:style w:type="character" w:styleId="BookTitle">
    <w:name w:val="Book Title"/>
    <w:basedOn w:val="DefaultParagraphFont"/>
    <w:uiPriority w:val="33"/>
    <w:qFormat/>
    <w:rsid w:val="007D62A5"/>
    <w:rPr>
      <w:rFonts w:cs="Times New Roman"/>
      <w:b/>
      <w:bCs/>
      <w:i/>
      <w:iCs/>
      <w:spacing w:val="5"/>
    </w:rPr>
  </w:style>
  <w:style w:type="paragraph" w:styleId="Title">
    <w:name w:val="Title"/>
    <w:basedOn w:val="Normal"/>
    <w:link w:val="TitleChar"/>
    <w:uiPriority w:val="10"/>
    <w:qFormat/>
    <w:locked/>
    <w:rsid w:val="00BB1B7E"/>
    <w:pPr>
      <w:spacing w:after="0" w:line="240" w:lineRule="auto"/>
      <w:jc w:val="center"/>
    </w:pPr>
    <w:rPr>
      <w:rFonts w:ascii="Times New Roman" w:hAnsi="Times New Roman" w:cs="Times New Roman"/>
      <w:b/>
      <w:bCs/>
      <w:sz w:val="24"/>
      <w:szCs w:val="24"/>
      <w:lang w:bidi="ar-EG"/>
    </w:rPr>
  </w:style>
  <w:style w:type="character" w:customStyle="1" w:styleId="TitleChar">
    <w:name w:val="Title Char"/>
    <w:basedOn w:val="DefaultParagraphFont"/>
    <w:link w:val="Title"/>
    <w:uiPriority w:val="10"/>
    <w:locked/>
    <w:rsid w:val="00BB1B7E"/>
    <w:rPr>
      <w:rFonts w:ascii="Times New Roman" w:hAnsi="Times New Roman" w:cs="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hAnsi="Caladea" w:cs="Caladea"/>
      <w:sz w:val="24"/>
      <w:szCs w:val="24"/>
    </w:rPr>
  </w:style>
  <w:style w:type="character" w:customStyle="1" w:styleId="BodyTextChar">
    <w:name w:val="Body Text Char"/>
    <w:basedOn w:val="DefaultParagraphFont"/>
    <w:link w:val="BodyText"/>
    <w:uiPriority w:val="1"/>
    <w:locked/>
    <w:rsid w:val="00720572"/>
    <w:rPr>
      <w:rFonts w:ascii="Caladea" w:eastAsia="Times New Roman" w:hAnsi="Caladea" w:cs="Caladea"/>
      <w:sz w:val="24"/>
      <w:szCs w:val="24"/>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numbering" w:styleId="1ai">
    <w:name w:val="Outline List 1"/>
    <w:basedOn w:val="NoList"/>
    <w:uiPriority w:val="99"/>
    <w:semiHidden/>
    <w:unhideWhenUsed/>
    <w:pPr>
      <w:numPr>
        <w:numId w:val="2"/>
      </w:numPr>
    </w:pPr>
  </w:style>
  <w:style w:type="numbering" w:styleId="111111">
    <w:name w:val="Outline List 2"/>
    <w:basedOn w:val="NoList"/>
    <w:uiPriority w:val="99"/>
    <w:semiHidden/>
    <w:unhideWhenUse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751A"/>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D83DFE"/>
    <w:pPr>
      <w:keepNext/>
      <w:keepLines/>
      <w:spacing w:before="40" w:after="0"/>
      <w:outlineLvl w:val="1"/>
    </w:pPr>
    <w:rPr>
      <w:rFonts w:ascii="Cambria" w:hAnsi="Cambria" w:cs="Times New Roman"/>
      <w:color w:val="365F91"/>
      <w:sz w:val="26"/>
      <w:szCs w:val="26"/>
    </w:rPr>
  </w:style>
  <w:style w:type="paragraph" w:styleId="Heading3">
    <w:name w:val="heading 3"/>
    <w:basedOn w:val="Normal"/>
    <w:next w:val="Normal"/>
    <w:link w:val="Heading3Char"/>
    <w:uiPriority w:val="9"/>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C97468"/>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qFormat/>
    <w:rsid w:val="00AC2B41"/>
    <w:pPr>
      <w:keepNext/>
      <w:keepLines/>
      <w:spacing w:before="40" w:after="0"/>
      <w:outlineLvl w:val="4"/>
    </w:pPr>
    <w:rPr>
      <w:rFonts w:ascii="Cambria" w:hAnsi="Cambria" w:cs="Times New Roman"/>
      <w:color w:val="365F91"/>
    </w:rPr>
  </w:style>
  <w:style w:type="paragraph" w:styleId="Heading6">
    <w:name w:val="heading 6"/>
    <w:basedOn w:val="Normal"/>
    <w:next w:val="Normal"/>
    <w:link w:val="Heading6Char"/>
    <w:uiPriority w:val="9"/>
    <w:qFormat/>
    <w:locked/>
    <w:rsid w:val="000F2009"/>
    <w:pPr>
      <w:spacing w:before="240" w:after="60"/>
      <w:outlineLvl w:val="5"/>
    </w:pPr>
    <w:rPr>
      <w:rFonts w:cs="Times New Roman"/>
      <w:b/>
      <w:bCs/>
    </w:rPr>
  </w:style>
  <w:style w:type="paragraph" w:styleId="Heading7">
    <w:name w:val="heading 7"/>
    <w:basedOn w:val="Normal"/>
    <w:next w:val="Normal"/>
    <w:link w:val="Heading7Char"/>
    <w:uiPriority w:val="9"/>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uiPriority w:val="9"/>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7F21"/>
    <w:rPr>
      <w:rFonts w:ascii="Cambria" w:hAnsi="Cambria"/>
      <w:b/>
      <w:kern w:val="32"/>
      <w:sz w:val="32"/>
    </w:rPr>
  </w:style>
  <w:style w:type="character" w:customStyle="1" w:styleId="Heading2Char">
    <w:name w:val="Heading 2 Char"/>
    <w:basedOn w:val="DefaultParagraphFont"/>
    <w:link w:val="Heading2"/>
    <w:uiPriority w:val="9"/>
    <w:locked/>
    <w:rsid w:val="00D83DFE"/>
    <w:rPr>
      <w:rFonts w:ascii="Cambria" w:hAnsi="Cambria"/>
      <w:color w:val="365F91"/>
      <w:sz w:val="26"/>
      <w:lang w:val="en-US" w:eastAsia="en-US"/>
    </w:rPr>
  </w:style>
  <w:style w:type="character" w:customStyle="1" w:styleId="Heading3Char">
    <w:name w:val="Heading 3 Char"/>
    <w:basedOn w:val="DefaultParagraphFont"/>
    <w:link w:val="Heading3"/>
    <w:uiPriority w:val="99"/>
    <w:semiHidden/>
    <w:locked/>
    <w:rsid w:val="003C7F21"/>
    <w:rPr>
      <w:rFonts w:ascii="Cambria" w:hAnsi="Cambria"/>
      <w:b/>
      <w:sz w:val="26"/>
    </w:rPr>
  </w:style>
  <w:style w:type="character" w:customStyle="1" w:styleId="Heading4Char">
    <w:name w:val="Heading 4 Char"/>
    <w:basedOn w:val="DefaultParagraphFont"/>
    <w:link w:val="Heading4"/>
    <w:uiPriority w:val="99"/>
    <w:locked/>
    <w:rsid w:val="00C97468"/>
    <w:rPr>
      <w:rFonts w:ascii="Times New Roman" w:hAnsi="Times New Roman"/>
      <w:b/>
      <w:sz w:val="24"/>
    </w:rPr>
  </w:style>
  <w:style w:type="character" w:customStyle="1" w:styleId="Heading5Char">
    <w:name w:val="Heading 5 Char"/>
    <w:basedOn w:val="DefaultParagraphFont"/>
    <w:link w:val="Heading5"/>
    <w:uiPriority w:val="99"/>
    <w:semiHidden/>
    <w:locked/>
    <w:rsid w:val="00AC2B41"/>
    <w:rPr>
      <w:rFonts w:ascii="Cambria" w:hAnsi="Cambria"/>
      <w:color w:val="365F91"/>
      <w:sz w:val="22"/>
      <w:lang w:val="en-US" w:eastAsia="en-US"/>
    </w:rPr>
  </w:style>
  <w:style w:type="character" w:customStyle="1" w:styleId="Heading6Char">
    <w:name w:val="Heading 6 Char"/>
    <w:basedOn w:val="DefaultParagraphFont"/>
    <w:link w:val="Heading6"/>
    <w:uiPriority w:val="99"/>
    <w:semiHidden/>
    <w:locked/>
    <w:rsid w:val="003C7F21"/>
    <w:rPr>
      <w:rFonts w:ascii="Calibri" w:hAnsi="Calibri"/>
      <w:b/>
    </w:rPr>
  </w:style>
  <w:style w:type="character" w:customStyle="1" w:styleId="Heading7Char">
    <w:name w:val="Heading 7 Char"/>
    <w:basedOn w:val="DefaultParagraphFont"/>
    <w:link w:val="Heading7"/>
    <w:uiPriority w:val="99"/>
    <w:semiHidden/>
    <w:locked/>
    <w:rsid w:val="003C7F21"/>
    <w:rPr>
      <w:rFonts w:ascii="Calibri" w:hAnsi="Calibri"/>
      <w:sz w:val="24"/>
    </w:rPr>
  </w:style>
  <w:style w:type="character" w:customStyle="1" w:styleId="Heading8Char">
    <w:name w:val="Heading 8 Char"/>
    <w:basedOn w:val="DefaultParagraphFont"/>
    <w:link w:val="Heading8"/>
    <w:uiPriority w:val="99"/>
    <w:semiHidden/>
    <w:locked/>
    <w:rsid w:val="003C7F21"/>
    <w:rPr>
      <w:rFonts w:ascii="Calibri" w:hAnsi="Calibri"/>
      <w:i/>
      <w:sz w:val="24"/>
    </w:rPr>
  </w:style>
  <w:style w:type="character" w:customStyle="1" w:styleId="Heading9Char">
    <w:name w:val="Heading 9 Char"/>
    <w:basedOn w:val="DefaultParagraphFont"/>
    <w:link w:val="Heading9"/>
    <w:uiPriority w:val="99"/>
    <w:semiHidden/>
    <w:locked/>
    <w:rsid w:val="003C7F21"/>
    <w:rPr>
      <w:rFonts w:ascii="Cambria" w:hAnsi="Cambria"/>
    </w:rPr>
  </w:style>
  <w:style w:type="paragraph" w:styleId="ListParagraph">
    <w:name w:val="List Paragraph"/>
    <w:aliases w:val="skripsi,spasi 2 taiii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locked/>
    <w:rsid w:val="003C7B51"/>
    <w:rPr>
      <w:rFonts w:ascii="Calibri" w:hAnsi="Calibri"/>
      <w:sz w:val="22"/>
    </w:rPr>
  </w:style>
  <w:style w:type="character" w:styleId="Hyperlink">
    <w:name w:val="Hyperlink"/>
    <w:basedOn w:val="DefaultParagraphFont"/>
    <w:uiPriority w:val="99"/>
    <w:rsid w:val="003C7B51"/>
    <w:rPr>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4B1FA9"/>
    <w:rPr>
      <w:sz w:val="22"/>
      <w:lang w:val="en-US" w:eastAsia="en-US"/>
    </w:rPr>
  </w:style>
  <w:style w:type="table" w:styleId="TableGrid">
    <w:name w:val="Table Grid"/>
    <w:basedOn w:val="TableNormal"/>
    <w:uiPriority w:val="59"/>
    <w:rsid w:val="00C9746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Normal"/>
    <w:uiPriority w:val="99"/>
    <w:semiHidden/>
    <w:rsid w:val="00CE44BE"/>
    <w:pPr>
      <w:spacing w:after="0" w:line="240" w:lineRule="auto"/>
      <w:jc w:val="center"/>
    </w:pPr>
    <w:rPr>
      <w:rFonts w:ascii="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basedOn w:val="DefaultParagraphFont"/>
    <w:uiPriority w:val="20"/>
    <w:qFormat/>
    <w:rsid w:val="00CE44BE"/>
    <w:rPr>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4737"/>
    <w:rPr>
      <w:rFonts w:ascii="Tahoma" w:hAnsi="Tahoma"/>
      <w:sz w:val="16"/>
      <w:lang w:val="en-US" w:eastAsia="en-US"/>
    </w:rPr>
  </w:style>
  <w:style w:type="paragraph" w:customStyle="1" w:styleId="Default">
    <w:name w:val="Default"/>
    <w:link w:val="DefaultChar"/>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rPr>
  </w:style>
  <w:style w:type="paragraph" w:styleId="NormalWeb">
    <w:name w:val="Normal (Web)"/>
    <w:basedOn w:val="Normal"/>
    <w:uiPriority w:val="99"/>
    <w:rsid w:val="00D83DFE"/>
    <w:pPr>
      <w:spacing w:before="100" w:beforeAutospacing="1" w:after="100" w:afterAutospacing="1" w:line="240" w:lineRule="auto"/>
    </w:pPr>
    <w:rPr>
      <w:rFonts w:ascii="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sz w:val="24"/>
      <w:lang w:val="id-ID" w:eastAsia="en-US"/>
    </w:rPr>
  </w:style>
  <w:style w:type="character" w:customStyle="1" w:styleId="08BodyArticleChar">
    <w:name w:val="08_Body Article Char"/>
    <w:link w:val="08BodyArticle"/>
    <w:uiPriority w:val="99"/>
    <w:locked/>
    <w:rsid w:val="009720DD"/>
    <w:rPr>
      <w:rFonts w:ascii="Cambria" w:hAnsi="Cambria"/>
      <w:spacing w:val="-6"/>
      <w:sz w:val="21"/>
      <w:lang w:val="id-ID" w:eastAsia="en-US"/>
    </w:rPr>
  </w:style>
  <w:style w:type="character" w:styleId="PageNumber">
    <w:name w:val="page number"/>
    <w:basedOn w:val="DefaultParagraphFont"/>
    <w:uiPriority w:val="99"/>
    <w:rsid w:val="00677579"/>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basedOn w:val="DefaultParagraphFont"/>
    <w:uiPriority w:val="99"/>
    <w:semiHidden/>
    <w:rsid w:val="000F2009"/>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7F21"/>
    <w:rPr>
      <w:rFonts w:ascii="Times New Roman" w:hAnsi="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hAnsi="Cambria" w:cs="Book Antiqua"/>
      <w:sz w:val="21"/>
      <w:szCs w:val="21"/>
    </w:rPr>
  </w:style>
  <w:style w:type="character" w:customStyle="1" w:styleId="ListParagraphChar">
    <w:name w:val="List Paragraph Char"/>
    <w:aliases w:val="skripsi Char,spasi 2 taiiii Char"/>
    <w:link w:val="ListParagraph"/>
    <w:uiPriority w:val="34"/>
    <w:locked/>
    <w:rsid w:val="002A1BED"/>
    <w:rPr>
      <w:rFonts w:ascii="Calibri" w:hAnsi="Calibri"/>
      <w:sz w:val="22"/>
      <w:lang w:val="en-US" w:eastAsia="en-US"/>
    </w:rPr>
  </w:style>
  <w:style w:type="character" w:styleId="FootnoteReference">
    <w:name w:val="footnote reference"/>
    <w:basedOn w:val="DefaultParagraphFont"/>
    <w:uiPriority w:val="99"/>
    <w:semiHidden/>
    <w:locked/>
    <w:rsid w:val="002A1BED"/>
    <w:rPr>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shorttext">
    <w:name w:val="short_text"/>
    <w:uiPriority w:val="99"/>
    <w:rsid w:val="00545FB9"/>
  </w:style>
  <w:style w:type="character" w:customStyle="1" w:styleId="BodyText2Char">
    <w:name w:val="Body Text 2 Char"/>
    <w:link w:val="BodyText2"/>
    <w:uiPriority w:val="99"/>
    <w:locked/>
    <w:rsid w:val="00004041"/>
    <w:rPr>
      <w:sz w:val="24"/>
      <w:lang w:val="en-US" w:eastAsia="en-US"/>
    </w:r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hAnsi="Times New Roman" w:cs="Times New Roman"/>
      <w:sz w:val="24"/>
      <w:szCs w:val="24"/>
    </w:rPr>
  </w:style>
  <w:style w:type="character" w:customStyle="1" w:styleId="paragrafChar">
    <w:name w:val="paragraf Char"/>
    <w:link w:val="paragraf"/>
    <w:locked/>
    <w:rsid w:val="00EA12A1"/>
    <w:rPr>
      <w:rFonts w:ascii="Times New Roman" w:hAnsi="Times New Roman"/>
      <w:sz w:val="24"/>
      <w:lang w:val="en-US" w:eastAsia="en-US"/>
    </w:rPr>
  </w:style>
  <w:style w:type="table" w:customStyle="1" w:styleId="TableGrid0">
    <w:name w:val="TableGrid"/>
    <w:rsid w:val="00DD58A8"/>
    <w:rPr>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basedOn w:val="DefaultParagraphFont"/>
    <w:link w:val="FootnoteText"/>
    <w:uiPriority w:val="99"/>
    <w:locked/>
    <w:rsid w:val="00B32A80"/>
    <w:rPr>
      <w:rFonts w:ascii="Calibri" w:eastAsia="Times New Roman" w:hAnsi="Calibri"/>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hAnsi="Times New Arabic" w:cs="Arial"/>
      <w:sz w:val="24"/>
      <w:szCs w:val="24"/>
      <w:lang w:val="id-ID"/>
    </w:rPr>
  </w:style>
  <w:style w:type="character" w:styleId="Strong">
    <w:name w:val="Strong"/>
    <w:basedOn w:val="DefaultParagraphFont"/>
    <w:uiPriority w:val="22"/>
    <w:qFormat/>
    <w:locked/>
    <w:rsid w:val="007D62A5"/>
    <w:rPr>
      <w:rFonts w:cs="Times New Roman"/>
      <w:b/>
      <w:bCs/>
    </w:rPr>
  </w:style>
  <w:style w:type="character" w:styleId="IntenseEmphasis">
    <w:name w:val="Intense Emphasis"/>
    <w:basedOn w:val="DefaultParagraphFont"/>
    <w:uiPriority w:val="21"/>
    <w:qFormat/>
    <w:rsid w:val="007D62A5"/>
    <w:rPr>
      <w:rFonts w:cs="Times New Roman"/>
      <w:i/>
      <w:iCs/>
      <w:color w:val="5B9BD5" w:themeColor="accent1"/>
    </w:rPr>
  </w:style>
  <w:style w:type="character" w:styleId="BookTitle">
    <w:name w:val="Book Title"/>
    <w:basedOn w:val="DefaultParagraphFont"/>
    <w:uiPriority w:val="33"/>
    <w:qFormat/>
    <w:rsid w:val="007D62A5"/>
    <w:rPr>
      <w:rFonts w:cs="Times New Roman"/>
      <w:b/>
      <w:bCs/>
      <w:i/>
      <w:iCs/>
      <w:spacing w:val="5"/>
    </w:rPr>
  </w:style>
  <w:style w:type="paragraph" w:styleId="Title">
    <w:name w:val="Title"/>
    <w:basedOn w:val="Normal"/>
    <w:link w:val="TitleChar"/>
    <w:uiPriority w:val="10"/>
    <w:qFormat/>
    <w:locked/>
    <w:rsid w:val="00BB1B7E"/>
    <w:pPr>
      <w:spacing w:after="0" w:line="240" w:lineRule="auto"/>
      <w:jc w:val="center"/>
    </w:pPr>
    <w:rPr>
      <w:rFonts w:ascii="Times New Roman" w:hAnsi="Times New Roman" w:cs="Times New Roman"/>
      <w:b/>
      <w:bCs/>
      <w:sz w:val="24"/>
      <w:szCs w:val="24"/>
      <w:lang w:bidi="ar-EG"/>
    </w:rPr>
  </w:style>
  <w:style w:type="character" w:customStyle="1" w:styleId="TitleChar">
    <w:name w:val="Title Char"/>
    <w:basedOn w:val="DefaultParagraphFont"/>
    <w:link w:val="Title"/>
    <w:uiPriority w:val="10"/>
    <w:locked/>
    <w:rsid w:val="00BB1B7E"/>
    <w:rPr>
      <w:rFonts w:ascii="Times New Roman" w:hAnsi="Times New Roman" w:cs="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hAnsi="Caladea" w:cs="Caladea"/>
      <w:sz w:val="24"/>
      <w:szCs w:val="24"/>
    </w:rPr>
  </w:style>
  <w:style w:type="character" w:customStyle="1" w:styleId="BodyTextChar">
    <w:name w:val="Body Text Char"/>
    <w:basedOn w:val="DefaultParagraphFont"/>
    <w:link w:val="BodyText"/>
    <w:uiPriority w:val="1"/>
    <w:locked/>
    <w:rsid w:val="00720572"/>
    <w:rPr>
      <w:rFonts w:ascii="Caladea" w:eastAsia="Times New Roman" w:hAnsi="Caladea" w:cs="Caladea"/>
      <w:sz w:val="24"/>
      <w:szCs w:val="24"/>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numbering" w:styleId="1ai">
    <w:name w:val="Outline List 1"/>
    <w:basedOn w:val="NoList"/>
    <w:uiPriority w:val="99"/>
    <w:semiHidden/>
    <w:unhideWhenUsed/>
    <w:pPr>
      <w:numPr>
        <w:numId w:val="2"/>
      </w:numPr>
    </w:pPr>
  </w:style>
  <w:style w:type="numbering" w:styleId="111111">
    <w:name w:val="Outline List 2"/>
    <w:basedOn w:val="NoList"/>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31098/ijmesh.v2i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CD18B-39D4-414A-BD9B-6B86B16B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25</TotalTime>
  <Pages>14</Pages>
  <Words>17169</Words>
  <Characters>97867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114807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creator>Andi</dc:creator>
  <cp:keywords>, docId:9C091A6CD20404BD07448DBEE1F9E75D</cp:keywords>
  <cp:lastModifiedBy>ASUS</cp:lastModifiedBy>
  <cp:revision>20</cp:revision>
  <cp:lastPrinted>2020-04-30T04:32:00Z</cp:lastPrinted>
  <dcterms:created xsi:type="dcterms:W3CDTF">2023-05-13T03:01:00Z</dcterms:created>
  <dcterms:modified xsi:type="dcterms:W3CDTF">2023-05-13T07:06:00Z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http://www.zotero.org/styles/apa-6th-edition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7983b9e7-6951-337e-a88d-b0ceefcab1e0</vt:lpwstr>
  </property>
</Properties>
</file>