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F8DC9" w14:textId="086AB0AF" w:rsidR="001F5236" w:rsidRDefault="001F5236" w:rsidP="001F5236">
      <w:pPr>
        <w:spacing w:after="0" w:line="240" w:lineRule="auto"/>
        <w:jc w:val="center"/>
        <w:rPr>
          <w:rFonts w:ascii="Cambria" w:eastAsia="Cambria" w:hAnsi="Cambria" w:cs="Cambria"/>
          <w:b/>
          <w:color w:val="000000"/>
          <w:sz w:val="26"/>
          <w:szCs w:val="26"/>
        </w:rPr>
      </w:pPr>
      <w:r w:rsidRPr="001F5236">
        <w:rPr>
          <w:rFonts w:ascii="Cambria" w:eastAsia="Cambria" w:hAnsi="Cambria" w:cs="Cambria"/>
          <w:b/>
          <w:color w:val="000000"/>
          <w:sz w:val="26"/>
          <w:szCs w:val="26"/>
        </w:rPr>
        <w:t xml:space="preserve">Analysis </w:t>
      </w:r>
      <w:r w:rsidR="00C9204B">
        <w:rPr>
          <w:rFonts w:ascii="Cambria" w:eastAsia="Cambria" w:hAnsi="Cambria" w:cs="Cambria"/>
          <w:b/>
          <w:color w:val="000000"/>
          <w:sz w:val="26"/>
          <w:szCs w:val="26"/>
        </w:rPr>
        <w:t>o</w:t>
      </w:r>
      <w:r w:rsidRPr="001F5236">
        <w:rPr>
          <w:rFonts w:ascii="Cambria" w:eastAsia="Cambria" w:hAnsi="Cambria" w:cs="Cambria"/>
          <w:b/>
          <w:color w:val="000000"/>
          <w:sz w:val="26"/>
          <w:szCs w:val="26"/>
        </w:rPr>
        <w:t xml:space="preserve">f  Nusaniwe </w:t>
      </w:r>
      <w:r w:rsidR="0076067A">
        <w:rPr>
          <w:rFonts w:ascii="Cambria" w:eastAsia="Cambria" w:hAnsi="Cambria" w:cs="Cambria"/>
          <w:b/>
          <w:color w:val="000000"/>
          <w:sz w:val="26"/>
          <w:szCs w:val="26"/>
        </w:rPr>
        <w:t>Peninsula Ecotourism Management</w:t>
      </w:r>
      <w:bookmarkStart w:id="0" w:name="_GoBack"/>
      <w:bookmarkEnd w:id="0"/>
      <w:r w:rsidRPr="001F5236">
        <w:rPr>
          <w:rFonts w:ascii="Cambria" w:eastAsia="Cambria" w:hAnsi="Cambria" w:cs="Cambria"/>
          <w:b/>
          <w:color w:val="000000"/>
          <w:sz w:val="26"/>
          <w:szCs w:val="26"/>
        </w:rPr>
        <w:t xml:space="preserve">: Sustainable Ecotourism Management Strategies In Ambon City, Indonesia  </w:t>
      </w:r>
    </w:p>
    <w:p w14:paraId="0B555806" w14:textId="77777777" w:rsidR="00D97972" w:rsidRDefault="00D97972" w:rsidP="00D97972">
      <w:pPr>
        <w:spacing w:after="60" w:line="240" w:lineRule="auto"/>
        <w:jc w:val="center"/>
        <w:rPr>
          <w:rFonts w:ascii="Cambria" w:eastAsia="Cambria" w:hAnsi="Cambria" w:cs="Cambria"/>
          <w:b/>
          <w:color w:val="000000"/>
        </w:rPr>
      </w:pPr>
    </w:p>
    <w:p w14:paraId="19D08F06" w14:textId="05BFAC8C" w:rsidR="00C9204B" w:rsidRPr="007E4A1A" w:rsidRDefault="00C9204B" w:rsidP="00C9204B">
      <w:pPr>
        <w:spacing w:after="60" w:line="240" w:lineRule="auto"/>
        <w:jc w:val="center"/>
        <w:rPr>
          <w:rFonts w:ascii="Cambria" w:eastAsia="Cambria" w:hAnsi="Cambria" w:cs="Cambria"/>
          <w:b/>
          <w:color w:val="000000"/>
          <w:vertAlign w:val="superscript"/>
        </w:rPr>
      </w:pPr>
      <w:r w:rsidRPr="00C9204B">
        <w:rPr>
          <w:rFonts w:ascii="Cambria" w:hAnsi="Cambria"/>
          <w:b/>
        </w:rPr>
        <w:t>Dientje Rumerung</w:t>
      </w:r>
      <w:r w:rsidR="007E4A1A">
        <w:rPr>
          <w:rFonts w:ascii="Cambria" w:hAnsi="Cambria"/>
          <w:b/>
          <w:vertAlign w:val="superscript"/>
        </w:rPr>
        <w:t>1*</w:t>
      </w:r>
      <w:r w:rsidRPr="00C9204B">
        <w:rPr>
          <w:rFonts w:ascii="Cambria" w:hAnsi="Cambria"/>
          <w:b/>
        </w:rPr>
        <w:t>, Steven Siaila</w:t>
      </w:r>
      <w:r w:rsidR="007E4A1A">
        <w:rPr>
          <w:rFonts w:ascii="Cambria" w:hAnsi="Cambria"/>
          <w:b/>
          <w:vertAlign w:val="superscript"/>
        </w:rPr>
        <w:t>2</w:t>
      </w:r>
    </w:p>
    <w:p w14:paraId="132F016E" w14:textId="77777777" w:rsidR="00C9204B" w:rsidRDefault="00C9204B" w:rsidP="00C9204B">
      <w:pPr>
        <w:spacing w:after="0" w:line="240" w:lineRule="auto"/>
        <w:ind w:left="284" w:hanging="284"/>
        <w:jc w:val="center"/>
        <w:rPr>
          <w:rFonts w:ascii="Cambria" w:hAnsi="Cambria"/>
          <w:sz w:val="20"/>
          <w:szCs w:val="20"/>
        </w:rPr>
      </w:pPr>
      <w:r w:rsidRPr="00C9204B">
        <w:rPr>
          <w:rFonts w:ascii="Cambria" w:hAnsi="Cambria"/>
          <w:sz w:val="20"/>
          <w:szCs w:val="20"/>
          <w:vertAlign w:val="superscript"/>
        </w:rPr>
        <w:t>1</w:t>
      </w:r>
      <w:r w:rsidRPr="00C9204B">
        <w:rPr>
          <w:rFonts w:ascii="Cambria" w:hAnsi="Cambria"/>
          <w:sz w:val="20"/>
          <w:szCs w:val="20"/>
        </w:rPr>
        <w:t>Department of Economic development, of Economics and Business, University of Pattimura, Ambon, Indonesia</w:t>
      </w:r>
    </w:p>
    <w:p w14:paraId="1A9388D4" w14:textId="6B55C86F" w:rsidR="00C9204B" w:rsidRDefault="002A7BB8" w:rsidP="00C9204B">
      <w:pPr>
        <w:spacing w:after="0" w:line="240" w:lineRule="auto"/>
        <w:ind w:left="284" w:hanging="284"/>
        <w:jc w:val="center"/>
        <w:rPr>
          <w:rFonts w:ascii="Cambria" w:hAnsi="Cambria"/>
          <w:sz w:val="20"/>
          <w:szCs w:val="20"/>
        </w:rPr>
      </w:pPr>
      <w:r>
        <w:rPr>
          <w:rFonts w:ascii="Cambria" w:hAnsi="Cambria"/>
          <w:sz w:val="20"/>
          <w:szCs w:val="20"/>
          <w:vertAlign w:val="superscript"/>
        </w:rPr>
        <w:t>2</w:t>
      </w:r>
      <w:r w:rsidR="00C9204B" w:rsidRPr="00C9204B">
        <w:rPr>
          <w:rFonts w:ascii="Cambria" w:hAnsi="Cambria"/>
          <w:sz w:val="20"/>
          <w:szCs w:val="20"/>
        </w:rPr>
        <w:t xml:space="preserve"> Department of Management, of Economics and Business, University of Pattimura, </w:t>
      </w:r>
      <w:r w:rsidR="00C9204B">
        <w:rPr>
          <w:rFonts w:ascii="Cambria" w:hAnsi="Cambria"/>
          <w:sz w:val="20"/>
          <w:szCs w:val="20"/>
        </w:rPr>
        <w:t>Ambon, Indonesia</w:t>
      </w:r>
    </w:p>
    <w:p w14:paraId="710BA142" w14:textId="75C3090E" w:rsidR="00C9204B" w:rsidRPr="00C9204B" w:rsidRDefault="00C9204B" w:rsidP="00C9204B">
      <w:pPr>
        <w:spacing w:after="0" w:line="240" w:lineRule="auto"/>
        <w:ind w:left="284" w:hanging="284"/>
        <w:jc w:val="center"/>
        <w:rPr>
          <w:rFonts w:ascii="Cambria" w:hAnsi="Cambria"/>
          <w:sz w:val="20"/>
          <w:szCs w:val="20"/>
        </w:rPr>
      </w:pPr>
      <w:r>
        <w:rPr>
          <w:rFonts w:ascii="Cambria" w:hAnsi="Cambria"/>
          <w:sz w:val="20"/>
          <w:szCs w:val="20"/>
        </w:rPr>
        <w:t>E-mail</w:t>
      </w:r>
      <w:r w:rsidR="00D2663B">
        <w:rPr>
          <w:rFonts w:ascii="Cambria" w:hAnsi="Cambria"/>
          <w:sz w:val="20"/>
          <w:szCs w:val="20"/>
        </w:rPr>
        <w:t xml:space="preserve">: </w:t>
      </w:r>
      <w:r w:rsidRPr="00C9204B">
        <w:rPr>
          <w:rFonts w:ascii="Cambria" w:hAnsi="Cambria"/>
          <w:sz w:val="20"/>
          <w:szCs w:val="20"/>
        </w:rPr>
        <w:t>ruemrungdientje@gmail.com</w:t>
      </w:r>
    </w:p>
    <w:p w14:paraId="2F7EDB82" w14:textId="77777777" w:rsidR="00C9204B" w:rsidRPr="00307F16" w:rsidRDefault="00C9204B" w:rsidP="00307F16">
      <w:pPr>
        <w:spacing w:after="0" w:line="240" w:lineRule="auto"/>
        <w:jc w:val="center"/>
        <w:rPr>
          <w:rFonts w:ascii="Cambria" w:eastAsia="Cambria" w:hAnsi="Cambria" w:cs="Cambria"/>
          <w:color w:val="000000"/>
          <w:sz w:val="20"/>
          <w:szCs w:val="20"/>
        </w:rPr>
      </w:pPr>
    </w:p>
    <w:p w14:paraId="05271E61" w14:textId="77777777" w:rsidR="00D97972" w:rsidRDefault="00D97972" w:rsidP="00D97972">
      <w:pPr>
        <w:spacing w:before="240" w:after="60" w:line="240" w:lineRule="auto"/>
        <w:jc w:val="center"/>
        <w:rPr>
          <w:rFonts w:ascii="Cambria" w:eastAsia="Cambria" w:hAnsi="Cambria" w:cs="Cambria"/>
          <w:b/>
          <w:color w:val="000000"/>
        </w:rPr>
      </w:pPr>
      <w:r>
        <w:rPr>
          <w:rFonts w:ascii="Cambria" w:eastAsia="Cambria" w:hAnsi="Cambria" w:cs="Cambria"/>
          <w:b/>
          <w:color w:val="000000"/>
        </w:rPr>
        <w:t>Abstract</w:t>
      </w:r>
    </w:p>
    <w:p w14:paraId="4BEBCE02" w14:textId="39F9DCBD" w:rsidR="00D97972" w:rsidRDefault="009F1FDE" w:rsidP="009F1FDE">
      <w:pPr>
        <w:spacing w:after="0" w:line="240" w:lineRule="auto"/>
        <w:ind w:left="567" w:right="567"/>
        <w:jc w:val="both"/>
        <w:rPr>
          <w:rFonts w:ascii="Cambria" w:eastAsia="Cambria" w:hAnsi="Cambria" w:cs="Cambria"/>
          <w:color w:val="000000"/>
          <w:sz w:val="18"/>
          <w:szCs w:val="18"/>
        </w:rPr>
      </w:pPr>
      <w:r w:rsidRPr="009F1FDE">
        <w:rPr>
          <w:rFonts w:ascii="Cambria" w:hAnsi="Cambria" w:cs="Times New Roman"/>
          <w:sz w:val="18"/>
          <w:szCs w:val="18"/>
        </w:rPr>
        <w:t xml:space="preserve">Ecotourism is a tourism development that prioritizes the sustainability of tourism objects sustainably. This condition occurs in response to natural conditions that experience natural exploitation and destruction of nature, including tourism objects that threaten its sustainability. Ecotourism is a form of tourism that takes place on existing tourist objects without damaging or disturbing the sustainability of tourist objects. Ambon City, especially Nusaniwe District, has more than 22 tourist objects that have been developed or have not been touched by development. It requires analysis that will guide its development in the future. This writing utilizes the Chi-Square statistical analysis method to test the descriptive hypothesis of one sample or one variable consisting of two or more categories. Besides, it can be used to test the comparative hypothesis of 2 samples or 2 variables and the associative hypothesis on a nominal scale. The results show that many tourist objects in Nusaniwe District have been identified, and some have not been identified. These tourist objects are constantly visited by the public and can generate income. The highest consumer surplus value is in the Tourist Attractions (ODTW) of Tanjung Batu Konde Beach, which is Rp. 208.355.00, and the lowest is at Sumber Jaya Beach, which is Rp. 12,545.50. The highest total economic value is in Tanjung Batu Konde, which is Rp. 352,033,800.00, and the lowest is also on Sumber Jaya Beach, which is Rp. 8,480,758.00. If tourism objects in the sub-district of Nusaniwe can be developed, it can be ascertained that they will be able to make a positive contribution to the community around the object and also to the Village Government, </w:t>
      </w:r>
      <w:r w:rsidRPr="009F1FDE">
        <w:rPr>
          <w:rFonts w:ascii="Cambria" w:hAnsi="Cambria" w:cs="Times New Roman"/>
          <w:i/>
          <w:iCs/>
          <w:sz w:val="18"/>
          <w:szCs w:val="18"/>
        </w:rPr>
        <w:t>Negeri</w:t>
      </w:r>
      <w:r w:rsidRPr="009F1FDE">
        <w:rPr>
          <w:rFonts w:ascii="Cambria" w:hAnsi="Cambria" w:cs="Times New Roman"/>
          <w:sz w:val="18"/>
          <w:szCs w:val="18"/>
        </w:rPr>
        <w:t xml:space="preserve"> Government and even City Government.</w:t>
      </w:r>
    </w:p>
    <w:p w14:paraId="41960D43" w14:textId="77777777" w:rsidR="009F1FDE" w:rsidRDefault="009F1FDE" w:rsidP="009F1FDE">
      <w:pPr>
        <w:spacing w:after="0" w:line="240" w:lineRule="auto"/>
        <w:ind w:left="567" w:right="567"/>
        <w:jc w:val="both"/>
        <w:rPr>
          <w:rFonts w:ascii="Cambria" w:eastAsia="Cambria" w:hAnsi="Cambria" w:cs="Cambria"/>
          <w:color w:val="000000"/>
          <w:sz w:val="18"/>
          <w:szCs w:val="18"/>
        </w:rPr>
      </w:pPr>
    </w:p>
    <w:p w14:paraId="2B009AA9" w14:textId="06354C18" w:rsidR="008732E3" w:rsidRPr="008732E3" w:rsidRDefault="008732E3" w:rsidP="008732E3">
      <w:pPr>
        <w:spacing w:after="0" w:line="240" w:lineRule="auto"/>
        <w:ind w:left="1560" w:right="567" w:hanging="993"/>
        <w:jc w:val="both"/>
        <w:rPr>
          <w:rFonts w:ascii="Cambria" w:eastAsia="Cambria" w:hAnsi="Cambria" w:cs="Cambria"/>
          <w:color w:val="000000"/>
          <w:sz w:val="18"/>
          <w:szCs w:val="18"/>
        </w:rPr>
      </w:pPr>
      <w:r>
        <w:rPr>
          <w:rFonts w:ascii="Cambria" w:eastAsia="Cambria" w:hAnsi="Cambria" w:cs="Cambria"/>
          <w:color w:val="000000"/>
          <w:sz w:val="18"/>
          <w:szCs w:val="18"/>
        </w:rPr>
        <w:t xml:space="preserve">Keywords: </w:t>
      </w:r>
      <w:r w:rsidRPr="008732E3">
        <w:rPr>
          <w:rFonts w:ascii="Cambria" w:hAnsi="Cambria" w:cs="Times New Roman"/>
          <w:sz w:val="18"/>
          <w:szCs w:val="18"/>
        </w:rPr>
        <w:t>Tourist attraction, ecotourism, sustainable management, income</w:t>
      </w:r>
    </w:p>
    <w:p w14:paraId="4899EEE8" w14:textId="77777777" w:rsidR="00D97972" w:rsidRDefault="00D97972" w:rsidP="00D97972">
      <w:pPr>
        <w:spacing w:before="240" w:after="60" w:line="240" w:lineRule="auto"/>
        <w:jc w:val="center"/>
        <w:rPr>
          <w:rFonts w:ascii="Cambria" w:eastAsia="Cambria" w:hAnsi="Cambria" w:cs="Cambria"/>
          <w:b/>
          <w:color w:val="000000"/>
        </w:rPr>
      </w:pPr>
      <w:r>
        <w:rPr>
          <w:rFonts w:ascii="Cambria" w:eastAsia="Cambria" w:hAnsi="Cambria" w:cs="Cambria"/>
          <w:b/>
          <w:color w:val="000000"/>
        </w:rPr>
        <w:t>Abstrak</w:t>
      </w:r>
    </w:p>
    <w:p w14:paraId="18C2FA92" w14:textId="7F364E08" w:rsidR="00EB2406" w:rsidRDefault="00EB2406" w:rsidP="00EB2406">
      <w:pPr>
        <w:pBdr>
          <w:bottom w:val="single" w:sz="2" w:space="3" w:color="000000" w:shadow="1"/>
        </w:pBdr>
        <w:spacing w:after="0" w:line="240" w:lineRule="auto"/>
        <w:ind w:left="567" w:right="567"/>
        <w:jc w:val="both"/>
        <w:rPr>
          <w:rFonts w:ascii="Cambria" w:eastAsia="Cambria" w:hAnsi="Cambria" w:cs="Cambria"/>
          <w:color w:val="000000"/>
          <w:sz w:val="18"/>
          <w:szCs w:val="18"/>
        </w:rPr>
      </w:pPr>
      <w:proofErr w:type="gramStart"/>
      <w:r w:rsidRPr="00EB2406">
        <w:rPr>
          <w:rFonts w:ascii="Cambria" w:eastAsia="Cambria" w:hAnsi="Cambria" w:cs="Cambria"/>
          <w:color w:val="000000"/>
          <w:sz w:val="18"/>
          <w:szCs w:val="18"/>
        </w:rPr>
        <w:t>Ekowisata merupakan pengembangan pariwisata yang mengutamakan kelestarian objek wisata secara berkelanjutan.</w:t>
      </w:r>
      <w:proofErr w:type="gramEnd"/>
      <w:r w:rsidRPr="00EB2406">
        <w:rPr>
          <w:rFonts w:ascii="Cambria" w:eastAsia="Cambria" w:hAnsi="Cambria" w:cs="Cambria"/>
          <w:color w:val="000000"/>
          <w:sz w:val="18"/>
          <w:szCs w:val="18"/>
        </w:rPr>
        <w:t xml:space="preserve"> </w:t>
      </w:r>
      <w:proofErr w:type="gramStart"/>
      <w:r w:rsidRPr="00EB2406">
        <w:rPr>
          <w:rFonts w:ascii="Cambria" w:eastAsia="Cambria" w:hAnsi="Cambria" w:cs="Cambria"/>
          <w:color w:val="000000"/>
          <w:sz w:val="18"/>
          <w:szCs w:val="18"/>
        </w:rPr>
        <w:t>Kondisi ini terjadi sebagai respon terhadap kondisi alam yang mengalami eksploitasi alam dan perusakan alam, termasuk obyek wisata yang mengancam kelestariannya.</w:t>
      </w:r>
      <w:proofErr w:type="gramEnd"/>
      <w:r w:rsidRPr="00EB2406">
        <w:rPr>
          <w:rFonts w:ascii="Cambria" w:eastAsia="Cambria" w:hAnsi="Cambria" w:cs="Cambria"/>
          <w:color w:val="000000"/>
          <w:sz w:val="18"/>
          <w:szCs w:val="18"/>
        </w:rPr>
        <w:t xml:space="preserve"> </w:t>
      </w:r>
      <w:proofErr w:type="gramStart"/>
      <w:r w:rsidRPr="00EB2406">
        <w:rPr>
          <w:rFonts w:ascii="Cambria" w:eastAsia="Cambria" w:hAnsi="Cambria" w:cs="Cambria"/>
          <w:color w:val="000000"/>
          <w:sz w:val="18"/>
          <w:szCs w:val="18"/>
        </w:rPr>
        <w:t>Ekowisata adalah suatu bentuk wisata yang berlangsung pada obyek wisata yang ada tanpa merusak atau mengganggu kelestarian obyek wisata tersebut.</w:t>
      </w:r>
      <w:proofErr w:type="gramEnd"/>
      <w:r w:rsidRPr="00EB2406">
        <w:rPr>
          <w:rFonts w:ascii="Cambria" w:eastAsia="Cambria" w:hAnsi="Cambria" w:cs="Cambria"/>
          <w:color w:val="000000"/>
          <w:sz w:val="18"/>
          <w:szCs w:val="18"/>
        </w:rPr>
        <w:t xml:space="preserve"> </w:t>
      </w:r>
      <w:proofErr w:type="gramStart"/>
      <w:r w:rsidRPr="00EB2406">
        <w:rPr>
          <w:rFonts w:ascii="Cambria" w:eastAsia="Cambria" w:hAnsi="Cambria" w:cs="Cambria"/>
          <w:color w:val="000000"/>
          <w:sz w:val="18"/>
          <w:szCs w:val="18"/>
        </w:rPr>
        <w:t>Kota Ambon khususnya Kecamatan Nusaniwe memiliki lebih dari 22 objek wisata yang sudah dikembangkan atau belum tersentuh pembangunan.</w:t>
      </w:r>
      <w:proofErr w:type="gramEnd"/>
      <w:r w:rsidRPr="00EB2406">
        <w:rPr>
          <w:rFonts w:ascii="Cambria" w:eastAsia="Cambria" w:hAnsi="Cambria" w:cs="Cambria"/>
          <w:color w:val="000000"/>
          <w:sz w:val="18"/>
          <w:szCs w:val="18"/>
        </w:rPr>
        <w:t xml:space="preserve"> Ini membutuhkan analisis yang </w:t>
      </w:r>
      <w:proofErr w:type="gramStart"/>
      <w:r w:rsidRPr="00EB2406">
        <w:rPr>
          <w:rFonts w:ascii="Cambria" w:eastAsia="Cambria" w:hAnsi="Cambria" w:cs="Cambria"/>
          <w:color w:val="000000"/>
          <w:sz w:val="18"/>
          <w:szCs w:val="18"/>
        </w:rPr>
        <w:t>akan</w:t>
      </w:r>
      <w:proofErr w:type="gramEnd"/>
      <w:r w:rsidRPr="00EB2406">
        <w:rPr>
          <w:rFonts w:ascii="Cambria" w:eastAsia="Cambria" w:hAnsi="Cambria" w:cs="Cambria"/>
          <w:color w:val="000000"/>
          <w:sz w:val="18"/>
          <w:szCs w:val="18"/>
        </w:rPr>
        <w:t xml:space="preserve"> memandu perkembangannya di masa depan. </w:t>
      </w:r>
      <w:proofErr w:type="gramStart"/>
      <w:r w:rsidRPr="00EB2406">
        <w:rPr>
          <w:rFonts w:ascii="Cambria" w:eastAsia="Cambria" w:hAnsi="Cambria" w:cs="Cambria"/>
          <w:color w:val="000000"/>
          <w:sz w:val="18"/>
          <w:szCs w:val="18"/>
        </w:rPr>
        <w:t>Penulisan ini menggunakan metode analisis statistik Chi-Square untuk menguji hipotesis deskriptif satu sampel atau satu variabel yang terdiri dari dua kategori atau lebih.</w:t>
      </w:r>
      <w:proofErr w:type="gramEnd"/>
      <w:r w:rsidRPr="00EB2406">
        <w:rPr>
          <w:rFonts w:ascii="Cambria" w:eastAsia="Cambria" w:hAnsi="Cambria" w:cs="Cambria"/>
          <w:color w:val="000000"/>
          <w:sz w:val="18"/>
          <w:szCs w:val="18"/>
        </w:rPr>
        <w:t xml:space="preserve"> </w:t>
      </w:r>
      <w:proofErr w:type="gramStart"/>
      <w:r w:rsidRPr="00EB2406">
        <w:rPr>
          <w:rFonts w:ascii="Cambria" w:eastAsia="Cambria" w:hAnsi="Cambria" w:cs="Cambria"/>
          <w:color w:val="000000"/>
          <w:sz w:val="18"/>
          <w:szCs w:val="18"/>
        </w:rPr>
        <w:t>Selain itu, dapat digunakan untuk menguji hipotesis komparatif 2 sampel atau 2 variabel dan hipotesis asosiatif dalam skala nominal.</w:t>
      </w:r>
      <w:proofErr w:type="gramEnd"/>
      <w:r w:rsidRPr="00EB2406">
        <w:rPr>
          <w:rFonts w:ascii="Cambria" w:eastAsia="Cambria" w:hAnsi="Cambria" w:cs="Cambria"/>
          <w:color w:val="000000"/>
          <w:sz w:val="18"/>
          <w:szCs w:val="18"/>
        </w:rPr>
        <w:t xml:space="preserve"> </w:t>
      </w:r>
      <w:proofErr w:type="gramStart"/>
      <w:r w:rsidRPr="00EB2406">
        <w:rPr>
          <w:rFonts w:ascii="Cambria" w:eastAsia="Cambria" w:hAnsi="Cambria" w:cs="Cambria"/>
          <w:color w:val="000000"/>
          <w:sz w:val="18"/>
          <w:szCs w:val="18"/>
        </w:rPr>
        <w:t>Hasil penelitian menunjukkan objek wisata di Kecamatan Nusaniwe banyak yang sudah teridentifikasi, dan ada juga yang belum teridentifikasi.</w:t>
      </w:r>
      <w:proofErr w:type="gramEnd"/>
      <w:r w:rsidRPr="00EB2406">
        <w:rPr>
          <w:rFonts w:ascii="Cambria" w:eastAsia="Cambria" w:hAnsi="Cambria" w:cs="Cambria"/>
          <w:color w:val="000000"/>
          <w:sz w:val="18"/>
          <w:szCs w:val="18"/>
        </w:rPr>
        <w:t xml:space="preserve"> </w:t>
      </w:r>
      <w:proofErr w:type="gramStart"/>
      <w:r w:rsidRPr="00EB2406">
        <w:rPr>
          <w:rFonts w:ascii="Cambria" w:eastAsia="Cambria" w:hAnsi="Cambria" w:cs="Cambria"/>
          <w:color w:val="000000"/>
          <w:sz w:val="18"/>
          <w:szCs w:val="18"/>
        </w:rPr>
        <w:t>Obyek wisata ini selalu dikunjungi oleh masyarakat dan dapat menghasilkan pendapatan.</w:t>
      </w:r>
      <w:proofErr w:type="gramEnd"/>
      <w:r w:rsidRPr="00EB2406">
        <w:rPr>
          <w:rFonts w:ascii="Cambria" w:eastAsia="Cambria" w:hAnsi="Cambria" w:cs="Cambria"/>
          <w:color w:val="000000"/>
          <w:sz w:val="18"/>
          <w:szCs w:val="18"/>
        </w:rPr>
        <w:t xml:space="preserve"> </w:t>
      </w:r>
      <w:proofErr w:type="gramStart"/>
      <w:r w:rsidRPr="00EB2406">
        <w:rPr>
          <w:rFonts w:ascii="Cambria" w:eastAsia="Cambria" w:hAnsi="Cambria" w:cs="Cambria"/>
          <w:color w:val="000000"/>
          <w:sz w:val="18"/>
          <w:szCs w:val="18"/>
        </w:rPr>
        <w:t>Nilai surplus konsumen tertinggi terdapat pada Tempat Wisata (ODTW) Pantai Tanjung Batu Konde yaitu sebesar Rp. 208.355.00, dan terendah di Pantai Sumber Jaya yaitu Rp. 12.545,50.</w:t>
      </w:r>
      <w:proofErr w:type="gramEnd"/>
      <w:r w:rsidRPr="00EB2406">
        <w:rPr>
          <w:rFonts w:ascii="Cambria" w:eastAsia="Cambria" w:hAnsi="Cambria" w:cs="Cambria"/>
          <w:color w:val="000000"/>
          <w:sz w:val="18"/>
          <w:szCs w:val="18"/>
        </w:rPr>
        <w:t xml:space="preserve"> Total nilai ekonomi tertinggi ada di Tanjung Batu Konde yaitu Rp. 352.033.800</w:t>
      </w:r>
      <w:proofErr w:type="gramStart"/>
      <w:r w:rsidRPr="00EB2406">
        <w:rPr>
          <w:rFonts w:ascii="Cambria" w:eastAsia="Cambria" w:hAnsi="Cambria" w:cs="Cambria"/>
          <w:color w:val="000000"/>
          <w:sz w:val="18"/>
          <w:szCs w:val="18"/>
        </w:rPr>
        <w:t>,00</w:t>
      </w:r>
      <w:proofErr w:type="gramEnd"/>
      <w:r w:rsidRPr="00EB2406">
        <w:rPr>
          <w:rFonts w:ascii="Cambria" w:eastAsia="Cambria" w:hAnsi="Cambria" w:cs="Cambria"/>
          <w:color w:val="000000"/>
          <w:sz w:val="18"/>
          <w:szCs w:val="18"/>
        </w:rPr>
        <w:t xml:space="preserve">, dan yang terendah juga terdapat di Pantai Sumber Jaya yaitu Rp. 8.480.758,00. Jika objek wisata di Kecamatan Nusaniwe dapat dikembangkan maka dapat dipastikan </w:t>
      </w:r>
      <w:proofErr w:type="gramStart"/>
      <w:r w:rsidRPr="00EB2406">
        <w:rPr>
          <w:rFonts w:ascii="Cambria" w:eastAsia="Cambria" w:hAnsi="Cambria" w:cs="Cambria"/>
          <w:color w:val="000000"/>
          <w:sz w:val="18"/>
          <w:szCs w:val="18"/>
        </w:rPr>
        <w:t>akan</w:t>
      </w:r>
      <w:proofErr w:type="gramEnd"/>
      <w:r w:rsidRPr="00EB2406">
        <w:rPr>
          <w:rFonts w:ascii="Cambria" w:eastAsia="Cambria" w:hAnsi="Cambria" w:cs="Cambria"/>
          <w:color w:val="000000"/>
          <w:sz w:val="18"/>
          <w:szCs w:val="18"/>
        </w:rPr>
        <w:t xml:space="preserve"> mampu memberikan kontribusi yang positif bagi masyarakat sekitar objek tersebut dan juga bagi Pemerintah Desa, Pemerintah Negeri bahkan Pemerintah Kota.</w:t>
      </w:r>
    </w:p>
    <w:p w14:paraId="453B513C" w14:textId="77777777" w:rsidR="00D97972" w:rsidRDefault="00D97972" w:rsidP="00D97972">
      <w:pPr>
        <w:pBdr>
          <w:bottom w:val="single" w:sz="2" w:space="3" w:color="000000" w:shadow="1"/>
        </w:pBdr>
        <w:spacing w:after="0" w:line="240" w:lineRule="auto"/>
        <w:ind w:left="1701" w:right="567" w:hanging="1134"/>
        <w:jc w:val="both"/>
        <w:rPr>
          <w:rFonts w:ascii="Cambria" w:eastAsia="Cambria" w:hAnsi="Cambria" w:cs="Cambria"/>
          <w:color w:val="000000"/>
          <w:sz w:val="18"/>
          <w:szCs w:val="18"/>
        </w:rPr>
      </w:pPr>
    </w:p>
    <w:p w14:paraId="0FA84204" w14:textId="1709ED52" w:rsidR="00D97972" w:rsidRDefault="00D97972" w:rsidP="00D97972">
      <w:pPr>
        <w:pBdr>
          <w:bottom w:val="single" w:sz="2" w:space="3" w:color="000000" w:shadow="1"/>
        </w:pBdr>
        <w:spacing w:after="0" w:line="240" w:lineRule="auto"/>
        <w:ind w:left="567" w:right="567"/>
        <w:jc w:val="both"/>
        <w:rPr>
          <w:rFonts w:ascii="Cambria" w:eastAsia="Cambria" w:hAnsi="Cambria" w:cs="Cambria"/>
          <w:color w:val="0000FF"/>
          <w:sz w:val="18"/>
          <w:szCs w:val="18"/>
        </w:rPr>
      </w:pPr>
      <w:r>
        <w:rPr>
          <w:rFonts w:ascii="Cambria" w:eastAsia="Cambria" w:hAnsi="Cambria" w:cs="Cambria"/>
          <w:color w:val="000000"/>
          <w:sz w:val="18"/>
          <w:szCs w:val="18"/>
        </w:rPr>
        <w:lastRenderedPageBreak/>
        <w:t xml:space="preserve">Kata </w:t>
      </w:r>
      <w:r w:rsidR="0033149F">
        <w:rPr>
          <w:rFonts w:ascii="Cambria" w:eastAsia="Cambria" w:hAnsi="Cambria" w:cs="Cambria"/>
          <w:color w:val="000000"/>
          <w:sz w:val="18"/>
          <w:szCs w:val="18"/>
        </w:rPr>
        <w:t>k</w:t>
      </w:r>
      <w:r w:rsidR="00406B83">
        <w:rPr>
          <w:rFonts w:ascii="Cambria" w:eastAsia="Cambria" w:hAnsi="Cambria" w:cs="Cambria"/>
          <w:color w:val="000000"/>
          <w:sz w:val="18"/>
          <w:szCs w:val="18"/>
        </w:rPr>
        <w:t xml:space="preserve">unci: </w:t>
      </w:r>
      <w:r w:rsidR="00406B83" w:rsidRPr="00406B83">
        <w:rPr>
          <w:rFonts w:ascii="Cambria" w:eastAsia="Cambria" w:hAnsi="Cambria" w:cs="Cambria"/>
          <w:color w:val="000000"/>
          <w:sz w:val="18"/>
          <w:szCs w:val="18"/>
        </w:rPr>
        <w:t>Daya tarik wisata, ekowisata, pengelolaan berkelanjutan, pendapatan</w:t>
      </w:r>
    </w:p>
    <w:p w14:paraId="2C9B4DAF" w14:textId="77777777" w:rsidR="00D97972" w:rsidRDefault="00D97972" w:rsidP="00D97972">
      <w:pPr>
        <w:pStyle w:val="07HEADA"/>
        <w:rPr>
          <w:rFonts w:eastAsia="Cambria"/>
        </w:rPr>
      </w:pPr>
      <w:r>
        <w:rPr>
          <w:rFonts w:eastAsia="Cambria"/>
        </w:rPr>
        <w:t>INTRODUCTION</w:t>
      </w:r>
    </w:p>
    <w:p w14:paraId="2864890C" w14:textId="13179368" w:rsidR="007E2B6C" w:rsidRDefault="007E2B6C" w:rsidP="007E2B6C">
      <w:pPr>
        <w:spacing w:after="0" w:line="240" w:lineRule="auto"/>
        <w:ind w:firstLine="567"/>
        <w:jc w:val="both"/>
        <w:rPr>
          <w:rFonts w:ascii="Cambria" w:eastAsia="Cambria" w:hAnsi="Cambria" w:cs="Cambria"/>
          <w:color w:val="000000"/>
          <w:sz w:val="21"/>
          <w:szCs w:val="21"/>
        </w:rPr>
      </w:pPr>
      <w:r w:rsidRPr="007E2B6C">
        <w:rPr>
          <w:rFonts w:ascii="Cambria" w:hAnsi="Cambria" w:cs="Times New Roman"/>
          <w:sz w:val="21"/>
          <w:szCs w:val="21"/>
          <w:lang w:val="en-ID"/>
        </w:rPr>
        <w:t>The concept of tourism development that is currently developing is the concept of individual tourism that emphasizes attention to environmental elements (</w:t>
      </w:r>
      <w:r w:rsidRPr="007E2B6C">
        <w:rPr>
          <w:rFonts w:ascii="Cambria" w:hAnsi="Cambria" w:cs="Times New Roman"/>
          <w:i/>
          <w:iCs/>
          <w:sz w:val="21"/>
          <w:szCs w:val="21"/>
          <w:lang w:val="en-ID"/>
        </w:rPr>
        <w:t>ecotourism</w:t>
      </w:r>
      <w:r w:rsidRPr="007E2B6C">
        <w:rPr>
          <w:rFonts w:ascii="Cambria" w:hAnsi="Cambria" w:cs="Times New Roman"/>
          <w:sz w:val="21"/>
          <w:szCs w:val="21"/>
          <w:lang w:val="en-ID"/>
        </w:rPr>
        <w:t xml:space="preserve">), where natural resource management is the authenticity of natural wealth potential and requires community participation with the local Government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{"citationItems":[{"id":"ITEM-1","itemData":{"DOI":"10.1016/j.crsust.2022.100172","ISSN":"26660490","abstract":"Ecotourism is often perceived as a strategy for protected areas' sustainability. In Cameroon, there is a dearth of information on ecotourism governance and its contribution to protected areas' sustainability. This study evaluates ecotourism governance in and around the Campo Ma'an National Park (CMNP). Data were collected from both primary and secondary sources. Primary data were obtained from household surveys (N = 124) and key informant interviews (N = 16). From the findings, there is the absence of a clear cut national policy for ecotourism development in and around protected areas. Benefit-sharing (34.7%) and participation (30.6%) were ranked as the most crucial ecotourism governance indicator contributing to the sustainable management of resources in and around the CMNP. The results from descriptive statistics and the Chi-Square test (p &lt; 0.01) indicated that the governance indicators affecting ecotourism in the CMNP are either very poor or poor, except participation, which is considered average. This study recommends developing national ecotourism friendly policies that can accelerate sustainable management of natural resources and livelihood enhancement in and around protected areas in Cameroon in general and the CMNP in particular. It also recommends the urgent need for stakeholders to improve on the components of governance by ensuring effective participation, equitable benefit sharing, management of conflict between stakeholders, and overhauling the transparency and accountability process for ecotourism to contribute to biodiversity conservation and livelihood sustainably.","author":[{"dropping-particle":"","family":"Forje","given":"Gadinga Walter","non-dropping-particle":"","parse-names":false,"suffix":""},{"dropping-particle":"","family":"Tchamba","given":"Martin N.","non-dropping-particle":"","parse-names":false,"suffix":""}],"container-title":"Current Research in Environmental Sustainability","id":"ITEM-1","issue":"February","issued":{"date-parts":[["2022"]]},"page":"100172","publisher":"Elsevier B.V.","title":"Ecotourism governance and protected areas sustainability in Cameroon: The case of Campo Ma'an National Park","type":"article-journal","volume":"4"},"uris":["http://www.mendeley.com/documents/?uuid=e7a7dcee-5178-43f4-93be-f4b9b0ae3ffc"]}],"mendeley":{"formattedCitation":"(Forje &amp; Tchamba, 2022)","manualFormatting":"(Forje &amp; Tchamba 2022)","plainTextFormattedCitation":"(Forje &amp; Tchamba, 2022)","previouslyFormattedCitation":"(Forje &amp; Tchamba, 2022)"},"properties":{"noteIndex":0},"schema":"https://github.com/citation-style-language/schema/raw/master/csl-citation.json"}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(Forje &amp; Tchamba 2022)</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The American Society of Travel Agents related to ecotourism has set various essential provisions to preserve the environment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{"citationItems":[{"id":"ITEM-1","itemData":{"DOI":"10.1007/s10668-022-02190-0","ISBN":"0123456789","ISSN":"15732975","abstract":"With the increasing attention and awareness of the ecological environment, ecotourism is becoming ever more popular, but it still brings problems and challenges to the sustainable development of the environment. To solve such challenges, it is necessary to review literature in the field of ecotourism and determine the key research issues and future research directions. This paper uses scientometrics implemented by CiteSpace to conduct an in-depth systematic review of research and development in the field of ecotourism. Two bibliographic datasets were obtained from the Web of Science, including a core dataset and an expanded dataset, containing articles published between 2003 and 2021. Our research shows that ecotourism has been developing rapidly in recent years. The research field of ecotourism spans many disciplines and is a comprehensive interdisciplinary subject. According to the research results, the evolution of ecotourism can be roughly divided into three phases: human disturbance, ecosystem services and sustainable development. It could be concluded that it has entered the third stage of Shneider’s four-stage theory of scientific discipline. The research not only identifies the main clusters and their advance in ecotourism research based on high impact citations and research frontier formed by citations, but also presents readers with new insights through intuitive visual images.","author":[{"dropping-particle":"","family":"Xu","given":"Lishan","non-dropping-particle":"","parse-names":false,"suffix":""},{"dropping-particle":"","family":"Ao","given":"Changlin","non-dropping-particle":"","parse-names":false,"suffix":""},{"dropping-particle":"","family":"Liu","given":"Baoqi","non-dropping-particle":"","parse-names":false,"suffix":""},{"dropping-particle":"","family":"Cai","given":"Zhenyu","non-dropping-particle":"","parse-names":false,"suffix":""}],"container-title":"Environment, Development and Sustainability","id":"ITEM-1","issue":"0123456789","issued":{"date-parts":[["2022"]]},"publisher":"Springer Netherlands","title":"Ecotourism and sustainable development: a scientometric review of global research trends","type":"article-journal"},"uris":["http://www.mendeley.com/documents/?uuid=be9947a5-ad90-4f8d-8b16-8e1f6d71d909"]}],"mendeley":{"formattedCitation":"(Xu et al., 2022)","manualFormatting":"(Xu et al 2022)","plainTextFormattedCitation":"(Xu et al., 2022)","previouslyFormattedCitation":"(Xu et al., 2022)"},"properties":{"noteIndex":0},"schema":"https://github.com/citation-style-language/schema/raw/master/csl-citation.json"}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(Xu et al 2022)</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Indonesia is a country</w:t>
      </w:r>
      <w:r w:rsidRPr="007E2B6C">
        <w:rPr>
          <w:rFonts w:ascii="Cambria" w:hAnsi="Cambria" w:cs="Times New Roman"/>
          <w:i/>
          <w:iCs/>
          <w:sz w:val="21"/>
          <w:szCs w:val="21"/>
          <w:lang w:val="en-ID"/>
        </w:rPr>
        <w:t> </w:t>
      </w:r>
      <w:r w:rsidRPr="007E2B6C">
        <w:rPr>
          <w:rFonts w:ascii="Cambria" w:hAnsi="Cambria" w:cs="Times New Roman"/>
          <w:sz w:val="21"/>
          <w:szCs w:val="21"/>
          <w:lang w:val="en-ID"/>
        </w:rPr>
        <w:t xml:space="preserve">that has the potential for abundant natural wealth, making tourism development, especially natural tourism, an essential element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{"citationItems":[{"id":"ITEM-1","itemData":{"DOI":"10.1016/j.geoforum.2021.10.018","ISSN":"00167185","abstract":"Ecotourism has become an increasingly important market-based practice in nature conservation. Several scholars and non-governmental organizations have discussed this as a commodification of nature in the context of capitalist expansion, but only a few have examined how value is produced in this process. Focusing on ecotourism in Tangkahan, in the Sumatra Island of Indonesia, this paper looks at how value is produced in human-elephant encounters. It builds on the concepts of lively commodities and encounter value to show how the incorporation of captive elephants in ecotourism generates value from two layers of interactions between humans and nonhumans. First, captive elephants are trained by mahouts for the encounters with tourists; then, the production of value takes place through tourists’ encounters with the elephants in ecotourism activities (elephant bathing, elephant grazing, and trekking alongside the elephants). We argue that the expansion of the commodification of nature in some cases requires an understanding of the way this encounter value produces a ‘captive nature’: lively beings that are enclosed, managed, and employed to sell experiences.","author":[{"dropping-particle":"","family":"Ni'am","given":"Lubabun","non-dropping-particle":"","parse-names":false,"suffix":""},{"dropping-particle":"","family":"Koot","given":"Stasja","non-dropping-particle":"","parse-names":false,"suffix":""},{"dropping-particle":"","family":"Jongerden","given":"Joost","non-dropping-particle":"","parse-names":false,"suffix":""}],"container-title":"Geoforum","id":"ITEM-1","issue":"November","issued":{"date-parts":[["2021"]]},"page":"162-170","publisher":"Elsevier Ltd","title":"Selling captive nature: Lively commodification, elephant encounters, and the production of value in Sumatran ecotourism, Indonesia","type":"article-journal","volume":"127"},"uris":["http://www.mendeley.com/documents/?uuid=731b7d37-c15d-4869-b646-385285c53f5b"]}],"mendeley":{"formattedCitation":"(Ni’am et al., 2021)","manualFormatting":"(Ni’am et al 2021)","plainTextFormattedCitation":"(Ni’am et al., 2021)","previouslyFormattedCitation":"(Ni’am et al., 2021)"},"properties":{"noteIndex":0},"schema":"https://github.com/citation-style-language/schema/raw/master/csl-citation.json"}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(Ni’am et al 2021)</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Tourism in Indonesia has developed from </w:t>
      </w:r>
      <w:r w:rsidRPr="007E2B6C">
        <w:rPr>
          <w:rFonts w:ascii="Cambria" w:hAnsi="Cambria" w:cs="Times New Roman"/>
          <w:i/>
          <w:iCs/>
          <w:sz w:val="21"/>
          <w:szCs w:val="21"/>
          <w:lang w:val="en-ID"/>
        </w:rPr>
        <w:t>mass tourism </w:t>
      </w:r>
      <w:r w:rsidRPr="007E2B6C">
        <w:rPr>
          <w:rFonts w:ascii="Cambria" w:hAnsi="Cambria" w:cs="Times New Roman"/>
          <w:sz w:val="21"/>
          <w:szCs w:val="21"/>
          <w:lang w:val="en-ID"/>
        </w:rPr>
        <w:t xml:space="preserve">to a pattern of an individual or small group tourism that is more flexible in travelling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{"citationItems":[{"id":"ITEM-1","itemData":{"DOI":"10.1080/13683500.2021.1873920","ISSN":"13683500","abstract":"As the COVID-19 crisis virtually halts tourism operations globally, questions arise as to what makes tourism operations and the socio-ecological systems they operate within resilient to such disruptions. This period also presents a moment of critical self-reflection and reinvention for tourism operators that hope to not only be resilient themselves, but to foster resilience in the communities and ecosystems upon which they depend. These issues are explored in the context of different forms of tourism in a marine national park in eastern Indonesia. This paper uses an agency-based livelihood resilience framework to examine the social structures, agency, and livelihood capital of the surrounding socio-ecological systems as driven by these operations. The findings suggest that the dominant development discourse in Indonesia and among tourism planners focusing on the growth of ‘high-end’ exclusive forms of tourism has neglected livelihood capital and made communities more vulnerable to ruptures like COVID-19. Emerging from this crisis, this research urges academics, practitioners, and business owners to ‘reimagine’ the potential of tourism to first and foremost empower more resilient socio-ecological systems in the face of an increasingly uncertain future.","author":[{"dropping-particle":"","family":"King","given":"Chloe","non-dropping-particle":"","parse-names":false,"suffix":""},{"dropping-particle":"","family":"Iba","given":"Wa","non-dropping-particle":"","parse-names":false,"suffix":""},{"dropping-particle":"","family":"Clifton","given":"Julian","non-dropping-particle":"","parse-names":false,"suffix":""}],"container-title":"Current Issues in Tourism","id":"ITEM-1","issue":"19","issued":{"date-parts":[["2021"]]},"page":"2784-2800","publisher":"Taylor &amp; Francis","title":"Reimagining resilience: COVID-19 and marine tourism in Indonesia","type":"article-journal","volume":"24"},"uris":["http://www.mendeley.com/documents/?uuid=9c05afd8-141d-484d-a6ce-7e11bedbcfe7"]}],"mendeley":{"formattedCitation":"(King et al., 2021)","manualFormatting":"(King et al 2021)","plainTextFormattedCitation":"(King et al., 2021)","previouslyFormattedCitation":"(King et al., 2021)"},"properties":{"noteIndex":0},"schema":"https://github.com/citation-style-language/schema/raw/master/csl-citation.json"}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(King et al 2021)</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Tourists can interact more with nature and community culture. Therefore, many tourists in Indonesia are starting to take an interest in ecotourism by utilizing the sea, beaches, tropical forests, rivers, lakes, and other forms of </w:t>
      </w:r>
      <w:r w:rsidRPr="007E2B6C">
        <w:rPr>
          <w:rFonts w:ascii="Cambria" w:hAnsi="Cambria" w:cs="Times New Roman"/>
          <w:i/>
          <w:iCs/>
          <w:sz w:val="21"/>
          <w:szCs w:val="21"/>
          <w:lang w:val="en-ID"/>
        </w:rPr>
        <w:t>landscapes </w:t>
      </w:r>
      <w:r w:rsidRPr="007E2B6C">
        <w:rPr>
          <w:rFonts w:ascii="Cambria" w:hAnsi="Cambria" w:cs="Times New Roman"/>
          <w:i/>
          <w:iCs/>
          <w:sz w:val="21"/>
          <w:szCs w:val="21"/>
          <w:lang w:val="en-ID"/>
        </w:rPr>
        <w:fldChar w:fldCharType="begin" w:fldLock="1"/>
      </w:r>
      <w:r w:rsidRPr="007E2B6C">
        <w:rPr>
          <w:rFonts w:ascii="Cambria" w:hAnsi="Cambria" w:cs="Times New Roman"/>
          <w:i/>
          <w:iCs/>
          <w:sz w:val="21"/>
          <w:szCs w:val="21"/>
          <w:lang w:val="en-ID"/>
        </w:rPr>
        <w:instrText>ADDIN CSL_CITATION {"citationItems":[{"id":"ITEM-1","itemData":{"DOI":"10.1016/j.annale.2022.100069","ISSN":"26669579","abstract":"International tourism is an important sector in developing countries for its ability to alleviate poverty. Impacts of COVID-19 are detrimental to all tourism destinations. This paper examines the pandemic effects on poverty of regional economies based on a multi-household CGE model using Indonesia as a case study. Results are critically important for policymakers, as the pandemic retracts achievement of poverty reduction significantly, more than a decade of effort for Bali in this case study. Adverse impacts are transferred to other non-tourism destinations through inter-regional trade flows. The paper provides empirical evidence to call for government's targeted support to combat the economic impacts of the pandemic improve poverty more effectively.","author":[{"dropping-particle":"","family":"Pham","given":"Tien","non-dropping-particle":"","parse-names":false,"suffix":""},{"dropping-particle":"","family":"Nugroho","given":"Anda","non-dropping-particle":"","parse-names":false,"suffix":""}],"container-title":"Annals of Tourism Research Empirical Insights","id":"ITEM-1","issue":"2","issued":{"date-parts":[["2022"]]},"page":"100069","publisher":"Elsevier Ltd","title":"Tourism-induced poverty impacts of COVID-19 in Indonesia","type":"article-journal","volume":"3"},"uris":["http://www.mendeley.com/documents/?uuid=19a1936e-da34-4be3-b8b1-41a991122522"]}],"mendeley":{"formattedCitation":"(Pham &amp; Nugroho, 2022)","manualFormatting":"(Pham &amp; Nugroho 2022)","plainTextFormattedCitation":"(Pham &amp; Nugroho, 2022)","previouslyFormattedCitation":"(Pham &amp; Nugroho, 2022)"},"properties":{"noteIndex":0},"schema":"https://github.com/citation-style-language/schema/raw/master/csl-citation.json"}</w:instrText>
      </w:r>
      <w:r w:rsidRPr="007E2B6C">
        <w:rPr>
          <w:rFonts w:ascii="Cambria" w:hAnsi="Cambria" w:cs="Times New Roman"/>
          <w:i/>
          <w:iCs/>
          <w:sz w:val="21"/>
          <w:szCs w:val="21"/>
          <w:lang w:val="en-ID"/>
        </w:rPr>
        <w:fldChar w:fldCharType="separate"/>
      </w:r>
      <w:r w:rsidRPr="007E2B6C">
        <w:rPr>
          <w:rFonts w:ascii="Cambria" w:hAnsi="Cambria" w:cs="Times New Roman"/>
          <w:iCs/>
          <w:noProof/>
          <w:sz w:val="21"/>
          <w:szCs w:val="21"/>
          <w:lang w:val="en-ID"/>
        </w:rPr>
        <w:t>(Pham &amp; Nugroho 2022)</w:t>
      </w:r>
      <w:r w:rsidRPr="007E2B6C">
        <w:rPr>
          <w:rFonts w:ascii="Cambria" w:hAnsi="Cambria" w:cs="Times New Roman"/>
          <w:i/>
          <w:iCs/>
          <w:sz w:val="21"/>
          <w:szCs w:val="21"/>
          <w:lang w:val="en-ID"/>
        </w:rPr>
        <w:fldChar w:fldCharType="end"/>
      </w:r>
      <w:r w:rsidRPr="007E2B6C">
        <w:rPr>
          <w:rFonts w:ascii="Cambria" w:hAnsi="Cambria" w:cs="Times New Roman"/>
          <w:sz w:val="21"/>
          <w:szCs w:val="21"/>
          <w:lang w:val="en-ID"/>
        </w:rPr>
        <w:t xml:space="preserve">. Ecotourism is a form of tourism activity that utilizes the authenticity of the natural environment and interacts with the natural environment, recreational activities, conservation, and development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{"citationItems":[{"id":"ITEM-1","itemData":{"ISSN":"18449166","abstract":"The mangrove ecosystem is a natural resource with the potential to be used as a tourist destination. Ecotourism is a form of responsible activity in pristine areas with the objectives of conserving or preserving the environment, while at the same time providing livelihoods for local residents and involving elements of education. This study aims to determine the suitability and carrying capacity of Jailolo Bay mangrove area for ecotourism. Mangrove data collection was carried out using the spot check method. Fish were collected using gill nets. Socio-economic data were obtained through interviews. The study found that Jailolo Bay mangroves are in the appropriate/feasible category for ecotourism development at five stations (villages of Guaimaadu, Gufasa, Gam Lamo, Porniti, Tuada, and Matui), while at one station (Guaria Village) the mangroves are in the less suitable (inappropriate) category. The area carrying capacity (ACC) for ecotourism activity of Jailolo Bay is 2632 people per day consisting of tracking activities (489 people per day), fishing (100 people per day), boating (1797 people per day), bird watching (59 people per day), picnic (175 people per day), and camping (15 people per day). The highest ecotourism ACC by station (village) was found at Matui Village, with 568 people per day, followed by Gam Lamo Village (488 people per day), Porniti Village (445 people per day), Tuada Village (441 people per day), and Gufasa Village (352 people per day), while the lowest AAC was found at Guaimaadu Village, with only 338 people per day.","author":[{"dropping-particle":"","family":"Abubakar","given":"Salim","non-dropping-particle":"","parse-names":false,"suffix":""},{"dropping-particle":"","family":"Kepel","given":"Rene C.","non-dropping-particle":"","parse-names":false,"suffix":""},{"dropping-particle":"","family":"Djamaluddin","given":"Rignolda","non-dropping-particle":"","parse-names":false,"suffix":""},{"dropping-particle":"","family":"Wahidin","given":"Nurhalis","non-dropping-particle":"","parse-names":false,"suffix":""},{"dropping-particle":"","family":"Mingkid","given":"Winda Mercedes","non-dropping-particle":"","parse-names":false,"suffix":""},{"dropping-particle":"","family":"Wantasen","given":"Adnan Sjaltout","non-dropping-particle":"","parse-names":false,"suffix":""},{"dropping-particle":"","family":"Montolalu","given":"Roike Iwan","non-dropping-particle":"","parse-names":false,"suffix":""},{"dropping-particle":"","family":"Mantiri","given":"Desy Maria Helena","non-dropping-particle":"","parse-names":false,"suffix":""}],"container-title":"AACL Bioflux","id":"ITEM-1","issue":"6","issued":{"date-parts":[["2022"]]},"page":"3012-3026","title":"Suitability and carrying capacity of mangrove ecosystem for ecotourism in Jailolo Bay, West Halmahera, Indonesia","type":"article-journal","volume":"15"},"uris":["http://www.mendeley.com/documents/?uuid=99094f1c-32d8-4c1c-ae8e-bcff92937c87"]}],"mendeley":{"formattedCitation":"(Abubakar et al., 2022)","manualFormatting":"(Abubakar et al 2022)","plainTextFormattedCitation":"(Abubakar et al., 2022)","previouslyFormattedCitation":"(Abubakar et al., 2022)"},"properties":{"noteIndex":0},"schema":"https://github.com/citation-style-language/schema/raw/master/csl-citation.json"}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(Abubakar et al 2022)</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Furthermore, ecotourism continues to experience developments and dynamics and environmental management conditions that are also increasingly dynamic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{"citationItems":[{"id":"ITEM-1","itemData":{"DOI":"10.1016/j.eap.2020.12.009","ISSN":"03135926","abstract":"In this paper we study the role of tourism in explaining Indonesia's current account balance. We extend the conventional model of current account determinants by augmenting it with tourism (visitor arrivals) and expected and unexpected tourism shocks, where tourism shocks are akin to income shocks. We show that expected and unexpected positive tourism shocks improve Indonesia's current account balance, particularly in the most recent period (2010Q1–2017Q4). Equally importantly, our empirical investigation shows that the current account reacts asymmetrically to positive tourism shocks. In other words, expected tourism shocks worsen the current account when it is already in deficit and improve it when it is in surplus. Finally, we show that an unexpected tourism shock improves the account balance, regardless of whether the account is in deficit or surplus.","author":[{"dropping-particle":"","family":"Narayan","given":"Seema","non-dropping-particle":"","parse-names":false,"suffix":""},{"dropping-particle":"","family":"Narayan","given":"Paresh Kumar","non-dropping-particle":"","parse-names":false,"suffix":""},{"dropping-particle":"","family":"Tobing","given":"Lutzardo","non-dropping-particle":"","parse-names":false,"suffix":""}],"container-title":"Economic Analysis and Policy","id":"ITEM-1","issued":{"date-parts":[["2021"]]},"page":"225-237","publisher":"Elsevier B.V.","title":"Has tourism influenced Indonesia's current account?","type":"article-journal","volume":"69"},"uris":["http://www.mendeley.com/documents/?uuid=6873f440-5a1a-46e8-a721-895d454dd586"]}],"mendeley":{"formattedCitation":"(Narayan et al., 2021)","manualFormatting":"(Narayan et al 2021)","plainTextFormattedCitation":"(Narayan et al., 2021)","previouslyFormattedCitation":"(Narayan et al., 2021)"},"properties":{"noteIndex":0},"schema":"https://github.com/citation-style-language/schema/raw/master/csl-citation.json"}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(Narayan et al 2021)</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Ecotourism activities are not only limited to recreational activities. However, they are also accompanied by a form of growing responsibility for preserving unspoiled areas, which can provide economic benefits and maintain the culture of the surrounding community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{"citationItems":[{"id":"ITEM-1","itemData":{"ISSN":"18449166","abstract":"The primary objectives of this study are evaluating the internal and external factors and determining the required sustainable ecotourism management strategies in Bontang marine waters (BMW), Indonesia. Comprehensive data for asnalysis, including secondary data and primary data, provided through focus group discussion and questionnaires for local people and visitors, were employed to identify the alternative strategies by using the strengths, weaknesses, opportunities and threats (SWOT) analysis and the quantitative strategic planning matrix (QSPM) analysis. Results showed that the current management of ecotourism activities in the study area is not following sustainability requirements. BMW still has the opportunity to be part of a sustainable ecotourism management, if management maximizes its strengths and its opportunities by implementing diverse and aggressive strategies.","author":[{"dropping-particle":"","family":"Aspiany","given":"","non-dropping-particle":"","parse-names":false,"suffix":""},{"dropping-particle":"","family":"Anggoro","given":"Sutrisno","non-dropping-particle":"","parse-names":false,"suffix":""},{"dropping-particle":"","family":"Purwanti","given":"Frida","non-dropping-particle":"","parse-names":false,"suffix":""},{"dropping-particle":"","family":"Gunawan","given":"Bambang I.","non-dropping-particle":"","parse-names":false,"suffix":""}],"container-title":"AACL Bioflux","id":"ITEM-1","issue":"5","issued":{"date-parts":[["2019"]]},"page":"1779-1787","title":"Strategies for sustainable ecotourism development in the marine waters of bontang city, Indonesia","type":"article-journal","volume":"12"},"uris":["http://www.mendeley.com/documents/?uuid=4535f2a4-e723-416a-8932-1c598ada0810"]}],"mendeley":{"formattedCitation":"(Aspiany et al., 2019)","manualFormatting":"(Aspiany et al 2019)","plainTextFormattedCitation":"(Aspiany et al., 2019)","previouslyFormattedCitation":"(Aspiany et al., 2019)"},"properties":{"noteIndex":0},"schema":"https://github.com/citation-style-language/schema/raw/master/csl-citation.json"}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(Aspiany et al 2019)</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Ecotourism is currently able to create a promising economic value reality for many parties, namely for the Government, entrepreneurs, and the community, especially the people who live around tourist sites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{"citationItems":[{"id":"ITEM-1","itemData":{"DOI":"10.5897/jhmt2022.0320","author":[{"dropping-particle":"","family":"Pasape","given":"Liliane","non-dropping-particle":"","parse-names":false,"suffix":""}],"container-title":"Journal of Hospitality Management and Tourism","id":"ITEM-1","issue":"2","issued":{"date-parts":[["2022"]]},"page":"27-37","title":"A review of the role of tour operators towards sustaining ecotourism in Tanzania","type":"article-journal","volume":"13"},"uris":["http://www.mendeley.com/documents/?uuid=a00e73b1-0fd3-443b-8736-6ee1f361a138"]}],"mendeley":{"formattedCitation":"(Pasape, 2022)","manualFormatting":"(Pasape 2022","plainTextFormattedCitation":"(Pasape, 2022)","previouslyFormattedCitation":"(Pasape, 2022)"},"properties":{"noteIndex":0},"schema":"https://github.com/citation-style-language/schema/raw/master/csl-citation.json"}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(Pasape 2022</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w:t>
      </w:r>
      <w:r w:rsidRPr="007E2B6C">
        <w:rPr>
          <w:rFonts w:ascii="Cambria" w:hAnsi="Cambria" w:cs="Times New Roman"/>
          <w:sz w:val="21"/>
          <w:szCs w:val="21"/>
          <w:lang w:val="en-ID"/>
        </w:rPr>
        <w:fldChar w:fldCharType="begin" w:fldLock="1"/>
      </w:r>
      <w:r w:rsidR="00EB2406">
        <w:rPr>
          <w:rFonts w:ascii="Cambria" w:hAnsi="Cambria" w:cs="Times New Roman"/>
          <w:sz w:val="21"/>
          <w:szCs w:val="21"/>
          <w:lang w:val="en-ID"/>
        </w:rPr>
        <w:instrText>ADDIN CSL_CITATION {"citationItems":[{"id":"ITEM-1","itemData":{"ISSN":"18449166","abstract":"This research was carried out in October 2019 in the Marine Protected Area (MPA) of Raja Ampat, Indonesia. At 2007 appointed as an MPA, the Raja Ampat marine area was perceived as having a good condition. However, 15 years later, there is a need to be reevaluated. This study aimed to evaluate its condition by the approach of Pressure State Response (PSR) analysis, based on collected secondary and primary data. The primary data was in the form of the community perception toward the influence of the MPA on fish resources, ecosystem, and socio-economic condition. This research used purposive sampling through questionnaires and interviews, with a percentage answer scale. Secondary data was collected from socio-cultural conditions. The results showed pressures in Raja Ampat MPA in the form of livelihood relying on capture fishery, low welfare of community, illegal fishing and other destructive activities, development of marine tourism, and the issue of planning on mining at sea. The state is that the marine area is in a fairly good condition, while the fishing cost, the total number of fishermen and boats, as well as the price of fish increased. The conditions of mangroves and coral reefs are good, the welfare increased, and the MPA is rated well. The fish existence has also increased and makes fishing activities easier. The response was establishing regulations at the level of village or regency to maintain the coastal ecosystems, fish resources and community welfare. Furthermore, the results of this study can be used as a baseline strategy to manage Raja Ampat MPA.","author":[{"dropping-particle":"","family":"Haryani","given":"Eny Budi Sri","non-dropping-particle":"","parse-names":false,"suffix":""}],"container-title":"AACL Bioflux","id":"ITEM-1","issue":"1","issued":{"date-parts":[["2023"]]},"page":"597-605","title":"Baseline strategy to manage a Marine Conservation Area through community evaluation approach","type":"article-journal","volume":"16"},"uris":["http://www.mendeley.com/documents/?uuid=89443739-e410-4421-a1f7-9d9cd58c5cc9"]}],"mendeley":{"formattedCitation":"(Haryani, 2023)","plainTextFormattedCitation":"(Haryani, 2023)","previouslyFormattedCitation":"(Haryani, 2023)"},"properties":{"noteIndex":0},"schema":"https://github.com/citation-style-language/schema/raw/master/csl-citation.json"}</w:instrText>
      </w:r>
      <w:r w:rsidRPr="007E2B6C">
        <w:rPr>
          <w:rFonts w:ascii="Cambria" w:hAnsi="Cambria" w:cs="Times New Roman"/>
          <w:sz w:val="21"/>
          <w:szCs w:val="21"/>
          <w:lang w:val="en-ID"/>
        </w:rPr>
        <w:fldChar w:fldCharType="separate"/>
      </w:r>
      <w:r w:rsidR="00EB2406" w:rsidRPr="00EB2406">
        <w:rPr>
          <w:rFonts w:ascii="Cambria" w:hAnsi="Cambria" w:cs="Times New Roman"/>
          <w:noProof/>
          <w:sz w:val="21"/>
          <w:szCs w:val="21"/>
          <w:lang w:val="en-ID"/>
        </w:rPr>
        <w:t>(Haryani, 2023)</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w:t>
      </w:r>
    </w:p>
    <w:p w14:paraId="6F06B9B1" w14:textId="77777777" w:rsidR="007E2B6C" w:rsidRDefault="007E2B6C" w:rsidP="007E2B6C">
      <w:pPr>
        <w:spacing w:after="0" w:line="240" w:lineRule="auto"/>
        <w:ind w:firstLine="567"/>
        <w:jc w:val="both"/>
        <w:rPr>
          <w:rFonts w:ascii="Cambria" w:eastAsia="Cambria" w:hAnsi="Cambria" w:cs="Cambria"/>
          <w:color w:val="000000"/>
          <w:sz w:val="21"/>
          <w:szCs w:val="21"/>
        </w:rPr>
      </w:pPr>
      <w:r w:rsidRPr="007E2B6C">
        <w:rPr>
          <w:rFonts w:ascii="Cambria" w:hAnsi="Cambria" w:cs="Times New Roman"/>
          <w:sz w:val="21"/>
          <w:szCs w:val="21"/>
          <w:lang w:val="en-ID"/>
        </w:rPr>
        <w:t xml:space="preserve">Ecotourism in Indonesia has contributed approximately 4% of the total economy. By 2019, the Government of Indonesia wants to double this figure to 8% of GDP. A challenging target within the next 4 years is that visitors should double to approximately 20 million. This target encourages the Government to handle infrastructure improvements throughout Indonesia (including information and communication technology infrastructure), access, health &amp; hygiene, and increase online promotion campaigns (marketing) abroad. The Government has also revised the visa access policy by providing free visas for short visits to more than 30 countries in 2015 to attract more foreign tourists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{"citationItems":[{"id":"ITEM-1","itemData":{"DOI":"10.18196/jgpp.v8i2.10789","ISSN":"2355-8695","abstract":"Travel and tourism have become a fast-growing industry and a major source of income for many developing countries (Wood, 2002), including Indonesia. Approximately 35% of major nature tourism product portfolio is ecotourism (Kementerian Pariwisata dan Ekonomi Kreatif, 2019). Ecotourism development is based on the awareness of understanding in every environment condition which oriented in conservation and concern of the local culture as well as local civilization. Hence, the existence of community interaction is a guarantee to the sustainability of ecotourism development (Damanik, 2013; Wood, 2002). Many benefits offered by the concept of ecotourism, does not keep this concept away from several critics, related to the low of local community involvement in ecotourism management. This study aims to analyze the local community involvement as well as the affecting factors in managing the ecotourism in Indonesia by systematically reviewing 29 articles published in Sinta Ristekdikti’s accredited journals with the qualifications of Sinta 1 and Sinta 2. The discussion about local community involvement will be reviewed from the ecotourism planning level, participation in ecotourism development implementation and participation in its use (Lukman, 2017). Meanwhile, the affecting factors will be analyzed from the operational, structural and cultural perspective.  The results show that the involvement of local communities in ecotourism management in Indonesia is still limited to the level of utilization. From the operational perspective, limits to local community involvement are come from limited information availability about ecotourism to local communities, centralized tourism management and the lack of coordination among stakeholders. Limited number of trained human resources, legal system that does not support the participatory practices, the uncooperative attitude of professionals and the dominance of local elite are still become the limitations to local community involvement from a structural perspective. Meanwhile, cultural barriers include apathy and a low level of public awareness of the potential benefit of ecotourism in their area. We can conclude that the empowerment efforts to local community in ecotourism destinations must be further improved. Educating the local community to understand their rights, informing them about the ecotourism management in their area would be the right first step to execute, because due to the lack of knowledge and information …","author":[{"dropping-particle":"","family":"Kia","given":"Zakia","non-dropping-particle":"","parse-names":false,"suffix":""}],"container-title":"Journal of Governance and Public Policy","id":"ITEM-1","issue":"2","issued":{"date-parts":[["2021"]]},"page":"LAYOUTING","title":"Ecotourism in Indonesia: Local Community Involvement and The Affecting Factors","type":"article-journal","volume":"8"},"uris":["http://www.mendeley.com/documents/?uuid=bbd9761e-651d-4f83-aa26-09a7aad9ce29"]}],"mendeley":{"formattedCitation":"(Kia, 2021)","manualFormatting":"(Kia 2021)","plainTextFormattedCitation":"(Kia, 2021)","previouslyFormattedCitation":"(Kia, 2021)"},"properties":{"noteIndex":0},"schema":"https://github.com/citation-style-language/schema/raw/master/csl-citation.json"}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(Kia 2021)</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The Travel &amp; Tourism Competitiveness Report from the World Economic Forum, which "measures many factors and policies that enable the sustainable development of the travel and tourism sector, reports that Indonesia has experienced a significant jump in 2015 to rank 50 and in 2017 to rank 40 in the world from ranking 70 in 2013 in tourism development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{"citationItems":[{"id":"ITEM-1","itemData":{"DOI":"10.5281/zenodo.4155607","ISSN":"24779555","abstract":"The search engine is regularly used to predict future tourist visits to a destination because of the correspondence between tourist visit patterns and keyword search patterns. This means that there is an unspecified delay from someone searching for keywords until the time of his/her visit to the destination. Even so, keywords that are searched in search engines still inform interest in visiting. Therefore, this research focused on 15 ecotourism destinations in Indonesia with keyword coverage related to worldwide reach. We found that urban conservation and ecotourism destinations experienced a decrease in interest in visiting.","author":[{"dropping-particle":"","family":"Mantikei","given":"Bambang","non-dropping-particle":"","parse-names":false,"suffix":""}],"container-title":"Utopia y Praxis Latinoamericana","id":"ITEM-1","issue":"Extra10","issued":{"date-parts":[["2020"]]},"page":"283-296","title":"Tourism demands for ecotourism spots in indonesia using google trends","type":"article-journal","volume":"25"},"uris":["http://www.mendeley.com/documents/?uuid=d8c24b74-70f1-40a0-93fc-c0dadfbd2cef"]}],"mendeley":{"formattedCitation":"(Mantikei, 2020)","manualFormatting":"(Mantikei 2020)","plainTextFormattedCitation":"(Mantikei, 2020)","previouslyFormattedCitation":"(Mantikei, 2020)"},"properties":{"noteIndex":0},"schema":"https://github.com/citation-style-language/schema/raw/master/csl-citation.json"}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(Mantikei 2020)</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w:t>
      </w:r>
    </w:p>
    <w:p w14:paraId="5B007318" w14:textId="77777777" w:rsidR="007E2B6C" w:rsidRDefault="007E2B6C" w:rsidP="007E2B6C">
      <w:pPr>
        <w:spacing w:after="0" w:line="240" w:lineRule="auto"/>
        <w:ind w:firstLine="567"/>
        <w:jc w:val="both"/>
        <w:rPr>
          <w:rFonts w:ascii="Cambria" w:eastAsia="Cambria" w:hAnsi="Cambria" w:cs="Cambria"/>
          <w:color w:val="000000"/>
          <w:sz w:val="21"/>
          <w:szCs w:val="21"/>
        </w:rPr>
      </w:pPr>
      <w:r w:rsidRPr="007E2B6C">
        <w:rPr>
          <w:rFonts w:ascii="Cambria" w:hAnsi="Cambria" w:cs="Times New Roman"/>
          <w:sz w:val="21"/>
          <w:szCs w:val="21"/>
          <w:lang w:val="en-ID"/>
        </w:rPr>
        <w:t>The most significant barrier to ecotourism development is Indonesia's lack of proper infrastructure. It is not only because this dramatically increases logistics costs, making the investment climate less attractive, but it also reduces travel's smoothness for tourism. The infrastructure in Bali is excellent, and in Jakarta, it is decent. However, besides Bali and Jakarta, most of the infrastructure in this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is inadequate, especially in the eastern part of Indonesia, due to the lack of airports, ports, roads, and hotels. The lack of connectivity within and between islands causes many areas in Indonesia with tourism potential that cannot be easily reached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{"citationItems":[{"id":"ITEM-1","itemData":{"DOI":"10.1016/j.ocecoaman.2021.105844","ISSN":"09645691","abstract":"The use of small islands for marine tourism is one of Indonesia's development strategies. The carrying capacity (CC) of islands is an essential parameter for achieving sustainable tourism management and development. CC can be incorporated into policy models and management strategies to reduce the impact on tourist areas. This study aims to assess the suitability of using social-ecological system CC (SES-CC) model to calculate optimal CC, using the Tidung Islands of Jakarta, the urban capital city of Indonesia as a case study. The SES-CC was assessed per tourist activity, using the impact perspective of the social-ecological system of the islands through a coupled model of social CC and ecological CC. The social CC was estimated using the perceptions of tourists, and the ecological CC was estimated using the physical CC. The real CC and effective CC were then estimated based on correction factors. Finally, a simple double attribute weighting method is used to develop coupled Social-Ecological System CC (SES-CC). A small urban island of Jakarta Capital Province, namely the Tidung Islands, was used for testing the method. The results will be used to improve sustainable tourism management in the islands, particularly national coastal and marine tourism policies.","author":[{"dropping-particle":"","family":"Adrianto","given":"Luky","non-dropping-particle":"","parse-names":false,"suffix":""},{"dropping-particle":"","family":"Kurniawan","given":"Fery","non-dropping-particle":"","parse-names":false,"suffix":""},{"dropping-particle":"","family":"Romadhon","given":"Agus","non-dropping-particle":"","parse-names":false,"suffix":""},{"dropping-particle":"","family":"Bengen","given":"Dietriech Geoffrey","non-dropping-particle":"","parse-names":false,"suffix":""},{"dropping-particle":"","family":"Sjafrie","given":"Nurul Dhewani Mirah","non-dropping-particle":"","parse-names":false,"suffix":""},{"dropping-particle":"","family":"Damar","given":"Ario","non-dropping-particle":"","parse-names":false,"suffix":""},{"dropping-particle":"","family":"Kleinertz","given":"Sonja","non-dropping-particle":"","parse-names":false,"suffix":""}],"container-title":"Ocean and Coastal Management","id":"ITEM-1","issue":"August","issued":{"date-parts":[["2021"]]},"page":"105844","publisher":"Elsevier Ltd","title":"Assessing social-ecological system carrying capacity for urban small island tourism: The case of Tidung Islands, Jakarta Capital Province, Indonesia","type":"article-journal","volume":"212"},"uris":["http://www.mendeley.com/documents/?uuid=3582bd09-51e5-44f3-ac07-779d8ea86286"]}],"mendeley":{"formattedCitation":"(Adrianto et al., 2021)","plainTextFormattedCitation":"(Adrianto et al., 2021)","previouslyFormattedCitation":"(Adrianto et al., 2021)"},"properties":{"noteIndex":0},"schema":"https://github.com/citation-style-language/schema/raw/master/csl-citation.json"}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(Adrianto et al., 2021)</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w:t>
      </w:r>
    </w:p>
    <w:p w14:paraId="53268FD1" w14:textId="77777777" w:rsidR="007E2B6C" w:rsidRDefault="007E2B6C" w:rsidP="007E2B6C">
      <w:pPr>
        <w:spacing w:after="0" w:line="240" w:lineRule="auto"/>
        <w:ind w:firstLine="567"/>
        <w:jc w:val="both"/>
        <w:rPr>
          <w:rFonts w:ascii="Cambria" w:eastAsia="Cambria" w:hAnsi="Cambria" w:cs="Cambria"/>
          <w:color w:val="000000"/>
          <w:sz w:val="21"/>
          <w:szCs w:val="21"/>
        </w:rPr>
      </w:pPr>
      <w:r w:rsidRPr="007E2B6C">
        <w:rPr>
          <w:rFonts w:ascii="Cambria" w:hAnsi="Cambria" w:cs="Times New Roman"/>
          <w:sz w:val="21"/>
          <w:szCs w:val="21"/>
          <w:lang w:val="en-ID"/>
        </w:rPr>
        <w:t xml:space="preserve">Ambon City has unique regional characteristics, namely hilly areas and coastal areas, which can provide opportunities for the existence of </w:t>
      </w:r>
      <w:proofErr w:type="gramStart"/>
      <w:r w:rsidRPr="007E2B6C">
        <w:rPr>
          <w:rFonts w:ascii="Cambria" w:hAnsi="Cambria" w:cs="Times New Roman"/>
          <w:sz w:val="21"/>
          <w:szCs w:val="21"/>
          <w:lang w:val="en-ID"/>
        </w:rPr>
        <w:t>many natural potentials</w:t>
      </w:r>
      <w:proofErr w:type="gramEnd"/>
      <w:r w:rsidRPr="007E2B6C">
        <w:rPr>
          <w:rFonts w:ascii="Cambria" w:hAnsi="Cambria" w:cs="Times New Roman"/>
          <w:sz w:val="21"/>
          <w:szCs w:val="21"/>
          <w:lang w:val="en-ID"/>
        </w:rPr>
        <w:t xml:space="preserve">. It can be used as tourism objects, especially those related to marine tourism, such as coastal and marine tourism, including the potential for underwater tourism, which saves so much natural wealth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{"citationItems":[{"id":"ITEM-1","itemData":{"DOI":"10.1186/s42779-019-0006-6","ISSN":"23526181","abstract":"Indonesia is an archipelago with more than 17,000 islands and more than 300 ethnic groups. Today, the country has 35 provinces, and each province has its own local culture, language, and ethnic food. Medan is the capital of North Sumatra province which is one of the most populated provinces in Indonesia. One of the popular and authentic food souvenirs for tourists who visit Medan is Bika Ambon. Arguably, it is one of the most delicate cakes in terms of preparation and taste. The ingredients of Bika Ambon are tapioca or sago, wheat flour, sugar, coconut milk, and eggs and added bread yeast for fermentation. Bika Ambon has been a magnet for both local and international tourists visiting Medan.","author":[{"dropping-particle":"","family":"Chairy","given":"","non-dropping-particle":"","parse-names":false,"suffix":""},{"dropping-particle":"","family":"Syahrivar","given":"Jhanghiz","non-dropping-particle":"","parse-names":false,"suffix":""}],"container-title":"Journal of Ethnic Foods","id":"ITEM-1","issue":"2","issued":{"date-parts":[["2019"]]},"page":"2-7","publisher":"Journal of Ethnic Foods","title":"Bika Ambon of Indonesia: History, culture, and its contribution to tourism sector","type":"article-journal","volume":"6"},"uris":["http://www.mendeley.com/documents/?uuid=bdc18dca-8c02-4794-9ee3-4b83b610f54f"]}],"mendeley":{"formattedCitation":"(Chairy &amp; Syahrivar, 2019)","manualFormatting":"(Chairy &amp; Syahrivar 2019)","plainTextFormattedCitation":"(Chairy &amp; Syahrivar, 2019)","previouslyFormattedCitation":"(Chairy &amp; Syahrivar, 2019)"},"properties":{"noteIndex":0},"schema":"https://github.com/citation-style-language/schema/raw/master/csl-citation.json"}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 xml:space="preserve">(Chairy &amp; Syahrivar </w:t>
      </w:r>
      <w:r w:rsidRPr="007E2B6C">
        <w:rPr>
          <w:rFonts w:ascii="Cambria" w:hAnsi="Cambria" w:cs="Times New Roman"/>
          <w:noProof/>
          <w:sz w:val="21"/>
          <w:szCs w:val="21"/>
          <w:lang w:val="en-ID"/>
        </w:rPr>
        <w:lastRenderedPageBreak/>
        <w:t>2019)</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In addition to having the characteristics of marine and coastal tourism as a manifestation of the characteristics of the island city, Ambon City also has a historical and cultural heritage of high value both nationally and globally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{"citationItems":[{"id":"ITEM-1","itemData":{"DOI":"10.13057/biodiv/d220621","ISSN":"20854722","abstract":"Forest as part of a large ecosystem has an important meaning and role in supporting living systems. Various great benefits can be obtained from the forests through its functions as a provider of water resources for humans and the environment, the ability of carbon sequestration, oxygen suppliers in the air, global climate regulators, and tourism service providers. The community has important role and participation in ecotourism that are different from other forms of tourism. Perception is a fundamental element that needs to be known before planning several activities that will involve the local community. This study aims to identify the potential of flora and fauna in the protected forest area for tourist attraction and analyze the Buano island community’s (Western Seram District, Maluku Province, Indonesia) perception of ecotourism development activities. The vegetation data were collected using the combination of the path method and the compartmentalized line method. The method used for collecting wildlife data in the field is the line transect method as well as direct and indirect observations. Meanwhile, data related to community perceptions were collected through questionnaires and interviews. The results show that the villages on Buano island have biodiversity and cultural potential that could be developed as ecotourism attractions. In addition, the community’s perception supported that they strongly agree on the development of ecotourism in the villages of Buano island.","author":[{"dropping-particle":"","family":"Siahaya","given":"Martha E.","non-dropping-particle":"","parse-names":false,"suffix":""},{"dropping-particle":"","family":"Matius","given":"Paulus","non-dropping-particle":"","parse-names":false,"suffix":""},{"dropping-particle":"","family":"Aipassa","given":"Marlon I.","non-dropping-particle":"","parse-names":false,"suffix":""},{"dropping-particle":"","family":"Rayadin","given":"Yaya","non-dropping-particle":"","parse-names":false,"suffix":""},{"dropping-particle":"","family":"Ruslim","given":"Yosep","non-dropping-particle":"","parse-names":false,"suffix":""},{"dropping-particle":"","family":"Aponno","given":"Hendrik S.E.S.","non-dropping-particle":"","parse-names":false,"suffix":""}],"container-title":"Biodiversitas","id":"ITEM-1","issue":"6","issued":{"date-parts":[["2021"]]},"page":"3179-3191","title":"Ecotourism development through biodiversity potential identification and community perception in the protected forest on buano island, western seram, Maluku, Indonesia","type":"article-journal","volume":"22"},"uris":["http://www.mendeley.com/documents/?uuid=6be9740e-c77a-4def-96cc-592fc0dbd466"]}],"mendeley":{"formattedCitation":"(Siahaya et al., 2021)","manualFormatting":"(Siahaya et al 2021)","plainTextFormattedCitation":"(Siahaya et al., 2021)","previouslyFormattedCitation":"(Siahaya et al., 2021)"},"properties":{"noteIndex":0},"schema":"https://github.com/citation-style-language/schema/raw/master/csl-citation.json"}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(Siahaya et al 2021)</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The forms of historical and cultural heritage that can still be physically found include buildings of worship, burial places, king's houses, statues or monuments related to beliefs and heroism, forts, and many others that may not have been published as a historical and cultural asset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{"citationItems":[{"id":"ITEM-1","itemData":{"abstract":"Currently, every development activity is directed at achieving the goals of sustainable development (SDGs) including community-based ecotourism development. Community-based ecotourism is the right program in solving problems caused by tourism activities also to support goals number 8 and 17 of SDGs achievement. In addition to maintaining the authenticity of nature and the environment, maintaining the authenticity of art and culture, customs, the way of life also ensures the welfare of local communities in ecotourism areas. Community involvement in ecotourism activities directly has helped improve the economy of local communities. The results of several show that the community-based ecotourism development has an impact on increasing local people's income and the formation of partnership between local communities and NGOs or other parties at local and global level. Thus, it can be concluded that the community-based ecotourism development program has proven to be able to support the achievement of SDGs goals no. 8 and 17.","author":[{"dropping-particle":"","family":"Tampubolon","given":"Novelina","non-dropping-particle":"","parse-names":false,"suffix":""},{"dropping-particle":"","family":"Wulandari","given":"Christine","non-dropping-particle":"","parse-names":false,"suffix":""}],"container-title":"Journal of Tourism &amp; Sports Management (JTSM","id":"ITEM-1","issue":"1","issued":{"date-parts":[["2021"]]},"page":"928-933","title":"the Importance of Community-Based Ecotourism Sustainability and Its Supports To the Sdgs: Goals Number 8 and 17","type":"article-journal","volume":"4"},"uris":["http://www.mendeley.com/documents/?uuid=e74156b6-6316-42df-ab6d-b20660ae1df1"]}],"mendeley":{"formattedCitation":"(Tampubolon &amp; Wulandari, 2021)","manualFormatting":"(Tampubolon &amp; Wulandari 2021)","plainTextFormattedCitation":"(Tampubolon &amp; Wulandari, 2021)","previouslyFormattedCitation":"(Tampubolon &amp; Wulandari, 2021)"},"properties":{"noteIndex":0},"schema":"https://github.com/citation-style-language/schema/raw/master/csl-citation.json"}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(Tampubolon &amp; Wulandari 2021)</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w:t>
      </w:r>
    </w:p>
    <w:p w14:paraId="240A68B6" w14:textId="77777777" w:rsidR="007E2B6C" w:rsidRDefault="007E2B6C" w:rsidP="007E2B6C">
      <w:pPr>
        <w:spacing w:after="0" w:line="240" w:lineRule="auto"/>
        <w:ind w:firstLine="567"/>
        <w:jc w:val="both"/>
        <w:rPr>
          <w:rFonts w:ascii="Cambria" w:eastAsia="Cambria" w:hAnsi="Cambria" w:cs="Cambria"/>
          <w:color w:val="000000"/>
          <w:sz w:val="21"/>
          <w:szCs w:val="21"/>
        </w:rPr>
      </w:pPr>
      <w:r w:rsidRPr="007E2B6C">
        <w:rPr>
          <w:rFonts w:ascii="Cambria" w:hAnsi="Cambria" w:cs="Times New Roman"/>
          <w:sz w:val="21"/>
          <w:szCs w:val="21"/>
          <w:lang w:val="en-ID"/>
        </w:rPr>
        <w:t>The Central Bureau of Statistics of Ambon City stated that the tourism sector in Nusaniwe District has 22 objects, consisting of 8 beach tourism objects, 2 historical attractions, 8 marine park attractions, 1 marine sports tourism object, 2 natural tourism objects and 1 Marine tourism object. Of these, 5 places have not been appropriately managed. One of the attractions in the Nusaniwe Subdistrict, which is often visited by foreign and local tourists outside the region and students, is Siwa Lima Museum Ambon. In 2014, there were 24,446 visitors from the Maluku region, 11,706 visitors from outside Maluku and foreign visitors as many as 12,723 visitors.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{"citationItems":[{"id":"ITEM-1","itemData":{"DOI":"10.30598/jhppk.2017.1.3.275","ISSN":"2541-1241","abstract":"The potential of the historical and cultural society at the state of Nusaniwe with potential for agro-tourism, nature tourism potential that Pintu Kota Beach, Felawatu beach, Bethesda Beach, natural scenery of Gunung Dua, Lapoci and waterfalls Laponot. The latter is a country with tourist potential Latuhalat Santai Beach, Namalatu Beach, Sumber Jaya Beach and Tanjung Batu Konde beach. While seasonal travel is labor time culture. As for the tourism potential of the cultural history of the community, Batu Bicara, and Clump Bamboo Baduri. The aim of the research is identifying potential tourist attraction in Peninsula Nusaniwe comprehensively, analyze the economic value attraction Nusaniwe Peninsula, analyze the relationship between socioeconomic peninsula Nusaniwe with ODTW and Ecotourism Management Formulate strategies based on economic value and social area. The method used is (1) travel cost method to calculate the economic value of the tourist area, (2) the method of Chi-square to see the relationship with the community characteristics ODTW (3) exponential comparison method (MPE) to formulate priorities Ecotourism development strategy. The results showed that the tourism potentials in the Peninsula Nusaniwe namely to State Amahusu the tourism potential of the coast is Batu Capeu, Batu Lubang, Waititei Beach, Pasir Putih Beach. Based on chi-square analysis shows that there is a relationship between family income through community participation towards ODTW. Priorities ODTW development strategy is the development of supporting infrastructure Optimization of travel (22,26%), ecotourism Develop sustainable policies (20,56), improve coordination between government and stakeholders managing ecotourism (18,30), creation of a conducive investment climate (14,95%), strengthening of human resource capacity in the utilization ODTW (13,40%), Improving access to information and the promotion of communications (10,53%).","author":[{"dropping-particle":"","family":"Salamor","given":"Yensy L.","non-dropping-particle":"","parse-names":false,"suffix":""},{"dropping-particle":"","family":"Limba","given":"Semmy","non-dropping-particle":"","parse-names":false,"suffix":""},{"dropping-particle":"V.","family":"Pattimahu","given":"Debby","non-dropping-particle":"","parse-names":false,"suffix":""}],"container-title":"Jurnal Hutan Pulau-Pulau Kecil","id":"ITEM-1","issue":"3","issued":{"date-parts":[["2017"]]},"page":"275","title":"KAJIAN PENGELOLAAN EKOWISATA BERBASIS EKONOMI DAN SOSIAL (Studi Kasus Semenanjung Nusaniwe Kota Ambon Provinsi Maluku)","type":"article-journal","volume":"1"},"uris":["http://www.mendeley.com/documents/?uuid=011a851d-314b-4622-a536-13cf367949b4"]}],"mendeley":{"formattedCitation":"(Salamor et al., 2017)","manualFormatting":"Salamor et al (2017)","plainTextFormattedCitation":"(Salamor et al., 2017)","previouslyFormattedCitation":"(Salamor et al., 2017)"},"properties":{"noteIndex":0},"schema":"https://github.com/citation-style-language/schema/raw/master/csl-citation.json"}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Salamor et al (2017)</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in his research, explained that the tourism potential in the Nusaniwe District has not been managed and developed correctly. There are even locations with tourist attractions that are not used as business opportunities to increase the economic value of the community. Salamor also emphasized that several locations are well known to the public and even have historical links from each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in the Nusaniwe sub-district. However, some locations are not managed and developed as potential historical and cultural tourism objects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{"citationItems":[{"id":"ITEM-1","itemData":{"DOI":"10.30647/trj.v1i1.5","abstract":"This study aimed to identify The Youth Travel Characteristic, The Youth Travel Pattern and The Model of Youth Travel Pattern Development in Ambon island. This study used  descriptive methods approach. Mean and frequencies are for analyzing respondents’ characteristics. Travel Pattern was analyzed by using GIS software.  SWOT analysis was used to develop the Travel Pattern Model.  The respondents were 100 youth travels at the age between 15 years - 30 years who visited Ambon City.  The research sampling technique was convenience sampling. The questionnaires were distributed between June 2017 – July 2017.  This study found that youth travelers who visited Ambon Island was dominated by young local tourists, under 26 years old, well educated, searched for  cultural and social values. The main information sources during the trip were from friends or internet and they tend to plan their travel independently or with their family and friends rather then using travel agencies. The main trip driver is outdoor with leisure activities on the beach. This study also found out that security was the most influencing factor in determining travel itinerary of youth traveler. During the trip in Ambon Island, youth traveler was formed five travel pattern. The most travel pattern was formed by youth traveler was a single point. The study developed four youth travel pattern models to incrase the number of youth traveler visiting Ambon Island","author":[{"dropping-particle":"","family":"Simasima","given":"Tassya Yuliani","non-dropping-particle":"","parse-names":false,"suffix":""},{"dropping-particle":"","family":"Ariani","given":"Vitria","non-dropping-particle":"","parse-names":false,"suffix":""},{"dropping-particle":"","family":"Ingkadijaya","given":"Rahmat","non-dropping-particle":"","parse-names":false,"suffix":""}],"container-title":"TRJ Tourism Research Journal","id":"ITEM-1","issue":"1","issued":{"date-parts":[["2017"]]},"page":"37","title":"Analysis of Tourist Travel Pattern for Youth Travel Segment in Ambon Island","type":"article-journal","volume":"1"},"uris":["http://www.mendeley.com/documents/?uuid=e3c1d6e1-7f5a-4cd4-9375-610b0a8d00ff"]}],"mendeley":{"formattedCitation":"(Simasima et al., 2017)","manualFormatting":"(Simasima et al 2017)","plainTextFormattedCitation":"(Simasima et al., 2017)","previouslyFormattedCitation":"(Simasima et al., 2017)"},"properties":{"noteIndex":0},"schema":"https://github.com/citation-style-language/schema/raw/master/csl-citation.json"}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(Simasima et al 2017)</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w:t>
      </w:r>
    </w:p>
    <w:p w14:paraId="5CB849C4" w14:textId="77777777" w:rsidR="007E2B6C" w:rsidRDefault="007E2B6C" w:rsidP="007E2B6C">
      <w:pPr>
        <w:spacing w:after="0" w:line="240" w:lineRule="auto"/>
        <w:ind w:firstLine="567"/>
        <w:jc w:val="both"/>
        <w:rPr>
          <w:rFonts w:ascii="Cambria" w:eastAsia="Cambria" w:hAnsi="Cambria" w:cs="Cambria"/>
          <w:color w:val="000000"/>
          <w:sz w:val="21"/>
          <w:szCs w:val="21"/>
        </w:rPr>
      </w:pPr>
      <w:r w:rsidRPr="007E2B6C">
        <w:rPr>
          <w:rFonts w:ascii="Cambria" w:hAnsi="Cambria" w:cs="Times New Roman"/>
          <w:sz w:val="21"/>
          <w:szCs w:val="21"/>
          <w:lang w:val="en-ID"/>
        </w:rPr>
        <w:t>The phenomenon of coastal tourism objects in the Nusaniwe District, commonly called the Nusaniwe Peninsula, starting from Amahusu Village or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such as Capeo Stone, has been identified according to BPS data from Ambon City. Meanwhile, two potential locations, namely Batu Lobang and Waititei Beach, have not been identified but are known and frequently visited by the public. The next tourist attraction owned by the Nusaniwe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precisely in Airlow Hamlet and Eri Hamlet, includes beach tourism and mountain tourism. People only know about tourist objects on the beach, namely Pintu Kota Beach and Velawatu Beach (next to Pintu Kota Beach). Meanwhile, there is a scenic location of a waterfall whose existence is not yet known to the broader community for mountain tourism. There is very little information related to the phenomenon of natural beauty in this Nusaniwe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Meanwhile, in Latuhalat </w:t>
      </w:r>
      <w:r w:rsidRPr="007E2B6C">
        <w:rPr>
          <w:rFonts w:ascii="Cambria" w:hAnsi="Cambria" w:cs="Times New Roman"/>
          <w:i/>
          <w:iCs/>
          <w:sz w:val="21"/>
          <w:szCs w:val="21"/>
          <w:lang w:val="en-ID"/>
        </w:rPr>
        <w:t>negeri, </w:t>
      </w:r>
      <w:r w:rsidRPr="007E2B6C">
        <w:rPr>
          <w:rFonts w:ascii="Cambria" w:hAnsi="Cambria" w:cs="Times New Roman"/>
          <w:sz w:val="21"/>
          <w:szCs w:val="21"/>
          <w:lang w:val="en-ID"/>
        </w:rPr>
        <w:t>there are quite a lot of tourist objects and relatively popular, including Namalatu Beach, which is managed directly by the Maluku Provincial Tourism Office, Colin Beach and Santai Beach are managed by the private sector, as well as Sumber Jaya Beach and Tanjung Batu Konde Beach which are unique and beautiful. However, there is no management from any party. Seilale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has one beach tourism, namely Nama Beach, which has not been managed yet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{"citationItems":[{"id":"ITEM-1","itemData":{"DOI":"10.1088/1755-1315/744/1/012093","ISSN":"17551315","abstract":"There has been growing demands for nature-based tourism involving diverse activities. Marine-based adventure tourism is one of it, which is based on a unique combination of marine biodiversity, scenic beauty, and sea activities such as sea kayaking and diving. The consequences of rapid growth destroy the natural resources because in many cases, any type of tourism industry only focusing on economic development. Sustainable marine-based adventure tourism should balance with many local factors, especially the residents' socioeconomic activities. The unplanned marine-based adventure tourism development can gradually destroy its natural environmental resources on which it depends, the marine ecosystem. In this paper, the authors describe the possible effects of marine-based-adventure tourism development on natural resources along with solid waste pollution challenges and finally, how the residents are involved in overcoming these sustainability challenges.","author":[{"dropping-particle":"","family":"Umarella","given":"M. R.","non-dropping-particle":"","parse-names":false,"suffix":""},{"dropping-particle":"","family":"Baiquni","given":"M.","non-dropping-particle":"","parse-names":false,"suffix":""},{"dropping-particle":"","family":"Murti","given":"S. H.","non-dropping-particle":"","parse-names":false,"suffix":""},{"dropping-particle":"","family":"Marfai","given":"M. A.","non-dropping-particle":"","parse-names":false,"suffix":""}],"container-title":"IOP Conference Series: Earth and Environmental Science","id":"ITEM-1","issue":"1","issued":{"date-parts":[["2021"]]},"title":"Sustainability challenges in developing marine-based adventure tourism in Ambon","type":"article-journal","volume":"744"},"uris":["http://www.mendeley.com/documents/?uuid=49a9f8c9-3ff8-47a0-bdae-e171bb3806d8"]}],"mendeley":{"formattedCitation":"(Umarella et al., 2021)","manualFormatting":"(Umarella et al 2021)","plainTextFormattedCitation":"(Umarella et al., 2021)","previouslyFormattedCitation":"(Umarella et al., 2021)"},"properties":{"noteIndex":0},"schema":"https://github.com/citation-style-language/schema/raw/master/csl-citation.json"}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(Umarella et al 2021)</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w:t>
      </w:r>
    </w:p>
    <w:p w14:paraId="4721A602" w14:textId="77777777" w:rsidR="007E2B6C" w:rsidRDefault="007E2B6C" w:rsidP="007E2B6C">
      <w:pPr>
        <w:spacing w:after="0" w:line="240" w:lineRule="auto"/>
        <w:ind w:firstLine="567"/>
        <w:jc w:val="both"/>
        <w:rPr>
          <w:rFonts w:ascii="Cambria" w:eastAsia="Cambria" w:hAnsi="Cambria" w:cs="Cambria"/>
          <w:color w:val="000000"/>
          <w:sz w:val="21"/>
          <w:szCs w:val="21"/>
        </w:rPr>
      </w:pPr>
      <w:r w:rsidRPr="007E2B6C">
        <w:rPr>
          <w:rFonts w:ascii="Cambria" w:hAnsi="Cambria" w:cs="Times New Roman"/>
          <w:sz w:val="21"/>
          <w:szCs w:val="21"/>
          <w:lang w:val="en-ID"/>
        </w:rPr>
        <w:t xml:space="preserve">All tourism objects have the potential to undergo ecotourism development on the Nusaniwe Peninsula in their planning and management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{"citationItems":[{"id":"ITEM-1","itemData":{"DOI":"10.1016/j.sbspro.2012.05.023","ISSN":"18770428","abstract":"Tourism is an activity that can have a really big impact on sustainable development. Sustainability of tourism involves extensive cooperation between tourist companies, tourist destinations and national, regional and local authorities in order to cover a wide group of challenges and at the same time to remain competitive. Opportunities for sustainable tourism development and preservation of its competitiveness, is largely influenced by the quality of the environment, to preserve and attractive natural and cultural heritage and other values, goods and resources. For sustainable it is considered any kind of tourism that contributes permanently for the protection and promotion of the environment, natural and other resources, cultural values and integrity of the local community.","author":[{"dropping-particle":"","family":"Angelkova","given":"Tanja","non-dropping-particle":"","parse-names":false,"suffix":""},{"dropping-particle":"","family":"Koteski","given":"Cane","non-dropping-particle":"","parse-names":false,"suffix":""},{"dropping-particle":"","family":"Jakovlev","given":"Zlatko","non-dropping-particle":"","parse-names":false,"suffix":""},{"dropping-particle":"","family":"Mitrevska","given":"Elizabeta","non-dropping-particle":"","parse-names":false,"suffix":""}],"container-title":"Procedia - Social and Behavioral Sciences","id":"ITEM-1","issued":{"date-parts":[["2012"]]},"page":"221-227","title":"Sustainability and Competitiveness of Tourism","type":"article-journal","volume":"44"},"uris":["http://www.mendeley.com/documents/?uuid=da9742d4-8497-413d-9ee7-67cf5f75ffb8"]}],"mendeley":{"formattedCitation":"(Angelkova et al., 2012)","manualFormatting":"(Angelkova et al 2012","plainTextFormattedCitation":"(Angelkova et al., 2012)","previouslyFormattedCitation":"(Angelkova et al., 2012)"},"properties":{"noteIndex":0},"schema":"https://github.com/citation-style-language/schema/raw/master/csl-citation.json"}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(Angelkova et al 2012</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{"citationItems":[{"id":"ITEM-1","itemData":{"DOI":"10.1108/ihr-09-2020-0057","ISSN":"2516-8142","abstract":"Purpose – The paper examines the role of stakeholders in tourism and hospitality industry to ensure sustainability. This study focuses on investigating how stakeholders view can influence business sustainability in the tourism industry in Ghana and Africa. The study also looks at the future of sustainable tourism activities in Ghana and Africa. Design/methodology/approach – A qualitative approach was adopted and interviewees were purposively selected. Using the semi-structured interview 12 people were interviewed and NVivo used to analyse the data. The study was carried out in Accra the capital city of Ghana. Using the stakeholder based theory and resource based theory (RBT) the study addresses how sustainable competitive advantage can be developed. Findings – Results shows how stakeholders involved such employees, government, community/society, private sector and individual shop owners perceive factors that enhance or limit progress in tourism. Some challenges they encounter include high level of illiteracy, lack of education for upcoming youth, low funding and publicity, lack of the enforcement of laws in the sector. The findings also indicated that to ensure sustainability in the industry the products should be unique, valuable, rare, non-substitutable and non-imitable and has to be advertised.","author":[{"dropping-particle":"","family":"Amoako","given":"George Kofi","non-dropping-particle":"","parse-names":false,"suffix":""},{"dropping-particle":"","family":"Obuobisa-Darko","given":"Theresa","non-dropping-particle":"","parse-names":false,"suffix":""},{"dropping-particle":"","family":"Ohene Marfo","given":"Sylvia","non-dropping-particle":"","parse-names":false,"suffix":""}],"container-title":"International Hospitality Review","id":"ITEM-1","issue":"1","issued":{"date-parts":[["2022"]]},"page":"25-44","title":"Stakeholder role in tourism sustainability: the case of Kwame Nkrumah Mausoleum and centre for art and culture in Ghana","type":"article-journal","volume":"36"},"uris":["http://www.mendeley.com/documents/?uuid=62c30124-ff87-4c64-b289-fa07ee3ee6d4"]}],"mendeley":{"formattedCitation":"(Amoako et al., 2022)","manualFormatting":"Amoako et al 2022)","plainTextFormattedCitation":"(Amoako et al., 2022)","previouslyFormattedCitation":"(Amoako et al., 2022)"},"properties":{"noteIndex":0},"schema":"https://github.com/citation-style-language/schema/raw/master/csl-citation.json"}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Amoako et al 2022)</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They are considered far from being expected. Several locations (</w:t>
      </w:r>
      <w:r w:rsidRPr="007E2B6C">
        <w:rPr>
          <w:rFonts w:ascii="Cambria" w:hAnsi="Cambria" w:cs="Times New Roman"/>
          <w:i/>
          <w:iCs/>
          <w:sz w:val="21"/>
          <w:szCs w:val="21"/>
          <w:lang w:val="en-ID"/>
        </w:rPr>
        <w:t>spots</w:t>
      </w:r>
      <w:r w:rsidRPr="007E2B6C">
        <w:rPr>
          <w:rFonts w:ascii="Cambria" w:hAnsi="Cambria" w:cs="Times New Roman"/>
          <w:sz w:val="21"/>
          <w:szCs w:val="21"/>
          <w:lang w:val="en-ID"/>
        </w:rPr>
        <w:t xml:space="preserve">) of neglected tourist </w:t>
      </w:r>
      <w:proofErr w:type="gramStart"/>
      <w:r w:rsidRPr="007E2B6C">
        <w:rPr>
          <w:rFonts w:ascii="Cambria" w:hAnsi="Cambria" w:cs="Times New Roman"/>
          <w:sz w:val="21"/>
          <w:szCs w:val="21"/>
          <w:lang w:val="en-ID"/>
        </w:rPr>
        <w:t>objects</w:t>
      </w:r>
      <w:proofErr w:type="gramEnd"/>
      <w:r w:rsidRPr="007E2B6C">
        <w:rPr>
          <w:rFonts w:ascii="Cambria" w:hAnsi="Cambria" w:cs="Times New Roman"/>
          <w:sz w:val="21"/>
          <w:szCs w:val="21"/>
          <w:lang w:val="en-ID"/>
        </w:rPr>
        <w:t xml:space="preserve"> even though they have been identified. Some even have not been identified, even though they have very promising panoramas for exploration. The tourism potential on the island of Ambon, such as coastal tourism, mountain tourism and historical tourism, is expected to be adequately managed to be able to provide economic value in the form of increasing the income of the surrounding community. It can be a magnet for investors and income for the village government or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It implies the economic growth of Maluku Province in general and Ambon City in particular.</w:t>
      </w:r>
    </w:p>
    <w:p w14:paraId="5547B96D" w14:textId="70EA8353" w:rsidR="007E2B6C" w:rsidRPr="007E2B6C" w:rsidRDefault="007E2B6C" w:rsidP="007E2B6C">
      <w:pPr>
        <w:spacing w:after="0" w:line="240" w:lineRule="auto"/>
        <w:ind w:firstLine="567"/>
        <w:jc w:val="both"/>
        <w:rPr>
          <w:rFonts w:ascii="Cambria" w:eastAsia="Cambria" w:hAnsi="Cambria" w:cs="Cambria"/>
          <w:color w:val="000000"/>
          <w:sz w:val="21"/>
          <w:szCs w:val="21"/>
        </w:rPr>
      </w:pPr>
      <w:r w:rsidRPr="007E2B6C">
        <w:rPr>
          <w:rFonts w:ascii="Cambria" w:hAnsi="Cambria" w:cs="Times New Roman"/>
          <w:sz w:val="21"/>
          <w:szCs w:val="21"/>
          <w:lang w:val="en-ID"/>
        </w:rPr>
        <w:t>The phenomenon described in the background of this research becomes interesting for researchers to examine and ensure that tourism objects' potential, feasibility, and economic value in the Nusaniwe District area are appropriately managed. Thus, a clear picture of the Nusaniwe Peninsula Ecotourism Management in Ambon City, Maluku Province, will be obtained</w:t>
      </w:r>
      <w:r w:rsidRPr="007E2B6C">
        <w:rPr>
          <w:rFonts w:ascii="Cambria" w:hAnsi="Cambria" w:cs="Times New Roman"/>
          <w:b/>
          <w:bCs/>
          <w:sz w:val="21"/>
          <w:szCs w:val="21"/>
          <w:lang w:val="en-ID"/>
        </w:rPr>
        <w:t>. </w:t>
      </w:r>
      <w:r w:rsidRPr="007E2B6C">
        <w:rPr>
          <w:rFonts w:ascii="Cambria" w:hAnsi="Cambria" w:cs="Times New Roman"/>
          <w:sz w:val="21"/>
          <w:szCs w:val="21"/>
          <w:lang w:val="en-ID"/>
        </w:rPr>
        <w:t>The objectives to be achieved in this article were (1) to identify potential tourism objects on the Nusaniwe Peninsula comprehensively; and (2). Analyzing the economic value of Nusaniwe Peninsula tourism objects</w:t>
      </w:r>
    </w:p>
    <w:p w14:paraId="39477778" w14:textId="77777777" w:rsidR="00D97972" w:rsidRDefault="00D97972" w:rsidP="00D97972">
      <w:pPr>
        <w:pStyle w:val="07HEADA"/>
        <w:rPr>
          <w:rFonts w:eastAsia="Cambria"/>
        </w:rPr>
      </w:pPr>
      <w:r>
        <w:rPr>
          <w:rFonts w:eastAsia="Cambria"/>
        </w:rPr>
        <w:lastRenderedPageBreak/>
        <w:t>RESEARCH METHOD</w:t>
      </w:r>
    </w:p>
    <w:p w14:paraId="3BB6C39C" w14:textId="420222E0" w:rsidR="007E2B6C" w:rsidRPr="007E2B6C" w:rsidRDefault="007E2B6C" w:rsidP="007E2B6C">
      <w:pPr>
        <w:spacing w:after="0" w:line="278" w:lineRule="auto"/>
        <w:ind w:firstLine="567"/>
        <w:jc w:val="both"/>
        <w:rPr>
          <w:rFonts w:ascii="Cambria" w:eastAsia="Cambria" w:hAnsi="Cambria" w:cs="Cambria"/>
          <w:color w:val="000000"/>
          <w:sz w:val="21"/>
          <w:szCs w:val="21"/>
        </w:rPr>
      </w:pPr>
      <w:r w:rsidRPr="007E2B6C">
        <w:rPr>
          <w:rFonts w:ascii="Cambria" w:hAnsi="Cambria" w:cs="Times New Roman"/>
          <w:sz w:val="21"/>
          <w:szCs w:val="21"/>
          <w:lang w:val="en-ID"/>
        </w:rPr>
        <w:t>The development of local, regional, and national tourist areas in a country is closely related to the economic development of a region or a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{"citationItems":[{"id":"ITEM-1","itemData":{"DOI":"10.3390/su10020503","ISSN":"20711050","abstract":"The aim of this article is to analyse the social and political capacity of cities affected by cultural tourism. An investigation is carried out into the state of the situation in saturated destinations, the problems this poses to tourist sustainability and the positions of the various different interest groups. In Europe, many cultural cities-cum-tourist hotspots have reached such high levels of socio-political saturation that the resident population's capacity for carrying tourism has become overstretched. This has led to a state of irritation among the local population. Social movements now include this on their agenda but the various different interest groups (residents, political groups, entrepreneurs, management bodies) all react differently. We present data relating to the case of Barcelona, with analyses of residents' and tourists' opinions, the actions of social mobilization carried out by pressure groups, media repercussion and the reactions of the business sector and political groups. We examine data collected from surveys and opinions carried in the media. The sustainability and management of interests indicate changes in both the number and the type of tourists, the occupation of public spaces, the distribution of profit among entrepreneurs, residents and the political and economic model of society in the future.","author":[{"dropping-particle":"","family":"Alvarez-Sousa","given":"Antonio","non-dropping-particle":"","parse-names":false,"suffix":""}],"container-title":"Sustainability (Switzerland)","id":"ITEM-1","issue":"2","issued":{"date-parts":[["2018"]]},"title":"The problems of tourist sustainability in cultural cities: Socio-political perceptions and interests management","type":"article-journal","volume":"10"},"uris":["http://www.mendeley.com/documents/?uuid=443a3b8d-2f2a-4652-b09b-a737ef8a0ed6"]}],"mendeley":{"formattedCitation":"(Alvarez-Sousa, 2018)","manualFormatting":"Alvarez-Sousa (2018)","plainTextFormattedCitation":"(Alvarez-Sousa, 2018)","previouslyFormattedCitation":"(Alvarez-Sousa, 2018)"},"properties":{"noteIndex":0},"schema":"https://github.com/citation-style-language/schema/raw/master/csl-citation.json"}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Alvarez-Sousa (2018)</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states that development is a process, method, or act of developing something to be better, advanced, perfect and useful. Therefore, in this case, tourism development is defined as a way to develop better destinations, tourist areas, and tourist attractions and positively impact the community, government, tourism industry, and tourists. Grady in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{"citationItems":[{"id":"ITEM-1","itemData":{"abstract":"… Most of the livelihoods of the people of Bawean Island are farming, fishing or migrating abroad. … Community empowerment through increased development in the tourism sector is one of …","author":[{"dropping-particle":"","family":"Nashihah","given":"Durratun","non-dropping-particle":"","parse-names":false,"suffix":""},{"dropping-particle":"","family":"Domai","given":"Tjahjanulin","non-dropping-particle":"","parse-names":false,"suffix":""},{"dropping-particle":"","family":"Sentanu","given":"I Gede Eko Putra Sri","non-dropping-particle":"","parse-names":false,"suffix":""}],"container-title":"Wacana","id":"ITEM-1","issue":"2","issued":{"date-parts":[["2021"]]},"page":"53-58","title":"Bawean Tourism: A Hope to Encourage The Local Economy of The Community","type":"article-journal","volume":"24"},"uris":["http://www.mendeley.com/documents/?uuid=03b9d392-ab70-4c91-9f9a-a181af9e26b3"]}],"mendeley":{"formattedCitation":"(Nashihah et al., 2021)","manualFormatting":"Nashihah et al. (2021)","plainTextFormattedCitation":"(Nashihah et al., 2021)","previouslyFormattedCitation":"(Nashihah et al., 2021)"},"properties":{"noteIndex":0},"schema":"https://github.com/citation-style-language/schema/raw/master/csl-citation.json"}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Nashihah et al. (2021)</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states that the criteria for tourism development must always involve the local community and be able to provide an advantage for the local community, not damage the socio-cultural values </w:t>
      </w:r>
      <w:r w:rsidRPr="007E2B6C">
        <w:rPr>
          <w:rFonts w:ascii="Cambria" w:hAnsi="Cambria"/>
          <w:sz w:val="21"/>
          <w:szCs w:val="21"/>
          <w:lang w:val="en-ID"/>
        </w:rPr>
        <w:t>​​</w:t>
      </w:r>
      <w:r w:rsidRPr="007E2B6C">
        <w:rPr>
          <w:rFonts w:ascii="Cambria" w:hAnsi="Cambria" w:cs="Times New Roman"/>
          <w:sz w:val="21"/>
          <w:szCs w:val="21"/>
          <w:lang w:val="en-ID"/>
        </w:rPr>
        <w:t>of the community, and the number of visits to the tourist attraction does not exceed the social capacity so that the negative impact generated can be minimized. These criteria emphasize the development of community-based tourism and sustainable tourism development.</w:t>
      </w:r>
    </w:p>
    <w:p w14:paraId="6D7B06DE" w14:textId="77777777" w:rsidR="007E2B6C" w:rsidRPr="007E2B6C" w:rsidRDefault="007E2B6C" w:rsidP="007E2B6C">
      <w:pPr>
        <w:spacing w:after="0" w:line="240" w:lineRule="auto"/>
        <w:ind w:firstLine="567"/>
        <w:jc w:val="both"/>
        <w:rPr>
          <w:rFonts w:ascii="Cambria" w:hAnsi="Cambria" w:cs="Times New Roman"/>
          <w:sz w:val="21"/>
          <w:szCs w:val="21"/>
          <w:lang w:val="en-ID"/>
        </w:rPr>
      </w:pPr>
      <w:r w:rsidRPr="007E2B6C">
        <w:rPr>
          <w:rFonts w:ascii="Cambria" w:hAnsi="Cambria" w:cs="Times New Roman"/>
          <w:sz w:val="21"/>
          <w:szCs w:val="21"/>
          <w:lang w:val="en-ID"/>
        </w:rPr>
        <w:t xml:space="preserve">The main things needed for tourism development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{"citationItems":[{"id":"ITEM-1","itemData":{"DOI":"10.1016/j.jclepro.2003.12.024","ISSN":"09596526","abstract":"Tourism is currently responsible for the largest, annual human migration in history. This great movement of people has significant positive and negative consequences on nature, societies, cultures and economies. Desired worldwide for its economic benefits, tourism is anticipated to double during the next 20 years, and the multiple consequences of such rapid growth, call for a preventative approach at all strategic and professional levels, in order to avoid negative impacts. Considering mass tourism as a reality of our contemporary life that cannot be neglected by current efforts to endorse sustainable tourism, this paper draws attention to one of its key players - the tour operators - advancing the proposition that they play significant roles in affecting changes in behaviors and attitudes towards more responsible forms of tourism. Aiming to facilitate a constructive debate on the matter, the article presents a few of the most important arguments that underscore the potential that tour operators' have in promoting sustainable tourism. © 2004 Elsevier Ltd. All rights reserved.","author":[{"dropping-particle":"","family":"Budeanu","given":"Adriana","non-dropping-particle":"","parse-names":false,"suffix":""}],"container-title":"Journal of Cleaner Production","id":"ITEM-1","issue":"2","issued":{"date-parts":[["2005"]]},"page":"89-97","title":"Impacts and responsibilities for sustainable tourism: A tour operator's perspective","type":"article-journal","volume":"13"},"uris":["http://www.mendeley.com/documents/?uuid=117d21d1-daa6-46bc-a687-a7f00a5b0908"]}],"mendeley":{"formattedCitation":"(Budeanu, 2005)","manualFormatting":"Budeanu (2005)","plainTextFormattedCitation":"(Budeanu, 2005)","previouslyFormattedCitation":"(Budeanu, 2005)"},"properties":{"noteIndex":0},"schema":"https://github.com/citation-style-language/schema/raw/master/csl-citation.json"}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Budeanu (2005)</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include; </w:t>
      </w:r>
      <w:r w:rsidRPr="007E2B6C">
        <w:rPr>
          <w:rFonts w:ascii="Cambria" w:hAnsi="Cambria" w:cs="Times New Roman"/>
          <w:i/>
          <w:iCs/>
          <w:sz w:val="21"/>
          <w:szCs w:val="21"/>
          <w:lang w:val="en-ID"/>
        </w:rPr>
        <w:t>First</w:t>
      </w:r>
      <w:r w:rsidRPr="007E2B6C">
        <w:rPr>
          <w:rFonts w:ascii="Cambria" w:hAnsi="Cambria" w:cs="Times New Roman"/>
          <w:sz w:val="21"/>
          <w:szCs w:val="21"/>
          <w:lang w:val="en-ID"/>
        </w:rPr>
        <w:t>, development from the supply side, namely destination developers in various tourist destinations that complement each other and do not compete internally. The development of the tourism industry is intended to optimize forward and backward economic links that have competitive advantages and high credibility. </w:t>
      </w:r>
      <w:r w:rsidRPr="007E2B6C">
        <w:rPr>
          <w:rFonts w:ascii="Cambria" w:hAnsi="Cambria" w:cs="Times New Roman"/>
          <w:i/>
          <w:iCs/>
          <w:sz w:val="21"/>
          <w:szCs w:val="21"/>
          <w:lang w:val="en-ID"/>
        </w:rPr>
        <w:t>Second</w:t>
      </w:r>
      <w:r w:rsidRPr="007E2B6C">
        <w:rPr>
          <w:rFonts w:ascii="Cambria" w:hAnsi="Cambria" w:cs="Times New Roman"/>
          <w:sz w:val="21"/>
          <w:szCs w:val="21"/>
          <w:lang w:val="en-ID"/>
        </w:rPr>
        <w:t>, market development includes the development of the destination image, market penetration and diversification to increase the attachment of traditional markets to become </w:t>
      </w:r>
      <w:r w:rsidRPr="007E2B6C">
        <w:rPr>
          <w:rFonts w:ascii="Cambria" w:hAnsi="Cambria" w:cs="Times New Roman"/>
          <w:i/>
          <w:iCs/>
          <w:sz w:val="21"/>
          <w:szCs w:val="21"/>
          <w:lang w:val="en-ID"/>
        </w:rPr>
        <w:t>repeater</w:t>
      </w:r>
      <w:r w:rsidRPr="007E2B6C">
        <w:rPr>
          <w:rFonts w:ascii="Cambria" w:hAnsi="Cambria" w:cs="Times New Roman"/>
          <w:sz w:val="21"/>
          <w:szCs w:val="21"/>
          <w:lang w:val="en-ID"/>
        </w:rPr>
        <w:t> tourists </w:t>
      </w:r>
      <w:r w:rsidRPr="007E2B6C">
        <w:rPr>
          <w:rFonts w:ascii="Cambria" w:hAnsi="Cambria" w:cs="Times New Roman"/>
          <w:i/>
          <w:iCs/>
          <w:sz w:val="21"/>
          <w:szCs w:val="21"/>
          <w:lang w:val="en-ID"/>
        </w:rPr>
        <w:t>and </w:t>
      </w:r>
      <w:r w:rsidRPr="007E2B6C">
        <w:rPr>
          <w:rFonts w:ascii="Cambria" w:hAnsi="Cambria" w:cs="Times New Roman"/>
          <w:sz w:val="21"/>
          <w:szCs w:val="21"/>
          <w:lang w:val="en-ID"/>
        </w:rPr>
        <w:t>expand market reach in the form of new market segments. </w:t>
      </w:r>
      <w:r w:rsidRPr="007E2B6C">
        <w:rPr>
          <w:rFonts w:ascii="Cambria" w:hAnsi="Cambria" w:cs="Times New Roman"/>
          <w:i/>
          <w:iCs/>
          <w:sz w:val="21"/>
          <w:szCs w:val="21"/>
          <w:lang w:val="en-ID"/>
        </w:rPr>
        <w:t>Third</w:t>
      </w:r>
      <w:r w:rsidRPr="007E2B6C">
        <w:rPr>
          <w:rFonts w:ascii="Cambria" w:hAnsi="Cambria" w:cs="Times New Roman"/>
          <w:sz w:val="21"/>
          <w:szCs w:val="21"/>
          <w:lang w:val="en-ID"/>
        </w:rPr>
        <w:t xml:space="preserve">, the tourism industry's development should involve the organization, human resources, and regulations that handle the management of tourism. </w:t>
      </w:r>
      <w:proofErr w:type="gramStart"/>
      <w:r w:rsidRPr="007E2B6C">
        <w:rPr>
          <w:rFonts w:ascii="Cambria" w:hAnsi="Cambria" w:cs="Times New Roman"/>
          <w:sz w:val="21"/>
          <w:szCs w:val="21"/>
          <w:lang w:val="en-ID"/>
        </w:rPr>
        <w:t>Based on the concept stated above, can be found a common thread in providing an operational concept of tourism development.</w:t>
      </w:r>
      <w:proofErr w:type="gramEnd"/>
      <w:r w:rsidRPr="007E2B6C">
        <w:rPr>
          <w:rFonts w:ascii="Cambria" w:hAnsi="Cambria" w:cs="Times New Roman"/>
          <w:sz w:val="21"/>
          <w:szCs w:val="21"/>
          <w:lang w:val="en-ID"/>
        </w:rPr>
        <w:t> </w:t>
      </w:r>
    </w:p>
    <w:p w14:paraId="23C372A1" w14:textId="54CA84E7" w:rsidR="007E2B6C" w:rsidRPr="007E2B6C" w:rsidRDefault="007E2B6C" w:rsidP="007E2B6C">
      <w:pPr>
        <w:spacing w:after="0" w:line="240" w:lineRule="auto"/>
        <w:ind w:firstLine="567"/>
        <w:jc w:val="both"/>
        <w:rPr>
          <w:rFonts w:ascii="Cambria" w:hAnsi="Cambria" w:cs="Times New Roman"/>
          <w:sz w:val="21"/>
          <w:szCs w:val="21"/>
          <w:lang w:val="en-ID"/>
        </w:rPr>
      </w:pPr>
      <w:r w:rsidRPr="007E2B6C">
        <w:rPr>
          <w:rFonts w:ascii="Cambria" w:hAnsi="Cambria"/>
          <w:noProof/>
          <w:sz w:val="21"/>
          <w:szCs w:val="21"/>
        </w:rPr>
        <w:drawing>
          <wp:anchor distT="0" distB="0" distL="114300" distR="114300" simplePos="0" relativeHeight="251659264" behindDoc="0" locked="0" layoutInCell="1" allowOverlap="1" wp14:anchorId="579D2C9D" wp14:editId="38EFAFE6">
            <wp:simplePos x="0" y="0"/>
            <wp:positionH relativeFrom="column">
              <wp:posOffset>845659</wp:posOffset>
            </wp:positionH>
            <wp:positionV relativeFrom="paragraph">
              <wp:posOffset>86445</wp:posOffset>
            </wp:positionV>
            <wp:extent cx="3575713" cy="2142699"/>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4397" cy="214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14742"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5DE76E5D"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1281D941"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1A784292"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129E981C"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693E1F12"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0F3AD886"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5F913E21"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620973B1"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1FA8493C"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160E46E9"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3CC31064"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2258AB90"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3EBA87FB"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1B65B679" w14:textId="248F94CD" w:rsidR="007E2B6C" w:rsidRPr="007E2B6C" w:rsidRDefault="007E2B6C" w:rsidP="00EB2406">
      <w:pPr>
        <w:spacing w:after="0"/>
        <w:ind w:right="407"/>
        <w:jc w:val="center"/>
        <w:rPr>
          <w:rFonts w:ascii="Cambria" w:hAnsi="Cambria"/>
          <w:sz w:val="21"/>
          <w:szCs w:val="21"/>
        </w:rPr>
      </w:pPr>
      <w:proofErr w:type="gramStart"/>
      <w:r w:rsidRPr="00710C30">
        <w:rPr>
          <w:rFonts w:ascii="Cambria" w:hAnsi="Cambria"/>
          <w:b/>
          <w:sz w:val="21"/>
          <w:szCs w:val="21"/>
        </w:rPr>
        <w:t>Figure 1</w:t>
      </w:r>
      <w:r w:rsidR="00466D9B" w:rsidRPr="00710C30">
        <w:rPr>
          <w:rFonts w:ascii="Cambria" w:hAnsi="Cambria"/>
          <w:b/>
          <w:sz w:val="21"/>
          <w:szCs w:val="21"/>
        </w:rPr>
        <w:t>.</w:t>
      </w:r>
      <w:proofErr w:type="gramEnd"/>
      <w:r w:rsidRPr="007E2B6C">
        <w:rPr>
          <w:rFonts w:ascii="Cambria" w:hAnsi="Cambria"/>
          <w:sz w:val="21"/>
          <w:szCs w:val="21"/>
        </w:rPr>
        <w:t xml:space="preserve"> Map of Ambon City Administrative Boundaries</w:t>
      </w:r>
    </w:p>
    <w:p w14:paraId="28160EC9" w14:textId="77777777" w:rsidR="007E2B6C" w:rsidRPr="007E2B6C" w:rsidRDefault="007E2B6C" w:rsidP="007E2B6C">
      <w:pPr>
        <w:spacing w:after="0"/>
        <w:ind w:left="375" w:right="407"/>
        <w:jc w:val="center"/>
        <w:rPr>
          <w:rFonts w:ascii="Cambria" w:hAnsi="Cambria"/>
          <w:sz w:val="21"/>
          <w:szCs w:val="21"/>
        </w:rPr>
      </w:pPr>
      <w:proofErr w:type="gramStart"/>
      <w:r w:rsidRPr="007E2B6C">
        <w:rPr>
          <w:rFonts w:ascii="Cambria" w:hAnsi="Cambria"/>
          <w:sz w:val="21"/>
          <w:szCs w:val="21"/>
        </w:rPr>
        <w:t>Source</w:t>
      </w:r>
      <w:r w:rsidRPr="007E2B6C">
        <w:rPr>
          <w:rFonts w:ascii="Cambria" w:hAnsi="Cambria"/>
          <w:spacing w:val="-1"/>
          <w:sz w:val="21"/>
          <w:szCs w:val="21"/>
        </w:rPr>
        <w:t xml:space="preserve"> </w:t>
      </w:r>
      <w:r w:rsidRPr="007E2B6C">
        <w:rPr>
          <w:rFonts w:ascii="Cambria" w:hAnsi="Cambria"/>
          <w:sz w:val="21"/>
          <w:szCs w:val="21"/>
        </w:rPr>
        <w:t>:</w:t>
      </w:r>
      <w:proofErr w:type="gramEnd"/>
      <w:r w:rsidRPr="007E2B6C">
        <w:rPr>
          <w:rFonts w:ascii="Cambria" w:hAnsi="Cambria"/>
          <w:spacing w:val="-2"/>
          <w:sz w:val="21"/>
          <w:szCs w:val="21"/>
        </w:rPr>
        <w:t xml:space="preserve"> </w:t>
      </w:r>
      <w:r w:rsidRPr="007E2B6C">
        <w:rPr>
          <w:rFonts w:ascii="Cambria" w:hAnsi="Cambria"/>
          <w:sz w:val="21"/>
          <w:szCs w:val="21"/>
        </w:rPr>
        <w:t>BAPPEKOT</w:t>
      </w:r>
      <w:r w:rsidRPr="007E2B6C">
        <w:rPr>
          <w:rFonts w:ascii="Cambria" w:hAnsi="Cambria"/>
          <w:spacing w:val="-1"/>
          <w:sz w:val="21"/>
          <w:szCs w:val="21"/>
        </w:rPr>
        <w:t xml:space="preserve"> </w:t>
      </w:r>
      <w:r w:rsidRPr="007E2B6C">
        <w:rPr>
          <w:rFonts w:ascii="Cambria" w:hAnsi="Cambria"/>
          <w:sz w:val="21"/>
          <w:szCs w:val="21"/>
        </w:rPr>
        <w:t>Kota</w:t>
      </w:r>
      <w:r w:rsidRPr="007E2B6C">
        <w:rPr>
          <w:rFonts w:ascii="Cambria" w:hAnsi="Cambria"/>
          <w:spacing w:val="-1"/>
          <w:sz w:val="21"/>
          <w:szCs w:val="21"/>
        </w:rPr>
        <w:t xml:space="preserve"> </w:t>
      </w:r>
      <w:r w:rsidRPr="007E2B6C">
        <w:rPr>
          <w:rFonts w:ascii="Cambria" w:hAnsi="Cambria"/>
          <w:sz w:val="21"/>
          <w:szCs w:val="21"/>
        </w:rPr>
        <w:t>Ambon</w:t>
      </w:r>
      <w:r w:rsidRPr="007E2B6C">
        <w:rPr>
          <w:rFonts w:ascii="Cambria" w:hAnsi="Cambria"/>
          <w:spacing w:val="-3"/>
          <w:sz w:val="21"/>
          <w:szCs w:val="21"/>
        </w:rPr>
        <w:t xml:space="preserve"> </w:t>
      </w:r>
      <w:r w:rsidRPr="007E2B6C">
        <w:rPr>
          <w:rFonts w:ascii="Cambria" w:hAnsi="Cambria"/>
          <w:sz w:val="21"/>
          <w:szCs w:val="21"/>
        </w:rPr>
        <w:t>2015</w:t>
      </w:r>
    </w:p>
    <w:p w14:paraId="7141EBCA" w14:textId="77777777" w:rsidR="007E2B6C" w:rsidRPr="007E2B6C" w:rsidRDefault="007E2B6C" w:rsidP="007E2B6C">
      <w:pPr>
        <w:spacing w:after="0" w:line="240" w:lineRule="auto"/>
        <w:jc w:val="both"/>
        <w:rPr>
          <w:rFonts w:ascii="Cambria" w:hAnsi="Cambria" w:cs="Times New Roman"/>
          <w:sz w:val="21"/>
          <w:szCs w:val="21"/>
          <w:lang w:val="en-ID"/>
        </w:rPr>
      </w:pPr>
    </w:p>
    <w:p w14:paraId="08FF9C1F" w14:textId="77777777" w:rsidR="007E2B6C" w:rsidRPr="007E2B6C" w:rsidRDefault="007E2B6C" w:rsidP="007E2B6C">
      <w:pPr>
        <w:spacing w:after="0" w:line="240" w:lineRule="auto"/>
        <w:ind w:firstLine="567"/>
        <w:jc w:val="both"/>
        <w:rPr>
          <w:rFonts w:ascii="Cambria" w:hAnsi="Cambria" w:cs="Times New Roman"/>
          <w:sz w:val="21"/>
          <w:szCs w:val="21"/>
          <w:lang w:val="en-ID"/>
        </w:rPr>
      </w:pPr>
      <w:r w:rsidRPr="007E2B6C">
        <w:rPr>
          <w:rFonts w:ascii="Cambria" w:hAnsi="Cambria" w:cs="Times New Roman"/>
          <w:sz w:val="21"/>
          <w:szCs w:val="21"/>
          <w:lang w:val="en-ID"/>
        </w:rPr>
        <w:t xml:space="preserve">Law Number 10 of 2009 emphasizes that tourism is everything that has uniqueness, beauty and value in the form of a diversity of natural, cultural and artificial wealth that is the target or purpose of tourist visits. A tourist destination is a geographical area located in one or more administrative areas in which there are tourist attractions, public facilities, tourism facilities, accessibility and communities that are interrelated and complement the realization of tourism.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{"citationItems":[{"id":"ITEM-1","itemData":{"DOI":"10.3389/fpsyg.2020.01493","ISSN":"16641078","abstract":"Community-Based Tourism (CBT) has been presented as an alternative to sustaining tourism development in developing countries. This tourism model offers local residents an opportunity to manage natural and cultural resources in order to promote the local economy and generate greater benefits. The objective of the study is to investigate the benefits and challenges of CBT as well as solutions to address identified shortcomings by studying Muen Ngoen Kong community in Chiang Mai, Thailand. In order to achieve these objectives, qualitative methods, field observations, and interviews were employed, and qualitative data were analyzed using thematic analysis. The results of the field observation and interview data from local residents were reported, analyzed, and discussed. To practice CBT, the findings indicated that several challenges had been experienced in the implementation of CBT, including conflict over resource ownership and benefit leaking, financial issues, and problems of community participation. However, an abundance of tourism resources and security related concerns were identified as benefits of CBT in the area. In close collaboration with government agencies, product development was recommended to create a unique condition for CBT and address the shortcomings. It is crucial to involve local residents, empower the local community, conserve and cultivate cultural resources, and, finally, to maintain the overall sustainability of tourism resources.","author":[{"dropping-particle":"","family":"Lo","given":"Yu Chih","non-dropping-particle":"","parse-names":false,"suffix":""},{"dropping-particle":"","family":"Janta","given":"Pidpong","non-dropping-particle":"","parse-names":false,"suffix":""}],"container-title":"Frontiers in Psychology","id":"ITEM-1","issue":"July","issued":{"date-parts":[["2020"]]},"page":"1-14","title":"Resident’s Perspective on Developing Community-Based Tourism – A Qualitative Study of Muen Ngoen Kong Community, Chiang Mai, Thailand","type":"article-journal","volume":"11"},"uris":["http://www.mendeley.com/documents/?uuid=273862c4-f8d9-4086-9f52-fada4191af20"]}],"mendeley":{"formattedCitation":"(Lo &amp; Janta, 2020)","manualFormatting":"Lo &amp; Janta (2020)","plainTextFormattedCitation":"(Lo &amp; Janta, 2020)","previouslyFormattedCitation":"(Lo &amp; Janta, 2020)"},"properties":{"noteIndex":0},"schema":"https://github.com/citation-style-language/schema/raw/master/csl-citation.json"}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Lo &amp; Janta (2020)</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suggests that the attractiveness of a destination is the most important factor in inviting tourists to visit it. Destinations that can attract tourists must at least meet the main </w:t>
      </w:r>
      <w:r w:rsidRPr="007E2B6C">
        <w:rPr>
          <w:rFonts w:ascii="Cambria" w:hAnsi="Cambria" w:cs="Times New Roman"/>
          <w:sz w:val="21"/>
          <w:szCs w:val="21"/>
          <w:lang w:val="en-ID"/>
        </w:rPr>
        <w:lastRenderedPageBreak/>
        <w:t>requirements; namely, the destination must have what is called "</w:t>
      </w:r>
      <w:r w:rsidRPr="007E2B6C">
        <w:rPr>
          <w:rFonts w:ascii="Cambria" w:hAnsi="Cambria" w:cs="Times New Roman"/>
          <w:i/>
          <w:iCs/>
          <w:sz w:val="21"/>
          <w:szCs w:val="21"/>
          <w:lang w:val="en-ID"/>
        </w:rPr>
        <w:t>something to see</w:t>
      </w:r>
      <w:r w:rsidRPr="007E2B6C">
        <w:rPr>
          <w:rFonts w:ascii="Cambria" w:hAnsi="Cambria" w:cs="Times New Roman"/>
          <w:sz w:val="21"/>
          <w:szCs w:val="21"/>
          <w:lang w:val="en-ID"/>
        </w:rPr>
        <w:t>". Destinations must have special attractions that tourists can see. They must also have tourist attractions that can be used as "</w:t>
      </w:r>
      <w:r w:rsidRPr="007E2B6C">
        <w:rPr>
          <w:rFonts w:ascii="Cambria" w:hAnsi="Cambria" w:cs="Times New Roman"/>
          <w:i/>
          <w:iCs/>
          <w:sz w:val="21"/>
          <w:szCs w:val="21"/>
          <w:lang w:val="en-ID"/>
        </w:rPr>
        <w:t>entertainment</w:t>
      </w:r>
      <w:r w:rsidRPr="007E2B6C">
        <w:rPr>
          <w:rFonts w:ascii="Cambria" w:hAnsi="Cambria" w:cs="Times New Roman"/>
          <w:sz w:val="21"/>
          <w:szCs w:val="21"/>
          <w:lang w:val="en-ID"/>
        </w:rPr>
        <w:t>" when people visit them. Furthermore, the destination must also have "</w:t>
      </w:r>
      <w:r w:rsidRPr="007E2B6C">
        <w:rPr>
          <w:rFonts w:ascii="Cambria" w:hAnsi="Cambria" w:cs="Times New Roman"/>
          <w:i/>
          <w:iCs/>
          <w:sz w:val="21"/>
          <w:szCs w:val="21"/>
          <w:lang w:val="en-ID"/>
        </w:rPr>
        <w:t>something to do</w:t>
      </w:r>
      <w:r w:rsidRPr="007E2B6C">
        <w:rPr>
          <w:rFonts w:ascii="Cambria" w:hAnsi="Cambria" w:cs="Times New Roman"/>
          <w:sz w:val="21"/>
          <w:szCs w:val="21"/>
          <w:lang w:val="en-ID"/>
        </w:rPr>
        <w:t>". In addition to many things that can be seen and witnessed, several recreational facilities or </w:t>
      </w:r>
      <w:r w:rsidRPr="007E2B6C">
        <w:rPr>
          <w:rFonts w:ascii="Cambria" w:hAnsi="Cambria" w:cs="Times New Roman"/>
          <w:i/>
          <w:iCs/>
          <w:sz w:val="21"/>
          <w:szCs w:val="21"/>
          <w:lang w:val="en-ID"/>
        </w:rPr>
        <w:t>amusements </w:t>
      </w:r>
      <w:r w:rsidRPr="007E2B6C">
        <w:rPr>
          <w:rFonts w:ascii="Cambria" w:hAnsi="Cambria" w:cs="Times New Roman"/>
          <w:sz w:val="21"/>
          <w:szCs w:val="21"/>
          <w:lang w:val="en-ID"/>
        </w:rPr>
        <w:t>and places or rides can be used by tourists for activities such as sports, arts and other activities that can make tourists feel at home and stay longer. Then, the destination must also have "</w:t>
      </w:r>
      <w:r w:rsidRPr="007E2B6C">
        <w:rPr>
          <w:rFonts w:ascii="Cambria" w:hAnsi="Cambria" w:cs="Times New Roman"/>
          <w:i/>
          <w:iCs/>
          <w:sz w:val="21"/>
          <w:szCs w:val="21"/>
          <w:lang w:val="en-ID"/>
        </w:rPr>
        <w:t>something to buy</w:t>
      </w:r>
      <w:r w:rsidRPr="007E2B6C">
        <w:rPr>
          <w:rFonts w:ascii="Cambria" w:hAnsi="Cambria" w:cs="Times New Roman"/>
          <w:sz w:val="21"/>
          <w:szCs w:val="21"/>
          <w:lang w:val="en-ID"/>
        </w:rPr>
        <w:t>". In that place, there should be </w:t>
      </w:r>
      <w:r w:rsidRPr="007E2B6C">
        <w:rPr>
          <w:rFonts w:ascii="Cambria" w:hAnsi="Cambria" w:cs="Times New Roman"/>
          <w:i/>
          <w:iCs/>
          <w:sz w:val="21"/>
          <w:szCs w:val="21"/>
          <w:lang w:val="en-ID"/>
        </w:rPr>
        <w:t>souvenirs</w:t>
      </w:r>
      <w:r w:rsidRPr="007E2B6C">
        <w:rPr>
          <w:rFonts w:ascii="Cambria" w:hAnsi="Cambria" w:cs="Times New Roman"/>
          <w:sz w:val="21"/>
          <w:szCs w:val="21"/>
          <w:lang w:val="en-ID"/>
        </w:rPr>
        <w:t> such as local folk crafts that tourists can buy as souvenirs to take back to their respective places. </w:t>
      </w:r>
    </w:p>
    <w:p w14:paraId="51150EC7" w14:textId="77777777" w:rsidR="007E2B6C" w:rsidRPr="007E2B6C" w:rsidRDefault="007E2B6C" w:rsidP="007E2B6C">
      <w:pPr>
        <w:spacing w:after="0" w:line="240" w:lineRule="auto"/>
        <w:ind w:firstLine="567"/>
        <w:jc w:val="both"/>
        <w:rPr>
          <w:rFonts w:ascii="Cambria" w:hAnsi="Cambria" w:cs="Times New Roman"/>
          <w:sz w:val="21"/>
          <w:szCs w:val="21"/>
          <w:lang w:val="en-ID"/>
        </w:rPr>
      </w:pPr>
      <w:r w:rsidRPr="007E2B6C">
        <w:rPr>
          <w:rFonts w:ascii="Cambria" w:hAnsi="Cambria" w:cs="Times New Roman"/>
          <w:sz w:val="21"/>
          <w:szCs w:val="21"/>
          <w:lang w:val="en-ID"/>
        </w:rPr>
        <w:t>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{"citationItems":[{"id":"ITEM-1","itemData":{"DOI":"10.3126/joetp.v1i0.38245","ISSN":"2717-4638","abstract":"Ecotourism is supposed to be culturally respectful and an agent to enhance indigenous values, culture and heritage conservation through ethical and responsible approach of development. Acknowledging its potential benefits, developing countries like Nepal have promoted ecotourism as a benign and alternative strategy to attract foreign capital particularly by showing indigenous culture, heritage and environmental resources to the tourists. However, in reality, ecotourism has also demonstrated its short-comings that have caused severe environmental damage and socio-cultural problems. In this regard, by adopting multiple techniques of data collection such as survey with households, interview with key informants, participant observation and archival study, this paper examines the role of ecotourism in the conservation of local culture and heritage, and explores the perceived socio-cultural impacts of ecotourism development in the Annapurna Sanctuary Trail in Annapurna region. Research Findings reveal that ecotourism has induced both positive and negative consequences on the local culture and social life. On one hand, social facilities and infrastructure such as road, school, health post, drinking water, and tele-communication have been improved in the settlements along the trail. On the other hand, local culture, traditions and architectural heritage have been threatened by the tourism development. The key objective of ecotourism i.e. conservation of local heritage and culture, is not fully achieved, however local people perceived significant benefits in terms of conservation of biodiversity and economic benefits. The lack of control on the construction of private buildings, and no specific attention on the vernacular architecture, and local cultural practices has pushed communities towards crisis of cultural identity. It recommends to the relevant stakeholders, specifically the government, for adopting comprehensive policies of ecotourism development particularly to promote cultural heritage conservation and sustainability in the region.","author":[{"dropping-particle":"","family":"Bhatta","given":"Kishan Datta","non-dropping-particle":"","parse-names":false,"suffix":""}],"container-title":"Journal of Engineering Technology and Planning","id":"ITEM-1","issue":"1","issued":{"date-parts":[["2019"]]},"page":"55-74","title":"Exploring Socio-cultural Impacts of Ecotourism in the Annapurna Conservation Area, Nepal","type":"article-journal","volume":"1"},"uris":["http://www.mendeley.com/documents/?uuid=51a8cbbc-1ec4-415f-9d18-e6089f68a049"]}],"mendeley":{"formattedCitation":"(Bhatta, 2019)","manualFormatting":"Bhatta (2019)","plainTextFormattedCitation":"(Bhatta, 2019)","previouslyFormattedCitation":"(Bhatta, 2019)"},"properties":{"noteIndex":0},"schema":"https://github.com/citation-style-language/schema/raw/master/csl-citation.json"}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Bhatta (2019)</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stated that several components must be owned by a tourist attraction, such as attractions and tourist attractions which can be defined based on natural tourist attractions, cultural tourist attractions and special interest tourist attractions. Various tourist attractions have a very important position in terms of tourism products, especially to attract tourist visits to destinations such as beautiful nature, charming regional culture, and performing arts.</w:t>
      </w:r>
    </w:p>
    <w:p w14:paraId="2FE4C701" w14:textId="77777777" w:rsidR="007E2B6C" w:rsidRPr="007E2B6C" w:rsidRDefault="007E2B6C" w:rsidP="007E2B6C">
      <w:pPr>
        <w:spacing w:after="0" w:line="240" w:lineRule="auto"/>
        <w:ind w:firstLine="567"/>
        <w:jc w:val="both"/>
        <w:rPr>
          <w:rFonts w:ascii="Cambria" w:hAnsi="Cambria" w:cs="Times New Roman"/>
          <w:sz w:val="21"/>
          <w:szCs w:val="21"/>
        </w:rPr>
      </w:pP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{"citationItems":[{"id":"ITEM-1","itemData":{"DOI":"10.1371/journal.pone.0268637","ISBN":"1111111111","ISSN":"19326203","PMID":"35622867","abstract":"Ecotourism contributes to conserving natural resources and promoting natural and cultural resources stewardship. However, without the strong support and involvement of local people, it is not easy to achieve the stated goals. This study aimed to understand the local people’s perception of the impacts and importance of ecotourism. We conducted a semi-structured interview of 167 respondents from Chitwan National Park (CNP), Nepal’s prime center for ecotourism. The result revealed that more than 70% of respondents are interested in ecotourism activities, and their interests are significantly affected by their age, academic qualification, and occupation. Local people from the study area perceived that infrastructure development and increase in the knowledge base are significant impacts of ecotourism. The study showed that local people’s socioeconomic and demographic characteristics significantly influenced their perceived impacts of ecotourism. Detailed understanding and consideration of socioeconomic and demographic characteristics can contribute to effective outreach and planning process, potentially resulting in the higher promotion of ecotourism.","author":[{"dropping-particle":"","family":"Upadhaya","given":"Suraj","non-dropping-particle":"","parse-names":false,"suffix":""},{"dropping-particle":"","family":"Tiwari","given":"Sarada","non-dropping-particle":"","parse-names":false,"suffix":""},{"dropping-particle":"","family":"Poudyal","given":"Beeju","non-dropping-particle":"","parse-names":false,"suffix":""},{"dropping-particle":"","family":"Chhetri","given":"Sagar Godar","non-dropping-particle":"","parse-names":false,"suffix":""},{"dropping-particle":"","family":"Dhungana","given":"Nabin","non-dropping-particle":"","parse-names":false,"suffix":""}],"container-title":"PLoS ONE","id":"ITEM-1","issue":"5 May","issued":{"date-parts":[["2022"]]},"page":"1-15","title":"Local people’s perception of the impacts and importance of ecotourism in Central Nepal","type":"article-journal","volume":"17"},"uris":["http://www.mendeley.com/documents/?uuid=93b25e1d-129f-4de6-b829-8aba6492de58"]}],"mendeley":{"formattedCitation":"(Upadhaya et al., 2022)","manualFormatting":"Upadhaya et al. (2022)","plainTextFormattedCitation":"(Upadhaya et al., 2022)","previouslyFormattedCitation":"(Upadhaya et al., 2022)"},"properties":{"noteIndex":0},"schema":"https://github.com/citation-style-language/schema/raw/master/csl-citation.json"}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Upadhaya et al. (2022)</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stated that Marine tourism is associated with water sports activities, especially in lakes, rivers, beaches, bays or open seas, such as fishing, sailing, and diving while doing photoshoots, surfing competitions, and rowing. According to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{"citationItems":[{"id":"ITEM-1","itemData":{"DOI":"10.1016/j.jort.2020.100328","ISSN":"22130780","abstract":"Nusa Penida is not only the leading diving destination in Indonesia but also one of the most famous diving points in Southeast Asia. However, it is not a mature tourist area due to its unsustainable tourism development. Furthermore, the problems experienced by diving tourism businesses in this area have rarely been studied. Therefore, this study aims to explore the challenges that affect tourism sustainability in the scuba diving tourism industry in Nusa Penida, from the perspective of dive operators. Drawing on qualitative data collected through 10 semi-structured interviews with diving operators, seven themes emerged from the study (i.e. environmental issues, lack of trained staff and guides, water sport activity, lack of enforcement, lack of government support, unhealthy competition, and irresponsible operators). These findings are expected to provide substantial theoretical and practical implications for researchers, diving business managers, and local governments in sustainable business management. Management implications: • It provides policymakers with insights as to how to revise development plans and reinforce regulations for future tourism sustainability. • It aids managers of diving tourism businesses in gaining awareness and understanding the potential challenges in small diving business operations as well. • This helps prepare future diving entrepreneurs for the marketing and management aspects of their business. • This research could be applied by similar destinations to craft an effective business strategy that meets their desired outcomes.","author":[{"dropping-particle":"","family":"Gerungan","given":"Azalia","non-dropping-particle":"","parse-names":false,"suffix":""},{"dropping-particle":"","family":"Chia","given":"Kei Wei","non-dropping-particle":"","parse-names":false,"suffix":""}],"container-title":"Journal of Outdoor Recreation and Tourism","id":"ITEM-1","issue":"August","issued":{"date-parts":[["2020"]]},"page":"100328","publisher":"Elsevier Ltd","title":"Scuba diving operators’ perspective of scuba diving tourism business in Nusa Penida, Indonesia","type":"article-journal","volume":"31"},"uris":["http://www.mendeley.com/documents/?uuid=3335c722-f1f7-4888-be3a-77b443a41612"]}],"mendeley":{"formattedCitation":"(Gerungan &amp; Chia, 2020)","manualFormatting":"Gerungan &amp; Chia (2020)","plainTextFormattedCitation":"(Gerungan &amp; Chia, 2020)","previouslyFormattedCitation":"(Gerungan &amp; Chia, 2020)"},"properties":{"noteIndex":0},"schema":"https://github.com/citation-style-language/schema/raw/master/csl-citation.json"}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Gerungan &amp; Chia (2020)</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marine tourism is tourism and the environment based on the marine attractiveness of an area dominated by waters and marine areas.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{"citationItems":[{"id":"ITEM-1","itemData":{"DOI":"10.3390/su132413903","ISSN":"20711050","abstract":"Coastal and marine destinations offer alternate options for the sun and the beach, options that are related to nature and culture. This empirical study aims to segment the demand of domestic tourism in coastal and marine destinations and its relationship with satisfaction and loyalty. A factorial analysis and an analysis of K-means clusters were used to reduce and group data. Six motivational dimensions are evident heritage and nature, learning, and sun and beach; and physical, authentic coastal experience, novelty, and social interaction. Two segments were found: the “multiple coastal motives,” which returned a high motivation among the motivational variables proposed and are related to all the factors found, and the “beach lovers”, with high motivation in the aspects of sun and beach, resting, and wanting to see things they do not usually see. These two segments are related to the dimensions of sun and beach and novelty. The multiple coastal motives rendered higher levels of satisfaction and in some variables of future behavior, which shows the relationship of the motivation with the visit. The findings are used to develop marketing plans appropriate to the characteristics of the demand found in each group.","author":[{"dropping-particle":"","family":"Carvache-Franco","given":"Mauricio","non-dropping-particle":"","parse-names":false,"suffix":""},{"dropping-particle":"","family":"Carvache-Franco","given":"Wilmer","non-dropping-particle":"","parse-names":false,"suffix":""},{"dropping-particle":"","family":"Carvache-Franco","given":"Orly","non-dropping-particle":"","parse-names":false,"suffix":""},{"dropping-particle":"","family":"Solis-Radilla","given":"María Magdalena","non-dropping-particle":"","parse-names":false,"suffix":""}],"container-title":"Sustainability (Switzerland)","id":"ITEM-1","issue":"24","issued":{"date-parts":[["2021"]]},"page":"1-15","title":"Tourism market segmentation applied to coastal and marine destinations: A study from Acapulco, Mexico","type":"article-journal","volume":"13"},"uris":["http://www.mendeley.com/documents/?uuid=a7913c19-04f9-4d31-85c0-260b4062dcd6"]}],"mendeley":{"formattedCitation":"(Carvache-Franco et al., 2021)","manualFormatting":"Carvache-Franco et al. (2021)","plainTextFormattedCitation":"(Carvache-Franco et al., 2021)","previouslyFormattedCitation":"(Carvache-Franco et al., 2021)"},"properties":{"noteIndex":0},"schema":"https://github.com/citation-style-language/schema/raw/master/csl-citation.json"}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Carvache-Franco et al. (2021)</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argued that Marine tourism is an activity to enjoy the beauty and uniqueness of natural tourist attractions in coastal and marine areas near the coast and other recreational activities that support it.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{"citationItems":[{"id":"ITEM-1","itemData":{"DOI":"10.12962/j25481479.v2i2.3650","ISSN":"2541-5972","abstract":"</w:instrText>
      </w:r>
      <w:r w:rsidRPr="007E2B6C">
        <w:rPr>
          <w:rFonts w:ascii="Cambria" w:hAnsi="Cambria" w:cs="Times New Roman"/>
          <w:sz w:val="21"/>
          <w:szCs w:val="21"/>
          <w:lang w:val="en-ID"/>
        </w:rPr>
        <w:instrText> marine and coastal tourism as one of the largest segments of the maritime economy sector, as well as the largest component of the tourism industry, often leads to controversy over environmental impact and compatibility with other human activities. The application of economic and tourism concepts that are oriented towards environmental conservation and natural resources is one option to overcome the problem. The Blue Economy concept offers an economic concept based on ecosystem principles, where the development will not only generate economic growth but also ensure ecological and social sustainability. In addition, the concept of ecotourism also offers a tourism activity that prioritizes aspects of nature conservation and improving the welfare of the community.","author":[{"dropping-particle":"","family":"Tegar","given":"Dimas","non-dropping-particle":"","parse-names":false,"suffix":""},{"dropping-particle":"","family":"Saut Gurning","given":"Raja Oloan","non-dropping-particle":"","parse-names":false,"suffix":""}],"container-title":"International Journal of Marine Engineering Innovation and Research","id":"ITEM-1","issue":"2","issued":{"date-parts":[["2018"]]},"title":"Development of Marine and Coastal Tourism Based on Blue Economy","type":"article-journal","volume":"2"},"uris":["http://www.mendeley.com/documents/?uuid=f27c9076-14a4-465a-90d0-c04deba0f82f"]}],"mendeley":{"formattedCitation":"(Tegar &amp; Saut Gurning, 2018)","manualFormatting":"Tegar &amp; Saut Gurning (2018)","plainTextFormattedCitation":"(Tegar &amp; Saut Gurning, 2018)","previouslyFormattedCitation":"(Tegar &amp; Saut Gurning, 2018)"},"properties":{"noteIndex":0},"schema":"https://github.com/citation-style-language/schema/raw/master/csl-citation.json"}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Tegar &amp; Saut Gurning (2018)</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pointed out that marine tourism is a tourism activity that utilizes the potential of the marine nature as a tourist attraction as well as a place for tourism activities both carried out above the surface in the sea area and tourism that cannot be separated from the existence of its ecosystem which is rich in species diversity of Marine biota</w:t>
      </w:r>
      <w:r w:rsidRPr="007E2B6C">
        <w:rPr>
          <w:rFonts w:ascii="Cambria" w:hAnsi="Cambria" w:cs="Times New Roman"/>
          <w:sz w:val="21"/>
          <w:szCs w:val="21"/>
        </w:rPr>
        <w:t>.</w:t>
      </w:r>
    </w:p>
    <w:p w14:paraId="76B33B9D"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03C84597" w14:textId="77777777" w:rsidR="00780006" w:rsidRDefault="007E2B6C" w:rsidP="007E2B6C">
      <w:pPr>
        <w:spacing w:after="0" w:line="240" w:lineRule="auto"/>
        <w:jc w:val="both"/>
        <w:rPr>
          <w:rFonts w:ascii="Cambria" w:hAnsi="Cambria" w:cs="Times New Roman"/>
          <w:b/>
          <w:i/>
          <w:sz w:val="21"/>
          <w:szCs w:val="21"/>
        </w:rPr>
      </w:pPr>
      <w:r w:rsidRPr="007E2B6C">
        <w:rPr>
          <w:rFonts w:ascii="Cambria" w:hAnsi="Cambria" w:cs="Times New Roman"/>
          <w:b/>
          <w:i/>
          <w:sz w:val="21"/>
          <w:szCs w:val="21"/>
        </w:rPr>
        <w:t>Concept of economic valuation</w:t>
      </w:r>
    </w:p>
    <w:p w14:paraId="5502F676" w14:textId="352262C9" w:rsidR="007E2B6C" w:rsidRPr="007E2B6C" w:rsidRDefault="007E2B6C" w:rsidP="007E2B6C">
      <w:pPr>
        <w:spacing w:after="0" w:line="240" w:lineRule="auto"/>
        <w:jc w:val="both"/>
        <w:rPr>
          <w:rFonts w:ascii="Cambria" w:hAnsi="Cambria" w:cs="Times New Roman"/>
          <w:b/>
          <w:i/>
          <w:sz w:val="21"/>
          <w:szCs w:val="21"/>
        </w:rPr>
      </w:pPr>
      <w:r w:rsidRPr="007E2B6C">
        <w:rPr>
          <w:rFonts w:ascii="Cambria" w:hAnsi="Cambria" w:cs="Times New Roman"/>
          <w:color w:val="000000"/>
          <w:sz w:val="21"/>
          <w:szCs w:val="21"/>
          <w:lang w:val="en-ID"/>
        </w:rPr>
        <w:t>The basic concept of valuation refers to the contribution of a commodity to achieve certain goals. In ecology, a gene has a high value if it can contribute to the </w:t>
      </w:r>
      <w:r w:rsidRPr="007E2B6C">
        <w:rPr>
          <w:rFonts w:ascii="Cambria" w:hAnsi="Cambria" w:cs="Times New Roman"/>
          <w:i/>
          <w:iCs/>
          <w:color w:val="000000"/>
          <w:sz w:val="21"/>
          <w:szCs w:val="21"/>
          <w:lang w:val="en-ID"/>
        </w:rPr>
        <w:t>survival</w:t>
      </w:r>
      <w:r w:rsidRPr="007E2B6C">
        <w:rPr>
          <w:rFonts w:ascii="Cambria" w:hAnsi="Cambria" w:cs="Times New Roman"/>
          <w:color w:val="000000"/>
          <w:sz w:val="21"/>
          <w:szCs w:val="21"/>
          <w:lang w:val="en-ID"/>
        </w:rPr>
        <w:t> of the individual who has the gene. In </w:t>
      </w:r>
      <w:r w:rsidRPr="007E2B6C">
        <w:rPr>
          <w:rFonts w:ascii="Cambria" w:hAnsi="Cambria" w:cs="Times New Roman"/>
          <w:iCs/>
          <w:color w:val="000000"/>
          <w:sz w:val="21"/>
          <w:szCs w:val="21"/>
          <w:lang w:val="en-ID"/>
        </w:rPr>
        <w:t>ecological economics,</w:t>
      </w:r>
      <w:r w:rsidRPr="007E2B6C">
        <w:rPr>
          <w:rFonts w:ascii="Cambria" w:hAnsi="Cambria" w:cs="Times New Roman"/>
          <w:color w:val="000000"/>
          <w:sz w:val="21"/>
          <w:szCs w:val="21"/>
          <w:lang w:val="en-ID"/>
        </w:rPr>
        <w:t> </w:t>
      </w:r>
      <w:r w:rsidRPr="007E2B6C">
        <w:rPr>
          <w:rFonts w:ascii="Cambria" w:hAnsi="Cambria" w:cs="Times New Roman"/>
          <w:iCs/>
          <w:color w:val="000000"/>
          <w:sz w:val="21"/>
          <w:szCs w:val="21"/>
          <w:lang w:val="en-ID"/>
        </w:rPr>
        <w:t>value </w:t>
      </w:r>
      <w:r w:rsidRPr="007E2B6C">
        <w:rPr>
          <w:rFonts w:ascii="Cambria" w:hAnsi="Cambria" w:cs="Times New Roman"/>
          <w:color w:val="000000"/>
          <w:sz w:val="21"/>
          <w:szCs w:val="21"/>
          <w:lang w:val="en-ID"/>
        </w:rPr>
        <w:t xml:space="preserve">is for maximizing individual welfare and related to ecological sustainability and distributional justice </w:t>
      </w:r>
      <w:r w:rsidRPr="007E2B6C">
        <w:rPr>
          <w:rFonts w:ascii="Cambria" w:hAnsi="Cambria" w:cs="Times New Roman"/>
          <w:color w:val="000000"/>
          <w:sz w:val="21"/>
          <w:szCs w:val="21"/>
          <w:lang w:val="en-ID"/>
        </w:rPr>
        <w:fldChar w:fldCharType="begin" w:fldLock="1"/>
      </w:r>
      <w:r w:rsidRPr="007E2B6C">
        <w:rPr>
          <w:rFonts w:ascii="Cambria" w:hAnsi="Cambria" w:cs="Times New Roman"/>
          <w:color w:val="000000"/>
          <w:sz w:val="21"/>
          <w:szCs w:val="21"/>
          <w:lang w:val="en-ID"/>
        </w:rPr>
        <w:instrText>ADDIN CSL_CITATION {"citationItems":[{"id":"ITEM-1","itemData":{"DOI":"10.3390/su13031557","ISSN":"20711050","abstract":"As a discipline, ecological economics is at a turning point and there is a need to develop a new research agenda for ecological economics that will contribute to the creation and adoption of new economic institutions. There are still considerable environmental issues and a new generation of scholars ready to tackle them. In this paper and Special Issue, we highlight the voices of emerging scholars in ecological economics who put social justice squarely at the center of ecological economic research. The papers in this issue remain true to the central focus of economic downscaling while calling for greater emphasis on culture and society. We acknowledge that methodological and intellectual pluralism inherently entail tensions but strive to find shared normative foundations to collectively work toward socio-ecological transformations. In this editorial, we emphasize the need for further attention to social aspects of ecological economics and evolutionary approaches to further strengthen cooperation.","author":[{"dropping-particle":"","family":"Kish","given":"Kaitlin","non-dropping-particle":"","parse-names":false,"suffix":""},{"dropping-particle":"","family":"Farley","given":"Joshua","non-dropping-particle":"","parse-names":false,"suffix":""}],"container-title":"Sustainability (Switzerland)","id":"ITEM-1","issue":"3","issued":{"date-parts":[["2021"]]},"page":"1-17","title":"A research agenda for the future of ecological economics by emerging scholars","type":"article-journal","volume":"13"},"uris":["http://www.mendeley.com/documents/?uuid=938d8cac-6914-487c-bda2-7bcab67db220"]}],"mendeley":{"formattedCitation":"(Kish &amp; Farley, 2021)","plainTextFormattedCitation":"(Kish &amp; Farley, 2021)","previouslyFormattedCitation":"(Kish &amp; Farley, 2021)"},"properties":{"noteIndex":0},"schema":"https://github.com/citation-style-language/schema/raw/master/csl-citation.json"}</w:instrText>
      </w:r>
      <w:r w:rsidRPr="007E2B6C">
        <w:rPr>
          <w:rFonts w:ascii="Cambria" w:hAnsi="Cambria" w:cs="Times New Roman"/>
          <w:color w:val="000000"/>
          <w:sz w:val="21"/>
          <w:szCs w:val="21"/>
          <w:lang w:val="en-ID"/>
        </w:rPr>
        <w:fldChar w:fldCharType="separate"/>
      </w:r>
      <w:r w:rsidRPr="007E2B6C">
        <w:rPr>
          <w:rFonts w:ascii="Cambria" w:hAnsi="Cambria" w:cs="Times New Roman"/>
          <w:noProof/>
          <w:color w:val="000000"/>
          <w:sz w:val="21"/>
          <w:szCs w:val="21"/>
          <w:lang w:val="en-ID"/>
        </w:rPr>
        <w:t>(Kish &amp; Farley, 2021)</w:t>
      </w:r>
      <w:r w:rsidRPr="007E2B6C">
        <w:rPr>
          <w:rFonts w:ascii="Cambria" w:hAnsi="Cambria" w:cs="Times New Roman"/>
          <w:color w:val="000000"/>
          <w:sz w:val="21"/>
          <w:szCs w:val="21"/>
          <w:lang w:val="en-ID"/>
        </w:rPr>
        <w:fldChar w:fldCharType="end"/>
      </w:r>
      <w:r w:rsidRPr="007E2B6C">
        <w:rPr>
          <w:rFonts w:ascii="Cambria" w:hAnsi="Cambria" w:cs="Times New Roman"/>
          <w:color w:val="000000"/>
          <w:sz w:val="21"/>
          <w:szCs w:val="21"/>
          <w:lang w:val="en-ID"/>
        </w:rPr>
        <w:t>. Economic valuation is an effort to provide a quantitative value for goods and services produced by natural resources and the environment, both based on market and non-market value. Resource economic valuation is an </w:t>
      </w:r>
      <w:r w:rsidRPr="007E2B6C">
        <w:rPr>
          <w:rFonts w:ascii="Cambria" w:hAnsi="Cambria" w:cs="Times New Roman"/>
          <w:iCs/>
          <w:color w:val="000000"/>
          <w:sz w:val="21"/>
          <w:szCs w:val="21"/>
          <w:lang w:val="en-ID"/>
        </w:rPr>
        <w:t>economic tool </w:t>
      </w:r>
      <w:r w:rsidRPr="007E2B6C">
        <w:rPr>
          <w:rFonts w:ascii="Cambria" w:hAnsi="Cambria" w:cs="Times New Roman"/>
          <w:color w:val="000000"/>
          <w:sz w:val="21"/>
          <w:szCs w:val="21"/>
          <w:lang w:val="en-ID"/>
        </w:rPr>
        <w:t>that uses certain valuation techniques to estimate the monetary value of goods and services produced by natural resources and the environment. </w:t>
      </w:r>
    </w:p>
    <w:p w14:paraId="6DB5F371" w14:textId="77777777" w:rsidR="007E2B6C" w:rsidRPr="007E2B6C" w:rsidRDefault="007E2B6C" w:rsidP="007E2B6C">
      <w:pPr>
        <w:spacing w:after="0" w:line="240" w:lineRule="auto"/>
        <w:ind w:firstLine="567"/>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 xml:space="preserve">Understanding the concept of economic valuation enables policymakers to determine the effective and efficient use of natural resources and the environment. The application of economic valuation shows the relationship between natural resource conservation and economic development. Therefore, economic valuation can be an important tool in increasing public awareness of the use and management of natural resources and the environment. According to the guideline for economic valuation of natural resources and the environment </w:t>
      </w:r>
      <w:r w:rsidRPr="007E2B6C">
        <w:rPr>
          <w:rFonts w:ascii="Cambria" w:hAnsi="Cambria" w:cs="Times New Roman"/>
          <w:color w:val="000000"/>
          <w:sz w:val="21"/>
          <w:szCs w:val="21"/>
          <w:lang w:val="en-ID"/>
        </w:rPr>
        <w:fldChar w:fldCharType="begin" w:fldLock="1"/>
      </w:r>
      <w:r w:rsidRPr="007E2B6C">
        <w:rPr>
          <w:rFonts w:ascii="Cambria" w:hAnsi="Cambria" w:cs="Times New Roman"/>
          <w:color w:val="000000"/>
          <w:sz w:val="21"/>
          <w:szCs w:val="21"/>
          <w:lang w:val="en-ID"/>
        </w:rPr>
        <w:instrText>ADDIN CSL_CITATION {"citationItems":[{"id":"ITEM-1","itemData":{"DOI":"10.3390/su13031557","ISSN":"20711050","abstract":"As a discipline, ecological economics is at a turning point and there is a need to develop a new research agenda for ecological economics that will contribute to the creation and adoption of new economic institutions. There are still considerable environmental issues and a new generation of scholars ready to tackle them. In this paper and Special Issue, we highlight the voices of emerging scholars in ecological economics who put social justice squarely at the center of ecological economic research. The papers in this issue remain true to the central focus of economic downscaling while calling for greater emphasis on culture and society. We acknowledge that methodological and intellectual pluralism inherently entail tensions but strive to find shared normative foundations to collectively work toward socio-ecological transformations. In this editorial, we emphasize the need for further attention to social aspects of ecological economics and evolutionary approaches to further strengthen cooperation.","author":[{"dropping-particle":"","family":"Kish","given":"Kaitlin","non-dropping-particle":"","parse-names":false,"suffix":""},{"dropping-particle":"","family":"Farley","given":"Joshua","non-dropping-particle":"","parse-names":false,"suffix":""}],"container-title":"Sustainability (Switzerland)","id":"ITEM-1","issue":"3","issued":{"date-parts":[["2021"]]},"page":"1-17","title":"A research agenda for the future of ecological economics by emerging scholars","type":"article-journal","volume":"13"},"uris":["http://www.mendeley.com/documents/?uuid=938d8cac-6914-487c-bda2-7bcab67db220"]}],"mendeley":{"formattedCitation":"(Kish &amp; Farley, 2021)","plainTextFormattedCitation":"(Kish &amp; Farley, 2021)","previouslyFormattedCitation":"(Kish &amp; Farley, 2021)"},"properties":{"noteIndex":0},"schema":"https://github.com/citation-style-language/schema/raw/master/csl-citation.json"}</w:instrText>
      </w:r>
      <w:r w:rsidRPr="007E2B6C">
        <w:rPr>
          <w:rFonts w:ascii="Cambria" w:hAnsi="Cambria" w:cs="Times New Roman"/>
          <w:color w:val="000000"/>
          <w:sz w:val="21"/>
          <w:szCs w:val="21"/>
          <w:lang w:val="en-ID"/>
        </w:rPr>
        <w:fldChar w:fldCharType="separate"/>
      </w:r>
      <w:r w:rsidRPr="007E2B6C">
        <w:rPr>
          <w:rFonts w:ascii="Cambria" w:hAnsi="Cambria" w:cs="Times New Roman"/>
          <w:noProof/>
          <w:color w:val="000000"/>
          <w:sz w:val="21"/>
          <w:szCs w:val="21"/>
          <w:lang w:val="en-ID"/>
        </w:rPr>
        <w:t>(Kish &amp; Farley, 2021)</w:t>
      </w:r>
      <w:r w:rsidRPr="007E2B6C">
        <w:rPr>
          <w:rFonts w:ascii="Cambria" w:hAnsi="Cambria" w:cs="Times New Roman"/>
          <w:color w:val="000000"/>
          <w:sz w:val="21"/>
          <w:szCs w:val="21"/>
          <w:lang w:val="en-ID"/>
        </w:rPr>
        <w:fldChar w:fldCharType="end"/>
      </w:r>
      <w:r w:rsidRPr="007E2B6C">
        <w:rPr>
          <w:rFonts w:ascii="Cambria" w:hAnsi="Cambria" w:cs="Times New Roman"/>
          <w:color w:val="000000"/>
          <w:sz w:val="21"/>
          <w:szCs w:val="21"/>
          <w:lang w:val="en-ID"/>
        </w:rPr>
        <w:t>, economic valuation is the imposition of a monetary value on part or all of the potential of natural resources following the purpose of their utilization. The economic valuation of natural resources and the environment is the total economic value (total net value), the value of restoration of damage/pollution and the prevention of pollution/damage.</w:t>
      </w:r>
    </w:p>
    <w:p w14:paraId="78492970" w14:textId="77777777" w:rsidR="007E2B6C" w:rsidRPr="007E2B6C" w:rsidRDefault="007E2B6C" w:rsidP="007E2B6C">
      <w:pPr>
        <w:spacing w:after="0" w:line="240" w:lineRule="auto"/>
        <w:ind w:firstLine="567"/>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 xml:space="preserve">Furthermore, according to Pearce and Turner (1990), there are four approaches in the use of WTP and WTA that can be used as guidelines for obtaining information from the public, namely: 1) </w:t>
      </w:r>
      <w:r w:rsidRPr="007E2B6C">
        <w:rPr>
          <w:rFonts w:ascii="Cambria" w:hAnsi="Cambria" w:cs="Times New Roman"/>
          <w:i/>
          <w:iCs/>
          <w:color w:val="000000"/>
          <w:sz w:val="21"/>
          <w:szCs w:val="21"/>
          <w:lang w:val="en-ID"/>
        </w:rPr>
        <w:t>WTP to secure a benefit</w:t>
      </w:r>
      <w:r w:rsidRPr="007E2B6C">
        <w:rPr>
          <w:rFonts w:ascii="Cambria" w:hAnsi="Cambria" w:cs="Times New Roman"/>
          <w:color w:val="000000"/>
          <w:sz w:val="21"/>
          <w:szCs w:val="21"/>
          <w:lang w:val="en-ID"/>
        </w:rPr>
        <w:t xml:space="preserve">, showing how much value consumers are willing to pay to improve environmental quality. 2) </w:t>
      </w:r>
      <w:r w:rsidRPr="007E2B6C">
        <w:rPr>
          <w:rFonts w:ascii="Cambria" w:hAnsi="Cambria" w:cs="Times New Roman"/>
          <w:i/>
          <w:iCs/>
          <w:color w:val="000000"/>
          <w:sz w:val="21"/>
          <w:szCs w:val="21"/>
          <w:lang w:val="en-ID"/>
        </w:rPr>
        <w:t>WTA to forego a benefit</w:t>
      </w:r>
      <w:r w:rsidRPr="007E2B6C">
        <w:rPr>
          <w:rFonts w:ascii="Cambria" w:hAnsi="Cambria" w:cs="Times New Roman"/>
          <w:color w:val="000000"/>
          <w:sz w:val="21"/>
          <w:szCs w:val="21"/>
          <w:lang w:val="en-ID"/>
        </w:rPr>
        <w:t xml:space="preserve">, showing how much loss can be accepted if environmental improvements are made. 3) </w:t>
      </w:r>
      <w:r w:rsidRPr="007E2B6C">
        <w:rPr>
          <w:rFonts w:ascii="Cambria" w:hAnsi="Cambria" w:cs="Times New Roman"/>
          <w:i/>
          <w:iCs/>
          <w:color w:val="000000"/>
          <w:sz w:val="21"/>
          <w:szCs w:val="21"/>
          <w:lang w:val="en-ID"/>
        </w:rPr>
        <w:t>WTP to prevent a loss</w:t>
      </w:r>
      <w:r w:rsidRPr="007E2B6C">
        <w:rPr>
          <w:rFonts w:ascii="Cambria" w:hAnsi="Cambria" w:cs="Times New Roman"/>
          <w:color w:val="000000"/>
          <w:sz w:val="21"/>
          <w:szCs w:val="21"/>
          <w:lang w:val="en-ID"/>
        </w:rPr>
        <w:t xml:space="preserve"> shows prevention efforts. Residents are given an overview of the losses due to a dirty environment. 4) </w:t>
      </w:r>
      <w:r w:rsidRPr="007E2B6C">
        <w:rPr>
          <w:rFonts w:ascii="Cambria" w:hAnsi="Cambria" w:cs="Times New Roman"/>
          <w:i/>
          <w:iCs/>
          <w:color w:val="000000"/>
          <w:sz w:val="21"/>
          <w:szCs w:val="21"/>
          <w:lang w:val="en-ID"/>
        </w:rPr>
        <w:t>WTA to tolerate a loss</w:t>
      </w:r>
      <w:r w:rsidRPr="007E2B6C">
        <w:rPr>
          <w:rFonts w:ascii="Cambria" w:hAnsi="Cambria" w:cs="Times New Roman"/>
          <w:color w:val="000000"/>
          <w:sz w:val="21"/>
          <w:szCs w:val="21"/>
          <w:lang w:val="en-ID"/>
        </w:rPr>
        <w:t> indicates the amount of loss that can be prevented.</w:t>
      </w:r>
    </w:p>
    <w:p w14:paraId="29C7A367" w14:textId="77777777" w:rsidR="007E2B6C" w:rsidRPr="007E2B6C" w:rsidRDefault="007E2B6C" w:rsidP="007E2B6C">
      <w:pPr>
        <w:spacing w:after="0" w:line="240" w:lineRule="auto"/>
        <w:ind w:firstLine="567"/>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lastRenderedPageBreak/>
        <w:t xml:space="preserve">According to </w:t>
      </w:r>
      <w:r w:rsidRPr="007E2B6C">
        <w:rPr>
          <w:rFonts w:ascii="Cambria" w:hAnsi="Cambria" w:cs="Times New Roman"/>
          <w:color w:val="000000"/>
          <w:sz w:val="21"/>
          <w:szCs w:val="21"/>
          <w:lang w:val="en-ID"/>
        </w:rPr>
        <w:fldChar w:fldCharType="begin" w:fldLock="1"/>
      </w:r>
      <w:r w:rsidRPr="007E2B6C">
        <w:rPr>
          <w:rFonts w:ascii="Cambria" w:hAnsi="Cambria" w:cs="Times New Roman"/>
          <w:color w:val="000000"/>
          <w:sz w:val="21"/>
          <w:szCs w:val="21"/>
          <w:lang w:val="en-ID"/>
        </w:rPr>
        <w:instrText>ADDIN CSL_CITATION {"citationItems":[{"id":"ITEM-1","itemData":{"DOI":"10.3390/su13063231","ISSN":"20711050","abstract":"By referring to the European Green Deal, this paper analyzes the “intrinsic value” of cultural heritage by investigating the human</w:instrText>
      </w:r>
      <w:r w:rsidRPr="007E2B6C">
        <w:rPr>
          <w:rFonts w:ascii="Cambria" w:hAnsi="Cambria" w:cs="Cambria Math"/>
          <w:color w:val="000000"/>
          <w:sz w:val="21"/>
          <w:szCs w:val="21"/>
          <w:lang w:val="en-ID"/>
        </w:rPr>
        <w:instrText>‐</w:instrText>
      </w:r>
      <w:r w:rsidRPr="007E2B6C">
        <w:rPr>
          <w:rFonts w:ascii="Cambria" w:hAnsi="Cambria" w:cs="Times New Roman"/>
          <w:color w:val="000000"/>
          <w:sz w:val="21"/>
          <w:szCs w:val="21"/>
          <w:lang w:val="en-ID"/>
        </w:rPr>
        <w:instrText>centered adaptive reuse of this heritage. This implies questions such as how to improve the effectiveness of reuse, restoration, and valorization interventions on cultural heritage/landscapes and how to transform a cultural asset into a place, interpreted as a living ecosystem, to be managed as a living organism. The autopoietic characteristic of the eco</w:instrText>
      </w:r>
      <w:r w:rsidRPr="007E2B6C">
        <w:rPr>
          <w:rFonts w:ascii="Cambria" w:hAnsi="Cambria" w:cs="Cambria Math"/>
          <w:color w:val="000000"/>
          <w:sz w:val="21"/>
          <w:szCs w:val="21"/>
          <w:lang w:val="en-ID"/>
        </w:rPr>
        <w:instrText>‐</w:instrText>
      </w:r>
      <w:r w:rsidRPr="007E2B6C">
        <w:rPr>
          <w:rFonts w:ascii="Cambria" w:hAnsi="Cambria" w:cs="Times New Roman"/>
          <w:color w:val="000000"/>
          <w:sz w:val="21"/>
          <w:szCs w:val="21"/>
          <w:lang w:val="en-ID"/>
        </w:rPr>
        <w:instrText>bio</w:instrText>
      </w:r>
      <w:r w:rsidRPr="007E2B6C">
        <w:rPr>
          <w:rFonts w:ascii="Cambria" w:hAnsi="Cambria" w:cs="Cambria Math"/>
          <w:color w:val="000000"/>
          <w:sz w:val="21"/>
          <w:szCs w:val="21"/>
          <w:lang w:val="en-ID"/>
        </w:rPr>
        <w:instrText>‐</w:instrText>
      </w:r>
      <w:r w:rsidRPr="007E2B6C">
        <w:rPr>
          <w:rFonts w:ascii="Cambria" w:hAnsi="Cambria" w:cs="Times New Roman"/>
          <w:color w:val="000000"/>
          <w:sz w:val="21"/>
          <w:szCs w:val="21"/>
          <w:lang w:val="en-ID"/>
        </w:rPr>
        <w:instrText>systems, specifically focusing on the intrinsic versus instrumental values of cultural heritage ecosystem is discussed in detail. Specifically, the notion of complex social value is introduced to express the above integration. In ecology, the notion of intrinsic value (or “primary value”) relates to the recognition of a value that “pre</w:instrText>
      </w:r>
      <w:r w:rsidRPr="007E2B6C">
        <w:rPr>
          <w:rFonts w:ascii="Cambria" w:hAnsi="Cambria" w:cs="Cambria Math"/>
          <w:color w:val="000000"/>
          <w:sz w:val="21"/>
          <w:szCs w:val="21"/>
          <w:lang w:val="en-ID"/>
        </w:rPr>
        <w:instrText>‐</w:instrText>
      </w:r>
      <w:r w:rsidRPr="007E2B6C">
        <w:rPr>
          <w:rFonts w:ascii="Cambria" w:hAnsi="Cambria" w:cs="Times New Roman"/>
          <w:color w:val="000000"/>
          <w:sz w:val="21"/>
          <w:szCs w:val="21"/>
          <w:lang w:val="en-ID"/>
        </w:rPr>
        <w:instrText>exists</w:instrText>
      </w:r>
      <w:r w:rsidRPr="007E2B6C">
        <w:rPr>
          <w:rFonts w:ascii="Cambria" w:hAnsi="Cambria" w:cs="Verdana"/>
          <w:color w:val="000000"/>
          <w:sz w:val="21"/>
          <w:szCs w:val="21"/>
          <w:lang w:val="en-ID"/>
        </w:rPr>
        <w:instrText>”</w:instrText>
      </w:r>
      <w:r w:rsidRPr="007E2B6C">
        <w:rPr>
          <w:rFonts w:ascii="Cambria" w:hAnsi="Cambria" w:cs="Times New Roman"/>
          <w:color w:val="000000"/>
          <w:sz w:val="21"/>
          <w:szCs w:val="21"/>
          <w:lang w:val="en-ID"/>
        </w:rPr>
        <w:instrText xml:space="preserve"> any exploitation by human beings. The effectiveness of transforming a heritage asset into a living ecosystem is seen to follow from an integration of these two values. In this context, the paper provides an overview of the different applications of the business model concept in the circular economy, for a better investment decision-making and management in heritage adaptive reuse. Matera case is presented as an example of a cultural heritage ecosystem. To conclude, recommendations toward an integrated approach in managing the adaptive reuse of heritage ecosystem as a living organism are proposed.","author":[{"dropping-particle":"","family":"Girard","given":"Luigi Fusco","non-dropping-particle":"","parse-names":false,"suffix":""},{"dropping-particle":"","family":"Vecco","given":"Marilena","non-dropping-particle":"","parse-names":false,"suffix":""}],"container-title":"Sustainability (Switzerland)","id":"ITEM-1","issue":"6","issued":{"date-parts":[["2021"]]},"page":"1-28","title":"The “intrinsic value” of cultural heritage as driver for circular human</w:instrText>
      </w:r>
      <w:r w:rsidRPr="007E2B6C">
        <w:rPr>
          <w:rFonts w:ascii="Cambria" w:hAnsi="Cambria" w:cs="Cambria Math"/>
          <w:color w:val="000000"/>
          <w:sz w:val="21"/>
          <w:szCs w:val="21"/>
          <w:lang w:val="en-ID"/>
        </w:rPr>
        <w:instrText>‐</w:instrText>
      </w:r>
      <w:r w:rsidRPr="007E2B6C">
        <w:rPr>
          <w:rFonts w:ascii="Cambria" w:hAnsi="Cambria" w:cs="Times New Roman"/>
          <w:color w:val="000000"/>
          <w:sz w:val="21"/>
          <w:szCs w:val="21"/>
          <w:lang w:val="en-ID"/>
        </w:rPr>
        <w:instrText>centered adaptive reuse","type":"article-journal","volume":"13"},"uris":["http://www.mendeley.com/documents/?uuid=833eee76-d389-4e8f-ba43-41cdb8c90aa5"]}],"mendeley":{"formattedCitation":"(Girard &amp; Vecco, 2021)","manualFormatting":"Girard &amp; Vecco (2021)","plainTextFormattedCitation":"(Girard &amp; Vecco, 2021)","previouslyFormattedCitation":"(Girard &amp; Vecco, 2021)"},"properties":{"noteIndex":0},"schema":"https://github.com/citation-style-language/schema/raw/master/csl-citation.json"}</w:instrText>
      </w:r>
      <w:r w:rsidRPr="007E2B6C">
        <w:rPr>
          <w:rFonts w:ascii="Cambria" w:hAnsi="Cambria" w:cs="Times New Roman"/>
          <w:color w:val="000000"/>
          <w:sz w:val="21"/>
          <w:szCs w:val="21"/>
          <w:lang w:val="en-ID"/>
        </w:rPr>
        <w:fldChar w:fldCharType="separate"/>
      </w:r>
      <w:r w:rsidRPr="007E2B6C">
        <w:rPr>
          <w:rFonts w:ascii="Cambria" w:hAnsi="Cambria" w:cs="Times New Roman"/>
          <w:noProof/>
          <w:color w:val="000000"/>
          <w:sz w:val="21"/>
          <w:szCs w:val="21"/>
          <w:lang w:val="en-ID"/>
        </w:rPr>
        <w:t>Girard &amp; Vecco (2021)</w:t>
      </w:r>
      <w:r w:rsidRPr="007E2B6C">
        <w:rPr>
          <w:rFonts w:ascii="Cambria" w:hAnsi="Cambria" w:cs="Times New Roman"/>
          <w:color w:val="000000"/>
          <w:sz w:val="21"/>
          <w:szCs w:val="21"/>
          <w:lang w:val="en-ID"/>
        </w:rPr>
        <w:fldChar w:fldCharType="end"/>
      </w:r>
      <w:r w:rsidRPr="007E2B6C">
        <w:rPr>
          <w:rFonts w:ascii="Cambria" w:hAnsi="Cambria" w:cs="Times New Roman"/>
          <w:color w:val="000000"/>
          <w:sz w:val="21"/>
          <w:szCs w:val="21"/>
          <w:lang w:val="en-ID"/>
        </w:rPr>
        <w:t>, the value of natural resources is distinguished by value based on use (</w:t>
      </w:r>
      <w:r w:rsidRPr="007E2B6C">
        <w:rPr>
          <w:rFonts w:ascii="Cambria" w:hAnsi="Cambria" w:cs="Times New Roman"/>
          <w:i/>
          <w:iCs/>
          <w:color w:val="000000"/>
          <w:sz w:val="21"/>
          <w:szCs w:val="21"/>
          <w:lang w:val="en-ID"/>
        </w:rPr>
        <w:t>instrumental value</w:t>
      </w:r>
      <w:r w:rsidRPr="007E2B6C">
        <w:rPr>
          <w:rFonts w:ascii="Cambria" w:hAnsi="Cambria" w:cs="Times New Roman"/>
          <w:color w:val="000000"/>
          <w:sz w:val="21"/>
          <w:szCs w:val="21"/>
          <w:lang w:val="en-ID"/>
        </w:rPr>
        <w:t>) and value without use which is intrinsically embedded in natural resource assets (</w:t>
      </w:r>
      <w:r w:rsidRPr="007E2B6C">
        <w:rPr>
          <w:rFonts w:ascii="Cambria" w:hAnsi="Cambria" w:cs="Times New Roman"/>
          <w:i/>
          <w:iCs/>
          <w:color w:val="000000"/>
          <w:sz w:val="21"/>
          <w:szCs w:val="21"/>
          <w:lang w:val="en-ID"/>
        </w:rPr>
        <w:t>intrinsic value</w:t>
      </w:r>
      <w:r w:rsidRPr="007E2B6C">
        <w:rPr>
          <w:rFonts w:ascii="Cambria" w:hAnsi="Cambria" w:cs="Times New Roman"/>
          <w:color w:val="000000"/>
          <w:sz w:val="21"/>
          <w:szCs w:val="21"/>
          <w:lang w:val="en-ID"/>
        </w:rPr>
        <w:t xml:space="preserve">). Furthermore, based on its use, the economic value of a resource can be grouped into values </w:t>
      </w:r>
      <w:r w:rsidRPr="007E2B6C">
        <w:rPr>
          <w:rFonts w:ascii="Cambria" w:hAnsi="Cambria"/>
          <w:color w:val="000000"/>
          <w:sz w:val="21"/>
          <w:szCs w:val="21"/>
          <w:lang w:val="en-ID"/>
        </w:rPr>
        <w:t>​​</w:t>
      </w:r>
      <w:r w:rsidRPr="007E2B6C">
        <w:rPr>
          <w:rFonts w:ascii="Cambria" w:hAnsi="Cambria" w:cs="Times New Roman"/>
          <w:color w:val="000000"/>
          <w:sz w:val="21"/>
          <w:szCs w:val="21"/>
          <w:lang w:val="en-ID"/>
        </w:rPr>
        <w:t>based on use and indirect use values and</w:t>
      </w:r>
      <w:r w:rsidRPr="007E2B6C">
        <w:rPr>
          <w:rFonts w:ascii="Cambria" w:hAnsi="Cambria" w:cs="Verdana"/>
          <w:color w:val="000000"/>
          <w:sz w:val="21"/>
          <w:szCs w:val="21"/>
          <w:lang w:val="en-ID"/>
        </w:rPr>
        <w:t> </w:t>
      </w:r>
      <w:r w:rsidRPr="007E2B6C">
        <w:rPr>
          <w:rFonts w:ascii="Cambria" w:hAnsi="Cambria" w:cs="Times New Roman"/>
          <w:i/>
          <w:iCs/>
          <w:color w:val="000000"/>
          <w:sz w:val="21"/>
          <w:szCs w:val="21"/>
          <w:lang w:val="en-ID"/>
        </w:rPr>
        <w:t>option values</w:t>
      </w:r>
      <w:r w:rsidRPr="007E2B6C">
        <w:rPr>
          <w:rFonts w:ascii="Cambria" w:hAnsi="Cambria" w:cs="Times New Roman"/>
          <w:color w:val="000000"/>
          <w:sz w:val="21"/>
          <w:szCs w:val="21"/>
          <w:lang w:val="en-ID"/>
        </w:rPr>
        <w:t>. Meanwhile,</w:t>
      </w:r>
      <w:r w:rsidRPr="007E2B6C">
        <w:rPr>
          <w:rFonts w:ascii="Cambria" w:hAnsi="Cambria" w:cs="Times New Roman"/>
          <w:i/>
          <w:iCs/>
          <w:color w:val="000000"/>
          <w:sz w:val="21"/>
          <w:szCs w:val="21"/>
          <w:lang w:val="en-ID"/>
        </w:rPr>
        <w:t> non-use values</w:t>
      </w:r>
      <w:r w:rsidRPr="007E2B6C">
        <w:rPr>
          <w:rFonts w:ascii="Cambria" w:hAnsi="Cambria"/>
          <w:color w:val="000000"/>
          <w:sz w:val="21"/>
          <w:szCs w:val="21"/>
          <w:lang w:val="en-ID"/>
        </w:rPr>
        <w:t>​​</w:t>
      </w:r>
      <w:r w:rsidRPr="007E2B6C">
        <w:rPr>
          <w:rFonts w:ascii="Cambria" w:hAnsi="Cambria" w:cs="Times New Roman"/>
          <w:color w:val="000000"/>
          <w:sz w:val="21"/>
          <w:szCs w:val="21"/>
          <w:lang w:val="en-ID"/>
        </w:rPr>
        <w:t xml:space="preserve"> can be distinguished into</w:t>
      </w:r>
      <w:r w:rsidRPr="007E2B6C">
        <w:rPr>
          <w:rFonts w:ascii="Cambria" w:hAnsi="Cambria" w:cs="Verdana"/>
          <w:color w:val="000000"/>
          <w:sz w:val="21"/>
          <w:szCs w:val="21"/>
          <w:lang w:val="en-ID"/>
        </w:rPr>
        <w:t> </w:t>
      </w:r>
      <w:r w:rsidRPr="007E2B6C">
        <w:rPr>
          <w:rFonts w:ascii="Cambria" w:hAnsi="Cambria" w:cs="Times New Roman"/>
          <w:i/>
          <w:iCs/>
          <w:color w:val="000000"/>
          <w:sz w:val="21"/>
          <w:szCs w:val="21"/>
          <w:lang w:val="en-ID"/>
        </w:rPr>
        <w:t>existence values</w:t>
      </w:r>
      <w:r w:rsidRPr="007E2B6C">
        <w:rPr>
          <w:rFonts w:ascii="Cambria" w:hAnsi="Cambria"/>
          <w:color w:val="000000"/>
          <w:sz w:val="21"/>
          <w:szCs w:val="21"/>
          <w:lang w:val="en-ID"/>
        </w:rPr>
        <w:t>​​</w:t>
      </w:r>
      <w:r w:rsidRPr="007E2B6C">
        <w:rPr>
          <w:rFonts w:ascii="Cambria" w:hAnsi="Cambria" w:cs="Times New Roman"/>
          <w:color w:val="000000"/>
          <w:sz w:val="21"/>
          <w:szCs w:val="21"/>
          <w:lang w:val="en-ID"/>
        </w:rPr>
        <w:t xml:space="preserve"> and</w:t>
      </w:r>
      <w:r w:rsidRPr="007E2B6C">
        <w:rPr>
          <w:rFonts w:ascii="Cambria" w:hAnsi="Cambria" w:cs="Verdana"/>
          <w:color w:val="000000"/>
          <w:sz w:val="21"/>
          <w:szCs w:val="21"/>
          <w:lang w:val="en-ID"/>
        </w:rPr>
        <w:t> </w:t>
      </w:r>
      <w:r w:rsidRPr="007E2B6C">
        <w:rPr>
          <w:rFonts w:ascii="Cambria" w:hAnsi="Cambria" w:cs="Times New Roman"/>
          <w:i/>
          <w:iCs/>
          <w:color w:val="000000"/>
          <w:sz w:val="21"/>
          <w:szCs w:val="21"/>
          <w:lang w:val="en-ID"/>
        </w:rPr>
        <w:t>bequest values</w:t>
      </w:r>
      <w:r w:rsidRPr="007E2B6C">
        <w:rPr>
          <w:rFonts w:ascii="Cambria" w:hAnsi="Cambria" w:cs="Times New Roman"/>
          <w:color w:val="000000"/>
          <w:sz w:val="21"/>
          <w:szCs w:val="21"/>
          <w:lang w:val="en-ID"/>
        </w:rPr>
        <w:t>. The </w:t>
      </w:r>
      <w:r w:rsidRPr="007E2B6C">
        <w:rPr>
          <w:rFonts w:ascii="Cambria" w:hAnsi="Cambria" w:cs="Times New Roman"/>
          <w:i/>
          <w:iCs/>
          <w:color w:val="000000"/>
          <w:sz w:val="21"/>
          <w:szCs w:val="21"/>
          <w:lang w:val="en-ID"/>
        </w:rPr>
        <w:t>total economic value </w:t>
      </w:r>
      <w:r w:rsidRPr="007E2B6C">
        <w:rPr>
          <w:rFonts w:ascii="Cambria" w:hAnsi="Cambria" w:cs="Times New Roman"/>
          <w:color w:val="000000"/>
          <w:sz w:val="21"/>
          <w:szCs w:val="21"/>
          <w:lang w:val="en-ID"/>
        </w:rPr>
        <w:t>(</w:t>
      </w:r>
      <w:r w:rsidRPr="007E2B6C">
        <w:rPr>
          <w:rFonts w:ascii="Cambria" w:hAnsi="Cambria" w:cs="Times New Roman"/>
          <w:i/>
          <w:iCs/>
          <w:color w:val="000000"/>
          <w:sz w:val="21"/>
          <w:szCs w:val="21"/>
          <w:lang w:val="en-ID"/>
        </w:rPr>
        <w:t>TEV</w:t>
      </w:r>
      <w:r w:rsidRPr="007E2B6C">
        <w:rPr>
          <w:rFonts w:ascii="Cambria" w:hAnsi="Cambria" w:cs="Times New Roman"/>
          <w:color w:val="000000"/>
          <w:sz w:val="21"/>
          <w:szCs w:val="21"/>
          <w:lang w:val="en-ID"/>
        </w:rPr>
        <w:t>) is obtained from the sum of the value based on use and the value based on indirect use (Pearce &amp; Turner, 1990)</w:t>
      </w:r>
      <w:r w:rsidRPr="007E2B6C">
        <w:rPr>
          <w:rFonts w:ascii="Cambria" w:hAnsi="Cambria" w:cs="Times New Roman"/>
          <w:sz w:val="21"/>
          <w:szCs w:val="21"/>
        </w:rPr>
        <w:t>.</w:t>
      </w:r>
    </w:p>
    <w:p w14:paraId="6AD467AE" w14:textId="77777777" w:rsidR="007E2B6C" w:rsidRPr="007E2B6C" w:rsidRDefault="007E2B6C" w:rsidP="007E2B6C">
      <w:pPr>
        <w:spacing w:after="0" w:line="240" w:lineRule="auto"/>
        <w:jc w:val="both"/>
        <w:rPr>
          <w:rFonts w:ascii="Cambria" w:hAnsi="Cambria" w:cs="Times New Roman"/>
          <w:sz w:val="21"/>
          <w:szCs w:val="21"/>
        </w:rPr>
      </w:pPr>
      <w:r w:rsidRPr="007E2B6C">
        <w:rPr>
          <w:rFonts w:ascii="Cambria" w:hAnsi="Cambria" w:cs="Times New Roman"/>
          <w:color w:val="000000"/>
          <w:sz w:val="21"/>
          <w:szCs w:val="21"/>
        </w:rPr>
        <w:t>Total Economic Value (TEV) can be written with the following mathematical equation:</w:t>
      </w:r>
    </w:p>
    <w:p w14:paraId="719A6011" w14:textId="77777777" w:rsidR="007E2B6C" w:rsidRPr="007E2B6C" w:rsidRDefault="007E2B6C" w:rsidP="007E2B6C">
      <w:pPr>
        <w:tabs>
          <w:tab w:val="left" w:pos="709"/>
        </w:tabs>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TEV</w:t>
      </w:r>
      <w:r w:rsidRPr="007E2B6C">
        <w:rPr>
          <w:rFonts w:ascii="Cambria" w:hAnsi="Cambria" w:cs="Times New Roman"/>
          <w:color w:val="000000"/>
          <w:sz w:val="21"/>
          <w:szCs w:val="21"/>
        </w:rPr>
        <w:tab/>
        <w:t>= UV + NUV</w:t>
      </w:r>
    </w:p>
    <w:p w14:paraId="4A644E8E" w14:textId="77777777" w:rsidR="007E2B6C" w:rsidRPr="007E2B6C" w:rsidRDefault="007E2B6C" w:rsidP="007E2B6C">
      <w:pPr>
        <w:tabs>
          <w:tab w:val="left" w:pos="709"/>
        </w:tabs>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UV</w:t>
      </w:r>
      <w:r w:rsidRPr="007E2B6C">
        <w:rPr>
          <w:rFonts w:ascii="Cambria" w:hAnsi="Cambria" w:cs="Times New Roman"/>
          <w:color w:val="000000"/>
          <w:sz w:val="21"/>
          <w:szCs w:val="21"/>
        </w:rPr>
        <w:tab/>
        <w:t>= DUV + IUV + OV</w:t>
      </w:r>
    </w:p>
    <w:p w14:paraId="05268A76" w14:textId="77777777" w:rsidR="007E2B6C" w:rsidRPr="007E2B6C" w:rsidRDefault="007E2B6C" w:rsidP="007E2B6C">
      <w:pPr>
        <w:tabs>
          <w:tab w:val="left" w:pos="709"/>
        </w:tabs>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NUV</w:t>
      </w:r>
      <w:r w:rsidRPr="007E2B6C">
        <w:rPr>
          <w:rFonts w:ascii="Cambria" w:hAnsi="Cambria" w:cs="Times New Roman"/>
          <w:color w:val="000000"/>
          <w:sz w:val="21"/>
          <w:szCs w:val="21"/>
        </w:rPr>
        <w:tab/>
        <w:t>= EV + BV</w:t>
      </w:r>
    </w:p>
    <w:p w14:paraId="329A816C" w14:textId="77777777" w:rsidR="007E2B6C" w:rsidRPr="007E2B6C" w:rsidRDefault="007E2B6C" w:rsidP="007E2B6C">
      <w:pPr>
        <w:tabs>
          <w:tab w:val="left" w:pos="709"/>
        </w:tabs>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TEV</w:t>
      </w:r>
      <w:r w:rsidRPr="007E2B6C">
        <w:rPr>
          <w:rFonts w:ascii="Cambria" w:hAnsi="Cambria" w:cs="Times New Roman"/>
          <w:color w:val="000000"/>
          <w:sz w:val="21"/>
          <w:szCs w:val="21"/>
        </w:rPr>
        <w:tab/>
        <w:t xml:space="preserve">= UV + NUV = (DUV + IUV + OV) + </w:t>
      </w:r>
      <w:r w:rsidRPr="007E2B6C">
        <w:rPr>
          <w:rFonts w:ascii="Cambria" w:hAnsi="Cambria"/>
          <w:color w:val="000000"/>
          <w:sz w:val="21"/>
          <w:szCs w:val="21"/>
        </w:rPr>
        <w:t>​​</w:t>
      </w:r>
      <w:r w:rsidRPr="007E2B6C">
        <w:rPr>
          <w:rFonts w:ascii="Cambria" w:hAnsi="Cambria" w:cs="Times New Roman"/>
          <w:color w:val="000000"/>
          <w:sz w:val="21"/>
          <w:szCs w:val="21"/>
        </w:rPr>
        <w:t>(EV + BV)</w:t>
      </w:r>
    </w:p>
    <w:p w14:paraId="6C63DAAF" w14:textId="77777777" w:rsidR="007E2B6C" w:rsidRPr="007E2B6C" w:rsidRDefault="007E2B6C" w:rsidP="007E2B6C">
      <w:pPr>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Where:</w:t>
      </w:r>
    </w:p>
    <w:p w14:paraId="4DC94C3B" w14:textId="77777777" w:rsidR="007E2B6C" w:rsidRPr="007E2B6C" w:rsidRDefault="007E2B6C" w:rsidP="007E2B6C">
      <w:pPr>
        <w:tabs>
          <w:tab w:val="left" w:pos="567"/>
        </w:tabs>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TEV</w:t>
      </w:r>
      <w:r w:rsidRPr="007E2B6C">
        <w:rPr>
          <w:rFonts w:ascii="Cambria" w:hAnsi="Cambria" w:cs="Times New Roman"/>
          <w:color w:val="000000"/>
          <w:sz w:val="21"/>
          <w:szCs w:val="21"/>
        </w:rPr>
        <w:tab/>
        <w:t>= Total Economic Value</w:t>
      </w:r>
    </w:p>
    <w:p w14:paraId="3E7E5969" w14:textId="77777777" w:rsidR="007E2B6C" w:rsidRPr="007E2B6C" w:rsidRDefault="007E2B6C" w:rsidP="007E2B6C">
      <w:pPr>
        <w:tabs>
          <w:tab w:val="left" w:pos="567"/>
        </w:tabs>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UV</w:t>
      </w:r>
      <w:r w:rsidRPr="007E2B6C">
        <w:rPr>
          <w:rFonts w:ascii="Cambria" w:hAnsi="Cambria" w:cs="Times New Roman"/>
          <w:color w:val="000000"/>
          <w:sz w:val="21"/>
          <w:szCs w:val="21"/>
        </w:rPr>
        <w:tab/>
        <w:t>= Use Values</w:t>
      </w:r>
    </w:p>
    <w:p w14:paraId="1038F327" w14:textId="77777777" w:rsidR="007E2B6C" w:rsidRPr="007E2B6C" w:rsidRDefault="007E2B6C" w:rsidP="007E2B6C">
      <w:pPr>
        <w:tabs>
          <w:tab w:val="left" w:pos="567"/>
        </w:tabs>
        <w:spacing w:after="0" w:line="240" w:lineRule="auto"/>
        <w:ind w:right="26"/>
        <w:jc w:val="both"/>
        <w:rPr>
          <w:rFonts w:ascii="Cambria" w:hAnsi="Cambria" w:cs="Times New Roman"/>
          <w:color w:val="000000"/>
          <w:sz w:val="21"/>
          <w:szCs w:val="21"/>
        </w:rPr>
      </w:pPr>
      <w:r w:rsidRPr="007E2B6C">
        <w:rPr>
          <w:rFonts w:ascii="Cambria" w:hAnsi="Cambria"/>
          <w:color w:val="000000"/>
          <w:sz w:val="21"/>
          <w:szCs w:val="21"/>
        </w:rPr>
        <w:t>​​</w:t>
      </w:r>
      <w:r w:rsidRPr="007E2B6C">
        <w:rPr>
          <w:rFonts w:ascii="Cambria" w:hAnsi="Cambria" w:cs="Times New Roman"/>
          <w:color w:val="000000"/>
          <w:sz w:val="21"/>
          <w:szCs w:val="21"/>
        </w:rPr>
        <w:t>NUV</w:t>
      </w:r>
      <w:r w:rsidRPr="007E2B6C">
        <w:rPr>
          <w:rFonts w:ascii="Cambria" w:hAnsi="Cambria" w:cs="Times New Roman"/>
          <w:color w:val="000000"/>
          <w:sz w:val="21"/>
          <w:szCs w:val="21"/>
        </w:rPr>
        <w:tab/>
        <w:t>= Non Use Value</w:t>
      </w:r>
    </w:p>
    <w:p w14:paraId="73D4E91F" w14:textId="77777777" w:rsidR="007E2B6C" w:rsidRPr="007E2B6C" w:rsidRDefault="007E2B6C" w:rsidP="007E2B6C">
      <w:pPr>
        <w:tabs>
          <w:tab w:val="left" w:pos="567"/>
        </w:tabs>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DUV</w:t>
      </w:r>
      <w:r w:rsidRPr="007E2B6C">
        <w:rPr>
          <w:rFonts w:ascii="Cambria" w:hAnsi="Cambria" w:cs="Times New Roman"/>
          <w:color w:val="000000"/>
          <w:sz w:val="21"/>
          <w:szCs w:val="21"/>
        </w:rPr>
        <w:tab/>
        <w:t>= Direct Use Value</w:t>
      </w:r>
    </w:p>
    <w:p w14:paraId="4A002ED1" w14:textId="77777777" w:rsidR="007E2B6C" w:rsidRPr="007E2B6C" w:rsidRDefault="007E2B6C" w:rsidP="007E2B6C">
      <w:pPr>
        <w:tabs>
          <w:tab w:val="left" w:pos="567"/>
        </w:tabs>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IUV</w:t>
      </w:r>
      <w:r w:rsidRPr="007E2B6C">
        <w:rPr>
          <w:rFonts w:ascii="Cambria" w:hAnsi="Cambria" w:cs="Times New Roman"/>
          <w:color w:val="000000"/>
          <w:sz w:val="21"/>
          <w:szCs w:val="21"/>
        </w:rPr>
        <w:tab/>
        <w:t>= Indirect Use Value</w:t>
      </w:r>
    </w:p>
    <w:p w14:paraId="0410D8A1" w14:textId="77777777" w:rsidR="007E2B6C" w:rsidRPr="007E2B6C" w:rsidRDefault="007E2B6C" w:rsidP="007E2B6C">
      <w:pPr>
        <w:tabs>
          <w:tab w:val="left" w:pos="567"/>
        </w:tabs>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OV</w:t>
      </w:r>
      <w:r w:rsidRPr="007E2B6C">
        <w:rPr>
          <w:rFonts w:ascii="Cambria" w:hAnsi="Cambria" w:cs="Times New Roman"/>
          <w:color w:val="000000"/>
          <w:sz w:val="21"/>
          <w:szCs w:val="21"/>
        </w:rPr>
        <w:tab/>
        <w:t>= Option Value</w:t>
      </w:r>
    </w:p>
    <w:p w14:paraId="15533DA8" w14:textId="77777777" w:rsidR="007E2B6C" w:rsidRPr="007E2B6C" w:rsidRDefault="007E2B6C" w:rsidP="007E2B6C">
      <w:pPr>
        <w:tabs>
          <w:tab w:val="left" w:pos="567"/>
        </w:tabs>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EV</w:t>
      </w:r>
      <w:r w:rsidRPr="007E2B6C">
        <w:rPr>
          <w:rFonts w:ascii="Cambria" w:hAnsi="Cambria" w:cs="Times New Roman"/>
          <w:color w:val="000000"/>
          <w:sz w:val="21"/>
          <w:szCs w:val="21"/>
        </w:rPr>
        <w:tab/>
        <w:t>= Existence Value</w:t>
      </w:r>
    </w:p>
    <w:p w14:paraId="35710D1B" w14:textId="77777777" w:rsidR="007E2B6C" w:rsidRPr="007E2B6C" w:rsidRDefault="007E2B6C" w:rsidP="007E2B6C">
      <w:pPr>
        <w:tabs>
          <w:tab w:val="left" w:pos="567"/>
        </w:tabs>
        <w:spacing w:after="0" w:line="240" w:lineRule="auto"/>
        <w:ind w:right="26"/>
        <w:jc w:val="both"/>
        <w:rPr>
          <w:rFonts w:ascii="Cambria" w:hAnsi="Cambria" w:cs="Times New Roman"/>
          <w:color w:val="000000"/>
          <w:sz w:val="21"/>
          <w:szCs w:val="21"/>
        </w:rPr>
      </w:pPr>
      <w:r w:rsidRPr="007E2B6C">
        <w:rPr>
          <w:rFonts w:ascii="Cambria" w:hAnsi="Cambria" w:cs="Times New Roman"/>
          <w:color w:val="000000"/>
          <w:sz w:val="21"/>
          <w:szCs w:val="21"/>
        </w:rPr>
        <w:t>BV</w:t>
      </w:r>
      <w:r w:rsidRPr="007E2B6C">
        <w:rPr>
          <w:rFonts w:ascii="Cambria" w:hAnsi="Cambria" w:cs="Times New Roman"/>
          <w:color w:val="000000"/>
          <w:sz w:val="21"/>
          <w:szCs w:val="21"/>
        </w:rPr>
        <w:tab/>
        <w:t>= Bequest Value</w:t>
      </w:r>
    </w:p>
    <w:p w14:paraId="4D108BB1" w14:textId="77777777" w:rsidR="007E2B6C" w:rsidRPr="007E2B6C" w:rsidRDefault="007E2B6C" w:rsidP="007E2B6C">
      <w:pPr>
        <w:spacing w:after="0" w:line="240" w:lineRule="auto"/>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The description of each concept of economic value is as follows:</w:t>
      </w:r>
    </w:p>
    <w:p w14:paraId="0ECBD8B3" w14:textId="77777777" w:rsidR="007E2B6C" w:rsidRPr="007E2B6C" w:rsidRDefault="007E2B6C" w:rsidP="007E2B6C">
      <w:pPr>
        <w:pStyle w:val="ListParagraph"/>
        <w:numPr>
          <w:ilvl w:val="0"/>
          <w:numId w:val="24"/>
        </w:numPr>
        <w:spacing w:after="0" w:line="240" w:lineRule="auto"/>
        <w:ind w:left="284" w:hanging="284"/>
        <w:contextualSpacing/>
        <w:jc w:val="both"/>
        <w:rPr>
          <w:rFonts w:ascii="Cambria" w:hAnsi="Cambria"/>
          <w:color w:val="000000"/>
          <w:sz w:val="21"/>
          <w:szCs w:val="21"/>
          <w:lang w:val="en-ID"/>
        </w:rPr>
      </w:pPr>
      <w:r w:rsidRPr="007E2B6C">
        <w:rPr>
          <w:rFonts w:ascii="Cambria" w:hAnsi="Cambria"/>
          <w:i/>
          <w:iCs/>
          <w:color w:val="000000"/>
          <w:sz w:val="21"/>
          <w:szCs w:val="21"/>
          <w:lang w:val="en-ID"/>
        </w:rPr>
        <w:t>Use value </w:t>
      </w:r>
      <w:r w:rsidRPr="007E2B6C">
        <w:rPr>
          <w:rFonts w:ascii="Cambria" w:hAnsi="Cambria"/>
          <w:color w:val="000000"/>
          <w:sz w:val="21"/>
          <w:szCs w:val="21"/>
          <w:lang w:val="en-ID"/>
        </w:rPr>
        <w:t xml:space="preserve">is obtained from the use of resources, nature and environment. According to </w:t>
      </w:r>
      <w:r w:rsidRPr="007E2B6C">
        <w:rPr>
          <w:rFonts w:ascii="Cambria" w:hAnsi="Cambria"/>
          <w:color w:val="000000"/>
          <w:sz w:val="21"/>
          <w:szCs w:val="21"/>
          <w:lang w:val="en-ID"/>
        </w:rPr>
        <w:fldChar w:fldCharType="begin" w:fldLock="1"/>
      </w:r>
      <w:r w:rsidRPr="007E2B6C">
        <w:rPr>
          <w:rFonts w:ascii="Cambria" w:hAnsi="Cambria"/>
          <w:color w:val="000000"/>
          <w:sz w:val="21"/>
          <w:szCs w:val="21"/>
          <w:lang w:val="en-ID"/>
        </w:rPr>
        <w:instrText>ADDIN CSL_CITATION {"citationItems":[{"id":"ITEM-1","itemData":{"DOI":"10.3390/resources3030544","ISSN":"20799276","abstract":"The concept Material Input per Service Unit (MIPS) was developed 20 years ago as a measure for the overall natural resource use of products and services. The material intensity analysis is used to calculate the material footprint of any economic activities in production and consumption. Environmental assessment has developed extensive databases for life cycle inventories, which can additionally be adopted for material intensity analysis. Based on practical experience in measuring material footprints on the micro level, this paper presents the current state of research and methodology development: it shows the international discussions on the importance of accounting methodologies to measure progress in resource efficiency. The MIPS approach is presented and its micro level application for assessing value chains, supporting business management, and operationalizing sustainability strategies is discussed. Linkages to output-oriented Life Cycle Assessment as well as to Material Flow Analysis (MFA) at the macro level are pointed out. Finally we come to the conclusion that the MIPS approach provides relevant knowledge on resource and energy input at the micro level for fact-based decision-making in science, policy, business, and consumption.","author":[{"dropping-particle":"","family":"Liedtke","given":"Christa","non-dropping-particle":"","parse-names":false,"suffix":""},{"dropping-particle":"","family":"Bienge","given":"Katrin","non-dropping-particle":"","parse-names":false,"suffix":""},{"dropping-particle":"","family":"Wiesen","given":"Klaus","non-dropping-particle":"","parse-names":false,"suffix":""},{"dropping-particle":"","family":"Teubler","given":"Jens","non-dropping-particle":"","parse-names":false,"suffix":""},{"dropping-particle":"","family":"Greiff","given":"Kathrin","non-dropping-particle":"","parse-names":false,"suffix":""},{"dropping-particle":"","family":"Lettenmeier","given":"Michael","non-dropping-particle":"","parse-names":false,"suffix":""},{"dropping-particle":"","family":"Rohn","given":"Holger","non-dropping-particle":"","parse-names":false,"suffix":""}],"container-title":"Resources","id":"ITEM-1","issue":"3","issued":{"date-parts":[["2014"]]},"page":"544-574","title":"Resource use in the production and consumption system-the MIPS approach","type":"article-journal","volume":"3"},"uris":["http://www.mendeley.com/documents/?uuid=1f780389-f7fd-4f3a-876d-4b6d61ba941c"]}],"mendeley":{"formattedCitation":"(Liedtke et al., 2014)","plainTextFormattedCitation":"(Liedtke et al., 2014)","previouslyFormattedCitation":"(Liedtke et al., 2014)"},"properties":{"noteIndex":0},"schema":"https://github.com/citation-style-language/schema/raw/master/csl-citation.json"}</w:instrText>
      </w:r>
      <w:r w:rsidRPr="007E2B6C">
        <w:rPr>
          <w:rFonts w:ascii="Cambria" w:hAnsi="Cambria"/>
          <w:color w:val="000000"/>
          <w:sz w:val="21"/>
          <w:szCs w:val="21"/>
          <w:lang w:val="en-ID"/>
        </w:rPr>
        <w:fldChar w:fldCharType="separate"/>
      </w:r>
      <w:r w:rsidRPr="007E2B6C">
        <w:rPr>
          <w:rFonts w:ascii="Cambria" w:hAnsi="Cambria"/>
          <w:noProof/>
          <w:color w:val="000000"/>
          <w:sz w:val="21"/>
          <w:szCs w:val="21"/>
          <w:lang w:val="en-ID"/>
        </w:rPr>
        <w:t>(Liedtke et al., 2014)</w:t>
      </w:r>
      <w:r w:rsidRPr="007E2B6C">
        <w:rPr>
          <w:rFonts w:ascii="Cambria" w:hAnsi="Cambria"/>
          <w:color w:val="000000"/>
          <w:sz w:val="21"/>
          <w:szCs w:val="21"/>
          <w:lang w:val="en-ID"/>
        </w:rPr>
        <w:fldChar w:fldCharType="end"/>
      </w:r>
      <w:r w:rsidRPr="007E2B6C">
        <w:rPr>
          <w:rFonts w:ascii="Cambria" w:hAnsi="Cambria"/>
          <w:color w:val="000000"/>
          <w:sz w:val="21"/>
          <w:szCs w:val="21"/>
          <w:lang w:val="en-ID"/>
        </w:rPr>
        <w:t>, use-value is related to the value because someone uses or hopes to use it in the future. </w:t>
      </w:r>
    </w:p>
    <w:p w14:paraId="3D4504DF" w14:textId="77777777" w:rsidR="007E2B6C" w:rsidRPr="007E2B6C" w:rsidRDefault="007E2B6C" w:rsidP="007E2B6C">
      <w:pPr>
        <w:pStyle w:val="ListParagraph"/>
        <w:numPr>
          <w:ilvl w:val="0"/>
          <w:numId w:val="24"/>
        </w:numPr>
        <w:spacing w:after="0" w:line="240" w:lineRule="auto"/>
        <w:ind w:left="284" w:hanging="284"/>
        <w:contextualSpacing/>
        <w:jc w:val="both"/>
        <w:rPr>
          <w:rFonts w:ascii="Cambria" w:hAnsi="Cambria"/>
          <w:color w:val="000000"/>
          <w:sz w:val="21"/>
          <w:szCs w:val="21"/>
          <w:lang w:val="en-ID"/>
        </w:rPr>
      </w:pPr>
      <w:r w:rsidRPr="007E2B6C">
        <w:rPr>
          <w:rFonts w:ascii="Cambria" w:hAnsi="Cambria"/>
          <w:color w:val="000000"/>
          <w:sz w:val="21"/>
          <w:szCs w:val="21"/>
          <w:lang w:val="en-ID"/>
        </w:rPr>
        <w:t>Direct </w:t>
      </w:r>
      <w:r w:rsidRPr="007E2B6C">
        <w:rPr>
          <w:rFonts w:ascii="Cambria" w:hAnsi="Cambria"/>
          <w:i/>
          <w:iCs/>
          <w:color w:val="000000"/>
          <w:sz w:val="21"/>
          <w:szCs w:val="21"/>
          <w:lang w:val="en-ID"/>
        </w:rPr>
        <w:t>use values </w:t>
      </w:r>
      <w:r w:rsidRPr="007E2B6C">
        <w:rPr>
          <w:rFonts w:ascii="Cambria" w:hAnsi="Cambria"/>
          <w:color w:val="000000"/>
          <w:sz w:val="21"/>
          <w:szCs w:val="21"/>
          <w:lang w:val="en-ID"/>
        </w:rPr>
        <w:t xml:space="preserve">​​are calculated based on the contribution of natural resources and the environment in assisting the current production and consumption processes </w:t>
      </w:r>
      <w:r w:rsidRPr="007E2B6C">
        <w:rPr>
          <w:rFonts w:ascii="Cambria" w:hAnsi="Cambria"/>
          <w:color w:val="000000"/>
          <w:sz w:val="21"/>
          <w:szCs w:val="21"/>
          <w:lang w:val="en-ID"/>
        </w:rPr>
        <w:fldChar w:fldCharType="begin" w:fldLock="1"/>
      </w:r>
      <w:r w:rsidRPr="007E2B6C">
        <w:rPr>
          <w:rFonts w:ascii="Cambria" w:hAnsi="Cambria"/>
          <w:color w:val="000000"/>
          <w:sz w:val="21"/>
          <w:szCs w:val="21"/>
          <w:lang w:val="en-ID"/>
        </w:rPr>
        <w:instrText>ADDIN CSL_CITATION {"citationItems":[{"id":"ITEM-1","itemData":{"DOI":"10.1016/j.jclepro.2020.124521","ISSN":"09596526","abstract":"The overall purpose of this study is to assess priorities for new environmental accounts in Indonesia. We use environmental costs related to air pollution and resource extraction in Indonesia as a measure for priority. This study uses the damage costs approach to estimate the environmental degradation costs value and the Net Present Value (NPV) approach to obtain the environmental cost of natural resources depletion of several natural resources that are most important for the Indonesian economy. Our estimate of the total environmental costs amounts to around 13% of GDP in 2010. Environmental costs are mostly due to depletion of energy and mineral resources, followed by environmental degradation cost from air pollution, and the use of forestry resources and related depletion of ecosystems. The Indonesian Central Bureau of Statistics (BPS) has already published damage costs data related to resource depletion, which we find is a priority. However, the BPS should consider completing its data with additional information on the depletion costs of ecosystem services related to forestry. Moreover, the BPS could expand Indonesia's economic-environmental accounts by including environmental degradation costs due to air pollution. We found that from a substance perspective, the priorities are SOx, NOx, CO2, CH4, and particulate matter. At the same time, from a sector perspective, the priorities are electricity, manufacture of basic iron and steel and of ferro-alloys and first products thereof, mining of coal and lignite, and extraction of peat, because if the national accounts included the external costs of air pollution and the depletion of natural resources, these sectors would create a negative value-added.","author":[{"dropping-particle":"","family":"Pirmana","given":"Viktor","non-dropping-particle":"","parse-names":false,"suffix":""},{"dropping-particle":"","family":"Alisjahbana","given":"Armida Salsiah","non-dropping-particle":"","parse-names":false,"suffix":""},{"dropping-particle":"","family":"Yusuf","given":"Arief Anshory","non-dropping-particle":"","parse-names":false,"suffix":""},{"dropping-particle":"","family":"Hoekstra","given":"Rutger","non-dropping-particle":"","parse-names":false,"suffix":""},{"dropping-particle":"","family":"Tukker","given":"Arnold","non-dropping-particle":"","parse-names":false,"suffix":""}],"container-title":"Journal of Cleaner Production","id":"ITEM-1","issued":{"date-parts":[["2021"]]},"page":"124521","publisher":"Elsevier Ltd","title":"Environmental costs assessment for improved environmental-economic account for Indonesia","type":"article-journal","volume":"280"},"uris":["http://www.mendeley.com/documents/?uuid=6ad994ee-dba6-4a87-bd8c-0472413bcaf2"]}],"mendeley":{"formattedCitation":"(Pirmana et al., 2021)","plainTextFormattedCitation":"(Pirmana et al., 2021)","previouslyFormattedCitation":"(Pirmana et al., 2021)"},"properties":{"noteIndex":0},"schema":"https://github.com/citation-style-language/schema/raw/master/csl-citation.json"}</w:instrText>
      </w:r>
      <w:r w:rsidRPr="007E2B6C">
        <w:rPr>
          <w:rFonts w:ascii="Cambria" w:hAnsi="Cambria"/>
          <w:color w:val="000000"/>
          <w:sz w:val="21"/>
          <w:szCs w:val="21"/>
          <w:lang w:val="en-ID"/>
        </w:rPr>
        <w:fldChar w:fldCharType="separate"/>
      </w:r>
      <w:r w:rsidRPr="007E2B6C">
        <w:rPr>
          <w:rFonts w:ascii="Cambria" w:hAnsi="Cambria"/>
          <w:noProof/>
          <w:color w:val="000000"/>
          <w:sz w:val="21"/>
          <w:szCs w:val="21"/>
          <w:lang w:val="en-ID"/>
        </w:rPr>
        <w:t>(Pirmana et al., 2021)</w:t>
      </w:r>
      <w:r w:rsidRPr="007E2B6C">
        <w:rPr>
          <w:rFonts w:ascii="Cambria" w:hAnsi="Cambria"/>
          <w:color w:val="000000"/>
          <w:sz w:val="21"/>
          <w:szCs w:val="21"/>
          <w:lang w:val="en-ID"/>
        </w:rPr>
        <w:fldChar w:fldCharType="end"/>
      </w:r>
      <w:r w:rsidRPr="007E2B6C">
        <w:rPr>
          <w:rFonts w:ascii="Cambria" w:hAnsi="Cambria"/>
          <w:color w:val="000000"/>
          <w:sz w:val="21"/>
          <w:szCs w:val="21"/>
          <w:lang w:val="en-ID"/>
        </w:rPr>
        <w:t xml:space="preserve"> The direct use value includes all-natural resources and environmental benefits estimated directly from consumption and production through unit prices based on market mechanisms. Direct use value relates to outputs that can be directly consumed, for example, food, health, and recreation.</w:t>
      </w:r>
    </w:p>
    <w:p w14:paraId="1BD8C18C" w14:textId="77777777" w:rsidR="007E2B6C" w:rsidRPr="007E2B6C" w:rsidRDefault="007E2B6C" w:rsidP="007E2B6C">
      <w:pPr>
        <w:pStyle w:val="ListParagraph"/>
        <w:numPr>
          <w:ilvl w:val="0"/>
          <w:numId w:val="24"/>
        </w:numPr>
        <w:spacing w:after="0" w:line="240" w:lineRule="auto"/>
        <w:ind w:left="284" w:hanging="284"/>
        <w:contextualSpacing/>
        <w:jc w:val="both"/>
        <w:rPr>
          <w:rFonts w:ascii="Cambria" w:hAnsi="Cambria"/>
          <w:color w:val="000000"/>
          <w:sz w:val="21"/>
          <w:szCs w:val="21"/>
          <w:lang w:val="en-ID"/>
        </w:rPr>
      </w:pPr>
      <w:r w:rsidRPr="007E2B6C">
        <w:rPr>
          <w:rFonts w:ascii="Cambria" w:hAnsi="Cambria"/>
          <w:color w:val="000000"/>
          <w:sz w:val="21"/>
          <w:szCs w:val="21"/>
          <w:lang w:val="en-ID"/>
        </w:rPr>
        <w:t>Indirect </w:t>
      </w:r>
      <w:r w:rsidRPr="007E2B6C">
        <w:rPr>
          <w:rFonts w:ascii="Cambria" w:hAnsi="Cambria"/>
          <w:i/>
          <w:iCs/>
          <w:color w:val="000000"/>
          <w:sz w:val="21"/>
          <w:szCs w:val="21"/>
          <w:lang w:val="en-ID"/>
        </w:rPr>
        <w:t>use values </w:t>
      </w:r>
      <w:r w:rsidRPr="007E2B6C">
        <w:rPr>
          <w:rFonts w:ascii="Cambria" w:hAnsi="Cambria"/>
          <w:color w:val="000000"/>
          <w:sz w:val="21"/>
          <w:szCs w:val="21"/>
          <w:lang w:val="en-ID"/>
        </w:rPr>
        <w:t xml:space="preserve">​​are determined by the benefits derived from environmental services in supporting the flow of production and consumption </w:t>
      </w:r>
      <w:r w:rsidRPr="007E2B6C">
        <w:rPr>
          <w:rFonts w:ascii="Cambria" w:hAnsi="Cambria"/>
          <w:color w:val="000000"/>
          <w:sz w:val="21"/>
          <w:szCs w:val="21"/>
          <w:lang w:val="en-ID"/>
        </w:rPr>
        <w:fldChar w:fldCharType="begin" w:fldLock="1"/>
      </w:r>
      <w:r w:rsidRPr="007E2B6C">
        <w:rPr>
          <w:rFonts w:ascii="Cambria" w:hAnsi="Cambria"/>
          <w:color w:val="000000"/>
          <w:sz w:val="21"/>
          <w:szCs w:val="21"/>
          <w:lang w:val="en-ID"/>
        </w:rPr>
        <w:instrText>ADDIN CSL_CITATION {"citationItems":[{"id":"ITEM-1","itemData":{"DOI":"10.1098/rstb.2010.0134","ISSN":"14712970","PMID":"20713389","abstract":"The livestock sector globally is highly dynamic. In developing countries, it is evolving in response to rapidly increasing demand for livestock products. In developed countries, demand for livestock products is stagnating, while many production systems are increasing their efficiency and environmental sustainability. Historical changes in the demand for livestock products have been largely driven by human population growth, income growth and urbanization and the production response in different livestock systems has been associated with science and technology as well as increases in animal numbers. In the future, production will increasingly be affected by competition for natural resources, particularly land and water, competition between food and feed and by the need to operate in a carbon-constrained economy. Developments in breeding, nutrition and animal health will continue to contribute to increasing potential production and further efficiency and genetic gains. Livestock production is likely to be increasingly affected by carbon constraints and environmental and animal welfare legislation. Demand for livestock products in the future could be heavily moderated by socio-economic factors such as human health concerns and changing socio-cultural values. There is considerable uncertainty as to how these factors will play out in different regions of the world in the coming decades. © 2010 The Royal Society.","author":[{"dropping-particle":"","family":"Thornton","given":"Philip K.","non-dropping-particle":"","parse-names":false,"suffix":""}],"container-title":"Philosophical Transactions of the Royal Society B: Biological Sciences","id":"ITEM-1","issue":"1554","issued":{"date-parts":[["2010"]]},"page":"2853-2867","title":"Livestock production: Recent trends, future prospects","type":"article-journal","volume":"365"},"uris":["http://www.mendeley.com/documents/?uuid=aaa24e2a-99f6-4cad-aa39-3e527dcd47fb"]}],"mendeley":{"formattedCitation":"(Thornton, 2010)","plainTextFormattedCitation":"(Thornton, 2010)","previouslyFormattedCitation":"(Thornton, 2010)"},"properties":{"noteIndex":0},"schema":"https://github.com/citation-style-language/schema/raw/master/csl-citation.json"}</w:instrText>
      </w:r>
      <w:r w:rsidRPr="007E2B6C">
        <w:rPr>
          <w:rFonts w:ascii="Cambria" w:hAnsi="Cambria"/>
          <w:color w:val="000000"/>
          <w:sz w:val="21"/>
          <w:szCs w:val="21"/>
          <w:lang w:val="en-ID"/>
        </w:rPr>
        <w:fldChar w:fldCharType="separate"/>
      </w:r>
      <w:r w:rsidRPr="007E2B6C">
        <w:rPr>
          <w:rFonts w:ascii="Cambria" w:hAnsi="Cambria"/>
          <w:noProof/>
          <w:color w:val="000000"/>
          <w:sz w:val="21"/>
          <w:szCs w:val="21"/>
          <w:lang w:val="en-ID"/>
        </w:rPr>
        <w:t>(Thornton, 2010)</w:t>
      </w:r>
      <w:r w:rsidRPr="007E2B6C">
        <w:rPr>
          <w:rFonts w:ascii="Cambria" w:hAnsi="Cambria"/>
          <w:color w:val="000000"/>
          <w:sz w:val="21"/>
          <w:szCs w:val="21"/>
          <w:lang w:val="en-ID"/>
        </w:rPr>
        <w:fldChar w:fldCharType="end"/>
      </w:r>
      <w:r w:rsidRPr="007E2B6C">
        <w:rPr>
          <w:rFonts w:ascii="Cambria" w:hAnsi="Cambria"/>
          <w:color w:val="000000"/>
          <w:sz w:val="21"/>
          <w:szCs w:val="21"/>
          <w:lang w:val="en-ID"/>
        </w:rPr>
        <w:t>. Indirect use-value is obtained from the function of environmental services in supporting current production and consumption processes, for example, the value of various ecological functions on the recycling of nutrients in the soil. Thus, indirect use-value is the functional benefits of ecological processes from ecological processes that continuously contribute to society and ecosystems. For example, rice field resources are large enough to provide clean air and recreational areas with beautiful views, control floods and erosion and provide groundwater sources for farmers and the surrounding community.</w:t>
      </w:r>
    </w:p>
    <w:p w14:paraId="6585C5DD" w14:textId="77777777" w:rsidR="007E2B6C" w:rsidRPr="007E2B6C" w:rsidRDefault="007E2B6C" w:rsidP="007E2B6C">
      <w:pPr>
        <w:pStyle w:val="ListParagraph"/>
        <w:numPr>
          <w:ilvl w:val="0"/>
          <w:numId w:val="24"/>
        </w:numPr>
        <w:spacing w:after="0" w:line="240" w:lineRule="auto"/>
        <w:ind w:left="284" w:hanging="284"/>
        <w:contextualSpacing/>
        <w:jc w:val="both"/>
        <w:rPr>
          <w:rFonts w:ascii="Cambria" w:hAnsi="Cambria"/>
          <w:color w:val="000000"/>
          <w:sz w:val="21"/>
          <w:szCs w:val="21"/>
          <w:lang w:val="en-ID"/>
        </w:rPr>
      </w:pPr>
      <w:r w:rsidRPr="007E2B6C">
        <w:rPr>
          <w:rFonts w:ascii="Cambria" w:hAnsi="Cambria"/>
          <w:color w:val="000000"/>
          <w:sz w:val="21"/>
          <w:szCs w:val="21"/>
          <w:lang w:val="en-ID"/>
        </w:rPr>
        <w:t>The </w:t>
      </w:r>
      <w:r w:rsidRPr="007E2B6C">
        <w:rPr>
          <w:rFonts w:ascii="Cambria" w:hAnsi="Cambria"/>
          <w:i/>
          <w:iCs/>
          <w:color w:val="000000"/>
          <w:sz w:val="21"/>
          <w:szCs w:val="21"/>
          <w:lang w:val="en-ID"/>
        </w:rPr>
        <w:t>option value </w:t>
      </w:r>
      <w:r w:rsidRPr="007E2B6C">
        <w:rPr>
          <w:rFonts w:ascii="Cambria" w:hAnsi="Cambria"/>
          <w:color w:val="000000"/>
          <w:sz w:val="21"/>
          <w:szCs w:val="21"/>
          <w:lang w:val="en-ID"/>
        </w:rPr>
        <w:t xml:space="preserve">is related to the choice of environmental use in the future. The uncertainty of future use is closely related to environmental supply, so option value is more defined as the value of maintaining resources so that the option to use them is still available for the future. The value of choice is the willingness of consumers to pay for assets that are not used </w:t>
      </w:r>
      <w:r w:rsidRPr="007E2B6C">
        <w:rPr>
          <w:rFonts w:ascii="Cambria" w:hAnsi="Cambria"/>
          <w:color w:val="000000"/>
          <w:sz w:val="21"/>
          <w:szCs w:val="21"/>
          <w:lang w:val="en-ID"/>
        </w:rPr>
        <w:fldChar w:fldCharType="begin" w:fldLock="1"/>
      </w:r>
      <w:r w:rsidRPr="007E2B6C">
        <w:rPr>
          <w:rFonts w:ascii="Cambria" w:hAnsi="Cambria"/>
          <w:color w:val="000000"/>
          <w:sz w:val="21"/>
          <w:szCs w:val="21"/>
          <w:lang w:val="en-ID"/>
        </w:rPr>
        <w:instrText>ADDIN CSL_CITATION {"citationItems":[{"id":"ITEM-1","itemData":{"DOI":"10.1016/j.heliyon.2019.e02690","ISSN":"24058440","abstract":"The purpose of this study is to develop new knowledge to better understand the most important dimensions of e-service quality that have impact on customer satisfaction, customer trust, and customer behavior, building on existing literature on e-service quality in online shopping. This study focuses on the four-dimensions of e-service quality model that better predict customer behavior. It not only tests the impact of customer satisfaction on customer behavior such as repurchase intention, word of mouth, and site revisit, but also the impact of customer trust. The result is expected to extend the knowledge about different country culture vis-á-vis different relevance of e-service quality attributes. Data from an online survey of 355 Indonesian online consumers was used to test the research model using structural equation modelling. The analytical results showed that three dimensions of e-service quality, namely website design, security/privacy and fulfilment affect overall e-service quality. Meanwhile, customer service is not significantly related to overall e-service quality. Overall e-service quality is statistically significantly related to customer behavior. Future research should consider a variety of product segments and/or other industries to make sure that the measurement works equally well. In other industry setting, the measurement may need to be adjusted. Future research could also use different methodologies such as focus group and interviews.","author":[{"dropping-particle":"","family":"Rita","given":"Paulo","non-dropping-particle":"","parse-names":false,"suffix":""},{"dropping-particle":"","family":"Oliveira","given":"Tiago","non-dropping-particle":"","parse-names":false,"suffix":""},{"dropping-particle":"","family":"Farisa","given":"Almira","non-dropping-particle":"","parse-names":false,"suffix":""}],"container-title":"Heliyon","id":"ITEM-1","issue":"10","issued":{"date-parts":[["2019"]]},"page":"e02690","publisher":"Elsevier Ltd","title":"The impact of e-service quality and customer satisfaction on customer behavior in online shopping","type":"article-journal","volume":"5"},"uris":["http://www.mendeley.com/documents/?uuid=58939812-725f-4a1a-956a-b78f0029f536"]}],"mendeley":{"formattedCitation":"(Rita et al., 2019)","manualFormatting":"Rita et al. (2019)","plainTextFormattedCitation":"(Rita et al., 2019)","previouslyFormattedCitation":"(Rita et al., 2019)"},"properties":{"noteIndex":0},"schema":"https://github.com/citation-style-language/schema/raw/master/csl-citation.json"}</w:instrText>
      </w:r>
      <w:r w:rsidRPr="007E2B6C">
        <w:rPr>
          <w:rFonts w:ascii="Cambria" w:hAnsi="Cambria"/>
          <w:color w:val="000000"/>
          <w:sz w:val="21"/>
          <w:szCs w:val="21"/>
          <w:lang w:val="en-ID"/>
        </w:rPr>
        <w:fldChar w:fldCharType="separate"/>
      </w:r>
      <w:r w:rsidRPr="007E2B6C">
        <w:rPr>
          <w:rFonts w:ascii="Cambria" w:hAnsi="Cambria"/>
          <w:noProof/>
          <w:color w:val="000000"/>
          <w:sz w:val="21"/>
          <w:szCs w:val="21"/>
          <w:lang w:val="en-ID"/>
        </w:rPr>
        <w:t>Rita et al. (2019)</w:t>
      </w:r>
      <w:r w:rsidRPr="007E2B6C">
        <w:rPr>
          <w:rFonts w:ascii="Cambria" w:hAnsi="Cambria"/>
          <w:color w:val="000000"/>
          <w:sz w:val="21"/>
          <w:szCs w:val="21"/>
          <w:lang w:val="en-ID"/>
        </w:rPr>
        <w:fldChar w:fldCharType="end"/>
      </w:r>
      <w:r w:rsidRPr="007E2B6C">
        <w:rPr>
          <w:rFonts w:ascii="Cambria" w:hAnsi="Cambria"/>
          <w:color w:val="000000"/>
          <w:sz w:val="21"/>
          <w:szCs w:val="21"/>
          <w:lang w:val="en-ID"/>
        </w:rPr>
        <w:t xml:space="preserve"> to avoid the risk of not being able to use them in the future. Thus, the use-value of choice includes the benefits of natural resources and the environment that are not exploited but stored for future purposes.</w:t>
      </w:r>
    </w:p>
    <w:p w14:paraId="58049D5B" w14:textId="77777777" w:rsidR="007E2B6C" w:rsidRPr="007E2B6C" w:rsidRDefault="007E2B6C" w:rsidP="007E2B6C">
      <w:pPr>
        <w:pStyle w:val="ListParagraph"/>
        <w:numPr>
          <w:ilvl w:val="0"/>
          <w:numId w:val="24"/>
        </w:numPr>
        <w:spacing w:after="0" w:line="240" w:lineRule="auto"/>
        <w:ind w:left="284" w:hanging="284"/>
        <w:contextualSpacing/>
        <w:jc w:val="both"/>
        <w:rPr>
          <w:rFonts w:ascii="Cambria" w:hAnsi="Cambria"/>
          <w:color w:val="000000"/>
          <w:sz w:val="21"/>
          <w:szCs w:val="21"/>
          <w:lang w:val="en-ID"/>
        </w:rPr>
      </w:pPr>
      <w:r w:rsidRPr="007E2B6C">
        <w:rPr>
          <w:rFonts w:ascii="Cambria" w:hAnsi="Cambria"/>
          <w:color w:val="000000"/>
          <w:sz w:val="21"/>
          <w:szCs w:val="21"/>
          <w:lang w:val="en-ID"/>
        </w:rPr>
        <w:t>Intrinsic or non-</w:t>
      </w:r>
      <w:r w:rsidRPr="007E2B6C">
        <w:rPr>
          <w:rFonts w:ascii="Cambria" w:hAnsi="Cambria"/>
          <w:i/>
          <w:iCs/>
          <w:color w:val="000000"/>
          <w:sz w:val="21"/>
          <w:szCs w:val="21"/>
          <w:lang w:val="en-ID"/>
        </w:rPr>
        <w:t>use value</w:t>
      </w:r>
      <w:r w:rsidRPr="007E2B6C">
        <w:rPr>
          <w:rFonts w:ascii="Cambria" w:hAnsi="Cambria"/>
          <w:color w:val="000000"/>
          <w:sz w:val="21"/>
          <w:szCs w:val="21"/>
          <w:lang w:val="en-ID"/>
        </w:rPr>
        <w:t xml:space="preserve">​​ is the value given to natural resources and the environment based on their existence, even though they are not consumed directly. The value given is difficult to measure and analyze because it is based more on preferences for the environment (related to motives or benefactors) rather than direct use </w:t>
      </w:r>
      <w:r w:rsidRPr="007E2B6C">
        <w:rPr>
          <w:rFonts w:ascii="Cambria" w:hAnsi="Cambria"/>
          <w:color w:val="000000"/>
          <w:sz w:val="21"/>
          <w:szCs w:val="21"/>
          <w:lang w:val="en-ID"/>
        </w:rPr>
        <w:fldChar w:fldCharType="begin" w:fldLock="1"/>
      </w:r>
      <w:r w:rsidRPr="007E2B6C">
        <w:rPr>
          <w:rFonts w:ascii="Cambria" w:hAnsi="Cambria"/>
          <w:color w:val="000000"/>
          <w:sz w:val="21"/>
          <w:szCs w:val="21"/>
          <w:lang w:val="en-ID"/>
        </w:rPr>
        <w:instrText>ADDIN CSL_CITATION {"citationItems":[{"id":"ITEM-1","itemData":{"DOI":"10.1371/journal.pone.0227800","ISBN":"1111111111","ISSN":"19326203","PMID":"31978096","abstract":"The Internet of Things (IoT) brings internet connectivity to everyday electronic devices (e.g. security cameras and smart TVs) to improve their functionality and efficiency. However, serious security and privacy concerns have been raised about the IoT which impact upon consumer trust and purchasing. Moreover, devices vary considerably in terms of the security they provide, and it is difficult for consumers to differentiate between more and less secure devices. One proposal to address this is for devices to carry a security label to help consumers navigate the market and know which devices to trust, and to encourage manufacturers to improve security. Using a discrete choice experiment, we estimate the potential impact of such labels on participant's purchase decision making, along with device functionality and price. With the exception of a label that implied weak security, participants were significantly more likely to select a device that carried a label than one that did not. While they were generally willing to pay the most for premium functionality, for two of the labels tested, they were prepared to pay the same for security and functionality. Qualitative responses suggested that participants would use a label to inform purchasing decisions, and that the labels did not generate a false sense of security. Our findings suggest that the use of a security label represents a policy option that could influence behaviour and that should be seriously considered.","author":[{"dropping-particle":"","family":"Johnson","given":"Shane D.","non-dropping-particle":"","parse-names":false,"suffix":""},{"dropping-particle":"","family":"Blythe","given":"John M.","non-dropping-particle":"","parse-names":false,"suffix":""},{"dropping-particle":"","family":"Manning","given":"Matthew","non-dropping-particle":"","parse-names":false,"suffix":""},{"dropping-particle":"","family":"Wong","given":"Gabriel T.W.","non-dropping-particle":"","parse-names":false,"suffix":""}],"container-title":"PLoS ONE","id":"ITEM-1","issue":"1","issued":{"date-parts":[["2020"]]},"page":"1-21","title":"The impact of IoT security labelling on consumer product choice and willingness to pay","type":"article-journal","volume":"15"},"uris":["http://www.mendeley.com/documents/?uuid=7358299d-b1ce-495e-8408-ce717f9ebc1a"]}],"mendeley":{"formattedCitation":"(Johnson et al., 2020)","plainTextFormattedCitation":"(Johnson et al., 2020)","previouslyFormattedCitation":"(Johnson et al., 2020)"},"properties":{"noteIndex":0},"schema":"https://github.com/citation-style-language/schema/raw/master/csl-citation.json"}</w:instrText>
      </w:r>
      <w:r w:rsidRPr="007E2B6C">
        <w:rPr>
          <w:rFonts w:ascii="Cambria" w:hAnsi="Cambria"/>
          <w:color w:val="000000"/>
          <w:sz w:val="21"/>
          <w:szCs w:val="21"/>
          <w:lang w:val="en-ID"/>
        </w:rPr>
        <w:fldChar w:fldCharType="separate"/>
      </w:r>
      <w:r w:rsidRPr="007E2B6C">
        <w:rPr>
          <w:rFonts w:ascii="Cambria" w:hAnsi="Cambria"/>
          <w:noProof/>
          <w:color w:val="000000"/>
          <w:sz w:val="21"/>
          <w:szCs w:val="21"/>
          <w:lang w:val="en-ID"/>
        </w:rPr>
        <w:t>(Johnson et al., 2020)</w:t>
      </w:r>
      <w:r w:rsidRPr="007E2B6C">
        <w:rPr>
          <w:rFonts w:ascii="Cambria" w:hAnsi="Cambria"/>
          <w:color w:val="000000"/>
          <w:sz w:val="21"/>
          <w:szCs w:val="21"/>
          <w:lang w:val="en-ID"/>
        </w:rPr>
        <w:fldChar w:fldCharType="end"/>
      </w:r>
      <w:r w:rsidRPr="007E2B6C">
        <w:rPr>
          <w:rFonts w:ascii="Cambria" w:hAnsi="Cambria"/>
          <w:color w:val="000000"/>
          <w:sz w:val="21"/>
          <w:szCs w:val="21"/>
          <w:lang w:val="en-ID"/>
        </w:rPr>
        <w:t xml:space="preserve">. Intrinsic value is related </w:t>
      </w:r>
      <w:r w:rsidRPr="007E2B6C">
        <w:rPr>
          <w:rFonts w:ascii="Cambria" w:hAnsi="Cambria"/>
          <w:color w:val="000000"/>
          <w:sz w:val="21"/>
          <w:szCs w:val="21"/>
          <w:lang w:val="en-ID"/>
        </w:rPr>
        <w:lastRenderedPageBreak/>
        <w:t xml:space="preserve">to the value of positive willingness to pay if someone does not intend to use it </w:t>
      </w:r>
      <w:r w:rsidRPr="007E2B6C">
        <w:rPr>
          <w:rFonts w:ascii="Cambria" w:hAnsi="Cambria"/>
          <w:color w:val="000000"/>
          <w:sz w:val="21"/>
          <w:szCs w:val="21"/>
          <w:lang w:val="en-ID"/>
        </w:rPr>
        <w:fldChar w:fldCharType="begin" w:fldLock="1"/>
      </w:r>
      <w:r w:rsidRPr="007E2B6C">
        <w:rPr>
          <w:rFonts w:ascii="Cambria" w:hAnsi="Cambria"/>
          <w:color w:val="000000"/>
          <w:sz w:val="21"/>
          <w:szCs w:val="21"/>
          <w:lang w:val="en-ID"/>
        </w:rPr>
        <w:instrText>ADDIN CSL_CITATION {"citationItems":[{"id":"ITEM-1","itemData":{"DOI":"10.3390/su12187270","ISSN":"20711050","abstract":"As the COVID-19 pandemic brings about sudden change in societies across the globe and likely heralds the start of a recession, we examine the pandemic’s impact on consumer food safety perceptions. Due to its origin, COVID-19, likely spurring from an animal-to-human transmission in the context of a wet market, may impact consumer food perceptions in similar ways to the avian flu (H5N1) and the swine flu (H1N1). We examine this effect by studying preferences for beef meat in a consumer survey in the United States (n = 999) using a choice-based experiment. We compare our findings to Lim et al. (2014), who elicited consumer beef willingness to pay (WTP). Additionally, we investigate the impact of the looming recession by analyzing several attributes and their effect on consumer preferences. Our findings suggest that food safety concerns have become more important. As a result, production standards and the country of origin have lost importance. Additionally, we show that the socioeconomic impact for some respondents impacts their shopping preferences. Finally, we outline potential areas for future research as well as managerial implications.","author":[{"dropping-particle":"","family":"Meixner","given":"Oliver","non-dropping-particle":"","parse-names":false,"suffix":""},{"dropping-particle":"","family":"Katt","given":"Felix","non-dropping-particle":"","parse-names":false,"suffix":""}],"container-title":"Sustainability (Switzerland)","id":"ITEM-1","issue":"18","issued":{"date-parts":[["2020"]]},"page":"1-18","title":"Assessing the impact of covid-19 on consumer food safety perceptions—a choice-based willingness to pay study","type":"article-journal","volume":"12"},"uris":["http://www.mendeley.com/documents/?uuid=f875fa33-9ffd-4b81-96ad-70503f636b84"]}],"mendeley":{"formattedCitation":"(Meixner &amp; Katt, 2020)","plainTextFormattedCitation":"(Meixner &amp; Katt, 2020)","previouslyFormattedCitation":"(Meixner &amp; Katt, 2020)"},"properties":{"noteIndex":0},"schema":"https://github.com/citation-style-language/schema/raw/master/csl-citation.json"}</w:instrText>
      </w:r>
      <w:r w:rsidRPr="007E2B6C">
        <w:rPr>
          <w:rFonts w:ascii="Cambria" w:hAnsi="Cambria"/>
          <w:color w:val="000000"/>
          <w:sz w:val="21"/>
          <w:szCs w:val="21"/>
          <w:lang w:val="en-ID"/>
        </w:rPr>
        <w:fldChar w:fldCharType="separate"/>
      </w:r>
      <w:r w:rsidRPr="007E2B6C">
        <w:rPr>
          <w:rFonts w:ascii="Cambria" w:hAnsi="Cambria"/>
          <w:noProof/>
          <w:color w:val="000000"/>
          <w:sz w:val="21"/>
          <w:szCs w:val="21"/>
          <w:lang w:val="en-ID"/>
        </w:rPr>
        <w:t>(Meixner &amp; Katt, 2020)</w:t>
      </w:r>
      <w:r w:rsidRPr="007E2B6C">
        <w:rPr>
          <w:rFonts w:ascii="Cambria" w:hAnsi="Cambria"/>
          <w:color w:val="000000"/>
          <w:sz w:val="21"/>
          <w:szCs w:val="21"/>
          <w:lang w:val="en-ID"/>
        </w:rPr>
        <w:fldChar w:fldCharType="end"/>
      </w:r>
      <w:r w:rsidRPr="007E2B6C">
        <w:rPr>
          <w:rFonts w:ascii="Cambria" w:hAnsi="Cambria"/>
          <w:color w:val="000000"/>
          <w:sz w:val="21"/>
          <w:szCs w:val="21"/>
          <w:lang w:val="en-ID"/>
        </w:rPr>
        <w:t>, then the value is distinguished by </w:t>
      </w:r>
      <w:r w:rsidRPr="007E2B6C">
        <w:rPr>
          <w:rFonts w:ascii="Cambria" w:hAnsi="Cambria"/>
          <w:i/>
          <w:iCs/>
          <w:color w:val="000000"/>
          <w:sz w:val="21"/>
          <w:szCs w:val="21"/>
          <w:lang w:val="en-ID"/>
        </w:rPr>
        <w:t>existence  </w:t>
      </w:r>
      <w:r w:rsidRPr="007E2B6C">
        <w:rPr>
          <w:rFonts w:ascii="Cambria" w:hAnsi="Cambria"/>
          <w:color w:val="000000"/>
          <w:sz w:val="21"/>
          <w:szCs w:val="21"/>
          <w:lang w:val="en-ID"/>
        </w:rPr>
        <w:t>​​and</w:t>
      </w:r>
      <w:r w:rsidRPr="007E2B6C">
        <w:rPr>
          <w:rFonts w:ascii="Cambria" w:hAnsi="Cambria" w:cs="Verdana"/>
          <w:color w:val="000000"/>
          <w:sz w:val="21"/>
          <w:szCs w:val="21"/>
          <w:lang w:val="en-ID"/>
        </w:rPr>
        <w:t> </w:t>
      </w:r>
      <w:r w:rsidRPr="007E2B6C">
        <w:rPr>
          <w:rFonts w:ascii="Cambria" w:hAnsi="Cambria"/>
          <w:i/>
          <w:iCs/>
          <w:color w:val="000000"/>
          <w:sz w:val="21"/>
          <w:szCs w:val="21"/>
          <w:lang w:val="en-ID"/>
        </w:rPr>
        <w:t>bequest values</w:t>
      </w:r>
      <w:r w:rsidRPr="007E2B6C">
        <w:rPr>
          <w:rFonts w:ascii="Cambria" w:hAnsi="Cambria"/>
          <w:color w:val="000000"/>
          <w:sz w:val="21"/>
          <w:szCs w:val="21"/>
          <w:lang w:val="en-ID"/>
        </w:rPr>
        <w:t>.</w:t>
      </w:r>
    </w:p>
    <w:p w14:paraId="44157F61" w14:textId="77777777" w:rsidR="007E2B6C" w:rsidRPr="007E2B6C" w:rsidRDefault="007E2B6C" w:rsidP="007E2B6C">
      <w:pPr>
        <w:pStyle w:val="ListParagraph"/>
        <w:numPr>
          <w:ilvl w:val="0"/>
          <w:numId w:val="24"/>
        </w:numPr>
        <w:spacing w:after="0" w:line="240" w:lineRule="auto"/>
        <w:ind w:left="284" w:hanging="284"/>
        <w:contextualSpacing/>
        <w:jc w:val="both"/>
        <w:rPr>
          <w:rFonts w:ascii="Cambria" w:hAnsi="Cambria"/>
          <w:color w:val="000000"/>
          <w:sz w:val="21"/>
          <w:szCs w:val="21"/>
          <w:lang w:val="en-ID"/>
        </w:rPr>
      </w:pPr>
      <w:r w:rsidRPr="007E2B6C">
        <w:rPr>
          <w:rFonts w:ascii="Cambria" w:hAnsi="Cambria"/>
          <w:color w:val="000000"/>
          <w:sz w:val="21"/>
          <w:szCs w:val="21"/>
          <w:lang w:val="en-ID"/>
        </w:rPr>
        <w:t>The existence</w:t>
      </w:r>
      <w:r w:rsidRPr="007E2B6C">
        <w:rPr>
          <w:rFonts w:ascii="Cambria" w:hAnsi="Cambria"/>
          <w:i/>
          <w:iCs/>
          <w:color w:val="000000"/>
          <w:sz w:val="21"/>
          <w:szCs w:val="21"/>
          <w:lang w:val="en-ID"/>
        </w:rPr>
        <w:t> </w:t>
      </w:r>
      <w:r w:rsidRPr="007E2B6C">
        <w:rPr>
          <w:rFonts w:ascii="Cambria" w:hAnsi="Cambria"/>
          <w:color w:val="000000"/>
          <w:sz w:val="21"/>
          <w:szCs w:val="21"/>
          <w:lang w:val="en-ID"/>
        </w:rPr>
        <w:t>​​has value because of the satisfaction of a person or community with the existence of an asset, even though the person concerned has no desire to use it. A person or community gives the value of existence to natural resources and the environment solely as a form of concern because it has provided aesthetic, spiritual and cultural benefits.​ Legacy values ​​(bequest values) relate to the willingness to pay society to protect environmental benefits for future generations. Existence value arises because of satisfaction with the existence of resources, even though individuals do not want to use them. The concept of value based on use (use values) and non-use values ​​or intrinsic value is necessary to be understood as a guide for assessing or measuring total economic value.</w:t>
      </w:r>
    </w:p>
    <w:p w14:paraId="07C4857B" w14:textId="77777777" w:rsidR="007E2B6C" w:rsidRPr="007E2B6C" w:rsidRDefault="007E2B6C" w:rsidP="007E2B6C">
      <w:pPr>
        <w:pStyle w:val="ListParagraph"/>
        <w:spacing w:after="0" w:line="240" w:lineRule="auto"/>
        <w:ind w:left="0"/>
        <w:contextualSpacing/>
        <w:jc w:val="both"/>
        <w:rPr>
          <w:rFonts w:ascii="Cambria" w:hAnsi="Cambria"/>
          <w:color w:val="000000"/>
          <w:sz w:val="21"/>
          <w:szCs w:val="21"/>
          <w:lang w:val="en-ID"/>
        </w:rPr>
      </w:pPr>
    </w:p>
    <w:p w14:paraId="19417FFA" w14:textId="77777777" w:rsidR="007E2B6C" w:rsidRPr="007E2B6C" w:rsidRDefault="007E2B6C" w:rsidP="007E2B6C">
      <w:pPr>
        <w:pStyle w:val="ListParagraph"/>
        <w:spacing w:after="0" w:line="240" w:lineRule="auto"/>
        <w:ind w:left="0" w:firstLine="567"/>
        <w:contextualSpacing/>
        <w:jc w:val="both"/>
        <w:rPr>
          <w:rFonts w:ascii="Cambria" w:hAnsi="Cambria"/>
          <w:color w:val="000000"/>
          <w:sz w:val="21"/>
          <w:szCs w:val="21"/>
          <w:lang w:val="en-ID"/>
        </w:rPr>
      </w:pPr>
      <w:r w:rsidRPr="007E2B6C">
        <w:rPr>
          <w:rFonts w:ascii="Cambria" w:hAnsi="Cambria"/>
          <w:color w:val="000000"/>
          <w:sz w:val="21"/>
          <w:szCs w:val="21"/>
          <w:lang w:val="en-ID"/>
        </w:rPr>
        <w:t>This writing utilizes the Chi-Square statistical analysis method to test the descriptive hypothesis of one sample or one variable consisting of two or more categories. Besides, it can be used to test the comparative hypothesis of 2 samples or 2 variables and the associative hypothesis on a nominal scale.</w:t>
      </w:r>
    </w:p>
    <w:p w14:paraId="00D74775" w14:textId="77777777" w:rsidR="007E2B6C" w:rsidRPr="007E2B6C" w:rsidRDefault="007E2B6C" w:rsidP="007E2B6C">
      <w:pPr>
        <w:spacing w:after="0" w:line="240" w:lineRule="auto"/>
        <w:ind w:firstLine="567"/>
        <w:jc w:val="both"/>
        <w:rPr>
          <w:rFonts w:ascii="Cambria" w:hAnsi="Cambria" w:cs="Times New Roman"/>
          <w:color w:val="000000"/>
          <w:sz w:val="21"/>
          <w:szCs w:val="21"/>
          <w:lang w:val="en-ID"/>
        </w:rPr>
      </w:pPr>
      <w:r w:rsidRPr="007E2B6C">
        <w:rPr>
          <w:rFonts w:ascii="Cambria" w:hAnsi="Cambria" w:cs="Times New Roman"/>
          <w:bCs/>
          <w:color w:val="000000"/>
          <w:sz w:val="21"/>
          <w:szCs w:val="21"/>
          <w:lang w:val="en-ID"/>
        </w:rPr>
        <w:t>Chi-square</w:t>
      </w:r>
      <w:r w:rsidRPr="007E2B6C">
        <w:rPr>
          <w:rFonts w:ascii="Cambria" w:hAnsi="Cambria" w:cs="Times New Roman"/>
          <w:color w:val="000000"/>
          <w:sz w:val="21"/>
          <w:szCs w:val="21"/>
          <w:lang w:val="en-ID"/>
        </w:rPr>
        <w:t xml:space="preserve"> is used for one sample descriptive hypothesis test. According to </w:t>
      </w:r>
      <w:r w:rsidRPr="007E2B6C">
        <w:rPr>
          <w:rFonts w:ascii="Cambria" w:hAnsi="Cambria" w:cs="Times New Roman"/>
          <w:color w:val="000000"/>
          <w:sz w:val="21"/>
          <w:szCs w:val="21"/>
          <w:lang w:val="en-ID"/>
        </w:rPr>
        <w:fldChar w:fldCharType="begin" w:fldLock="1"/>
      </w:r>
      <w:r w:rsidRPr="007E2B6C">
        <w:rPr>
          <w:rFonts w:ascii="Cambria" w:hAnsi="Cambria" w:cs="Times New Roman"/>
          <w:color w:val="000000"/>
          <w:sz w:val="21"/>
          <w:szCs w:val="21"/>
          <w:lang w:val="en-ID"/>
        </w:rPr>
        <w:instrText>ADDIN CSL_CITATION {"citationItems":[{"id":"ITEM-1","itemData":{"DOI":"10.1177/1098214011426594","ISSN":"10982140","abstract":"The examination of cross-classified category data is common in evaluation and research, with Karl Pearson's family of chi-square tests representing one of the most utilized statistical analyses for answering questions about the association or difference between categorical variables. Unfortunately, these tests are also among the more commonly misinterpreted statistical tests in the field. The problem is not that researchers and evaluators misapply the results of chi-square tests, but rather they tend to over interpret or incorrectly interpret the results, leading to statements that may have limited or no statistical support based on the analyses preformed.This paper attempts to clarify any confusion about the uses and interpretations of the family of chi-square tests developed by Pearson, focusing primarily on the chi-square tests of independence and homogeneity of variance (identity of distributions). A brief survey of the recent evaluation literature is presented to illustrate the prevalence of the chi-square test and to offer examples of how these tests are misinterpreted. While the omnibus form of all three tests in the Karl Pearson family of chi-square tests-independence, homogeneity, and goodness-of-fit,-use essentially the same formula, each of these three tests is, in fact, distinct with specific hypotheses, sampling approaches, interpretations, and options following rejection of the null hypothesis. Finally, a little known option, the use and interpretation of post hoc comparisons based on Goodman's procedure (Goodman, 1963) following the rejection of the chi-square test of homogeneity, is described in detail. © The Author(s) 2012.","author":[{"dropping-particle":"","family":"Franke","given":"Todd Michael","non-dropping-particle":"","parse-names":false,"suffix":""},{"dropping-particle":"","family":"Ho","given":"Timothy","non-dropping-particle":"","parse-names":false,"suffix":""},{"dropping-particle":"","family":"Christie","given":"Christina A.","non-dropping-particle":"","parse-names":false,"suffix":""}],"container-title":"American Journal of Evaluation","id":"ITEM-1","issue":"3","issued":{"date-parts":[["2012"]]},"page":"448-458","title":"The Chi-Square Test: Often Used and More Often Misinterpreted","type":"article-journal","volume":"33"},"uris":["http://www.mendeley.com/documents/?uuid=5c8c142e-19b6-486b-a76d-c5fc18ebf214"]}],"mendeley":{"formattedCitation":"(Franke et al., 2012)","manualFormatting":"Franke et al. (2012)","plainTextFormattedCitation":"(Franke et al., 2012)","previouslyFormattedCitation":"(Franke et al., 2012)"},"properties":{"noteIndex":0},"schema":"https://github.com/citation-style-language/schema/raw/master/csl-citation.json"}</w:instrText>
      </w:r>
      <w:r w:rsidRPr="007E2B6C">
        <w:rPr>
          <w:rFonts w:ascii="Cambria" w:hAnsi="Cambria" w:cs="Times New Roman"/>
          <w:color w:val="000000"/>
          <w:sz w:val="21"/>
          <w:szCs w:val="21"/>
          <w:lang w:val="en-ID"/>
        </w:rPr>
        <w:fldChar w:fldCharType="separate"/>
      </w:r>
      <w:r w:rsidRPr="007E2B6C">
        <w:rPr>
          <w:rFonts w:ascii="Cambria" w:hAnsi="Cambria" w:cs="Times New Roman"/>
          <w:noProof/>
          <w:color w:val="000000"/>
          <w:sz w:val="21"/>
          <w:szCs w:val="21"/>
          <w:lang w:val="en-ID"/>
        </w:rPr>
        <w:t>Franke et al. (2012)</w:t>
      </w:r>
      <w:r w:rsidRPr="007E2B6C">
        <w:rPr>
          <w:rFonts w:ascii="Cambria" w:hAnsi="Cambria" w:cs="Times New Roman"/>
          <w:color w:val="000000"/>
          <w:sz w:val="21"/>
          <w:szCs w:val="21"/>
          <w:lang w:val="en-ID"/>
        </w:rPr>
        <w:fldChar w:fldCharType="end"/>
      </w:r>
      <w:r w:rsidRPr="007E2B6C">
        <w:rPr>
          <w:rFonts w:ascii="Cambria" w:hAnsi="Cambria" w:cs="Times New Roman"/>
          <w:color w:val="000000"/>
          <w:sz w:val="21"/>
          <w:szCs w:val="21"/>
          <w:lang w:val="en-ID"/>
        </w:rPr>
        <w:t>, one sample chi-square is a statistical technique used to test descriptive hypotheses. If the population consists of two or more classes, the data are nominal, and the sample is large. What is meant by descriptive hypothesis can be an estimation of whether or not there is a difference in frequency between one category and another in a sample about something</w:t>
      </w:r>
      <w:r w:rsidRPr="007E2B6C">
        <w:rPr>
          <w:rFonts w:ascii="Cambria" w:hAnsi="Cambria" w:cs="Times New Roman"/>
          <w:color w:val="000000"/>
          <w:sz w:val="21"/>
          <w:szCs w:val="21"/>
        </w:rPr>
        <w:t>.</w:t>
      </w:r>
    </w:p>
    <w:p w14:paraId="5DDCF85E" w14:textId="7791FE22" w:rsidR="007E2B6C" w:rsidRPr="007E2B6C" w:rsidRDefault="007E2B6C" w:rsidP="007E2B6C">
      <w:pPr>
        <w:spacing w:after="0" w:line="240" w:lineRule="auto"/>
        <w:ind w:left="567"/>
        <w:rPr>
          <w:rFonts w:ascii="Cambria" w:hAnsi="Cambria" w:cs="Times New Roman"/>
          <w:color w:val="000000"/>
          <w:sz w:val="21"/>
          <w:szCs w:val="21"/>
        </w:rPr>
      </w:pPr>
      <w:proofErr w:type="gramStart"/>
      <w:r w:rsidRPr="007E2B6C">
        <w:rPr>
          <w:rFonts w:ascii="Cambria" w:hAnsi="Cambria" w:cs="Times New Roman"/>
          <w:color w:val="000000"/>
          <w:sz w:val="21"/>
          <w:szCs w:val="21"/>
        </w:rPr>
        <w:t>Formula :</w:t>
      </w:r>
      <w:proofErr w:type="gramEnd"/>
      <w:r w:rsidRPr="007E2B6C">
        <w:rPr>
          <w:rFonts w:ascii="Cambria" w:hAnsi="Cambria" w:cs="Times New Roman"/>
          <w:color w:val="000000"/>
          <w:sz w:val="21"/>
          <w:szCs w:val="21"/>
        </w:rPr>
        <w:br/>
      </w:r>
      <w:r w:rsidRPr="007E2B6C">
        <w:rPr>
          <w:rFonts w:ascii="Cambria" w:hAnsi="Cambria" w:cs="Times New Roman"/>
          <w:b/>
          <w:noProof/>
          <w:color w:val="000000"/>
          <w:sz w:val="21"/>
          <w:szCs w:val="21"/>
        </w:rPr>
        <w:drawing>
          <wp:inline distT="0" distB="0" distL="0" distR="0" wp14:anchorId="053B328B" wp14:editId="14901C15">
            <wp:extent cx="1187450" cy="491490"/>
            <wp:effectExtent l="0" t="0" r="0" b="3810"/>
            <wp:docPr id="1" name="Picture 1" descr="Description: 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escription: I:\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0" cy="491490"/>
                    </a:xfrm>
                    <a:prstGeom prst="rect">
                      <a:avLst/>
                    </a:prstGeom>
                    <a:noFill/>
                    <a:ln>
                      <a:noFill/>
                    </a:ln>
                  </pic:spPr>
                </pic:pic>
              </a:graphicData>
            </a:graphic>
          </wp:inline>
        </w:drawing>
      </w:r>
    </w:p>
    <w:p w14:paraId="01311614" w14:textId="77777777" w:rsidR="007E2B6C" w:rsidRPr="007E2B6C" w:rsidRDefault="007E2B6C" w:rsidP="007E2B6C">
      <w:pPr>
        <w:spacing w:after="0" w:line="240" w:lineRule="auto"/>
        <w:ind w:left="567"/>
        <w:rPr>
          <w:rFonts w:ascii="Cambria" w:hAnsi="Cambria" w:cs="Times New Roman"/>
          <w:color w:val="000000"/>
          <w:sz w:val="21"/>
          <w:szCs w:val="21"/>
        </w:rPr>
      </w:pPr>
      <w:r w:rsidRPr="007E2B6C">
        <w:rPr>
          <w:rFonts w:ascii="Cambria" w:hAnsi="Cambria" w:cs="Times New Roman"/>
          <w:color w:val="000000"/>
          <w:sz w:val="21"/>
          <w:szCs w:val="21"/>
        </w:rPr>
        <w:t>Where:</w:t>
      </w:r>
    </w:p>
    <w:p w14:paraId="5328B9BB" w14:textId="61AEDC55" w:rsidR="007E2B6C" w:rsidRPr="007E2B6C" w:rsidRDefault="009B3961" w:rsidP="007E2B6C">
      <w:pPr>
        <w:autoSpaceDE w:val="0"/>
        <w:autoSpaceDN w:val="0"/>
        <w:adjustRightInd w:val="0"/>
        <w:spacing w:after="0" w:line="240" w:lineRule="auto"/>
        <w:ind w:left="990"/>
        <w:contextualSpacing/>
        <w:rPr>
          <w:rFonts w:ascii="Cambria" w:hAnsi="Cambria" w:cs="Times New Roman"/>
          <w:color w:val="000000"/>
          <w:sz w:val="21"/>
          <w:szCs w:val="21"/>
        </w:rPr>
      </w:pPr>
      <m:oMath>
        <m:sSup>
          <m:sSupPr>
            <m:ctrlPr>
              <w:rPr>
                <w:rFonts w:ascii="Cambria Math" w:hAnsi="Cambria Math" w:cs="Times New Roman"/>
                <w:color w:val="000000"/>
                <w:sz w:val="21"/>
                <w:szCs w:val="21"/>
              </w:rPr>
            </m:ctrlPr>
          </m:sSupPr>
          <m:e>
            <m:r>
              <w:rPr>
                <w:rFonts w:ascii="Cambria Math" w:hAnsi="Cambria Math" w:cs="Times New Roman"/>
                <w:color w:val="000000"/>
                <w:sz w:val="21"/>
                <w:szCs w:val="21"/>
              </w:rPr>
              <m:t>x</m:t>
            </m:r>
          </m:e>
          <m:sup>
            <m:r>
              <w:rPr>
                <w:rFonts w:ascii="Cambria Math" w:hAnsi="Cambria Math" w:cs="Times New Roman"/>
                <w:color w:val="000000"/>
                <w:sz w:val="21"/>
                <w:szCs w:val="21"/>
              </w:rPr>
              <m:t>2</m:t>
            </m:r>
          </m:sup>
        </m:sSup>
      </m:oMath>
      <w:r w:rsidR="007E2B6C" w:rsidRPr="007E2B6C">
        <w:rPr>
          <w:rFonts w:ascii="Cambria" w:hAnsi="Cambria" w:cs="Times New Roman"/>
          <w:color w:val="000000"/>
          <w:sz w:val="21"/>
          <w:szCs w:val="21"/>
        </w:rPr>
        <w:t xml:space="preserve">    = Chi square</w:t>
      </w:r>
    </w:p>
    <w:p w14:paraId="5C6A2B2D" w14:textId="59A4D3CB" w:rsidR="007E2B6C" w:rsidRPr="007E2B6C" w:rsidRDefault="009B3961" w:rsidP="007E2B6C">
      <w:pPr>
        <w:autoSpaceDE w:val="0"/>
        <w:autoSpaceDN w:val="0"/>
        <w:adjustRightInd w:val="0"/>
        <w:spacing w:after="0" w:line="240" w:lineRule="auto"/>
        <w:ind w:left="990"/>
        <w:contextualSpacing/>
        <w:rPr>
          <w:rFonts w:ascii="Cambria" w:hAnsi="Cambria" w:cs="Times New Roman"/>
          <w:color w:val="000000"/>
          <w:sz w:val="21"/>
          <w:szCs w:val="21"/>
        </w:rPr>
      </w:pPr>
      <m:oMath>
        <m:acc>
          <m:accPr>
            <m:chr m:val="̥"/>
            <m:ctrlPr>
              <w:rPr>
                <w:rFonts w:ascii="Cambria Math" w:eastAsia="Cambria Math" w:hAnsi="Cambria Math" w:cs="Times New Roman"/>
                <w:i/>
                <w:color w:val="000000"/>
                <w:sz w:val="21"/>
                <w:szCs w:val="21"/>
              </w:rPr>
            </m:ctrlPr>
          </m:accPr>
          <m:e>
            <m:r>
              <w:rPr>
                <w:rFonts w:ascii="Cambria Math" w:eastAsia="Cambria Math" w:hAnsi="Cambria Math" w:cs="Times New Roman"/>
                <w:color w:val="000000"/>
                <w:sz w:val="21"/>
                <w:szCs w:val="21"/>
              </w:rPr>
              <m:t>f</m:t>
            </m:r>
          </m:e>
        </m:acc>
      </m:oMath>
      <w:r w:rsidR="007E2B6C" w:rsidRPr="007E2B6C">
        <w:rPr>
          <w:rFonts w:ascii="Cambria" w:hAnsi="Cambria" w:cs="Times New Roman"/>
          <w:color w:val="000000"/>
          <w:sz w:val="21"/>
          <w:szCs w:val="21"/>
        </w:rPr>
        <w:t xml:space="preserve">      = Observed Frequency</w:t>
      </w:r>
    </w:p>
    <w:p w14:paraId="70074665" w14:textId="70C8D76A" w:rsidR="007E2B6C" w:rsidRPr="007E2B6C" w:rsidRDefault="007E2B6C" w:rsidP="007E2B6C">
      <w:pPr>
        <w:autoSpaceDE w:val="0"/>
        <w:autoSpaceDN w:val="0"/>
        <w:adjustRightInd w:val="0"/>
        <w:spacing w:after="0" w:line="240" w:lineRule="auto"/>
        <w:ind w:left="990"/>
        <w:contextualSpacing/>
        <w:rPr>
          <w:rFonts w:ascii="Cambria" w:hAnsi="Cambria" w:cs="Times New Roman"/>
          <w:color w:val="000000"/>
          <w:sz w:val="21"/>
          <w:szCs w:val="21"/>
        </w:rPr>
      </w:pPr>
      <m:oMath>
        <m:r>
          <w:rPr>
            <w:rFonts w:ascii="Cambria Math" w:eastAsia="Cambria Math" w:hAnsi="Cambria Math" w:cs="Times New Roman"/>
            <w:color w:val="000000"/>
            <w:sz w:val="21"/>
            <w:szCs w:val="21"/>
          </w:rPr>
          <m:t>fh</m:t>
        </m:r>
      </m:oMath>
      <w:r w:rsidRPr="007E2B6C">
        <w:rPr>
          <w:rFonts w:ascii="Cambria" w:hAnsi="Cambria" w:cs="Times New Roman"/>
          <w:color w:val="000000"/>
          <w:sz w:val="21"/>
          <w:szCs w:val="21"/>
        </w:rPr>
        <w:t xml:space="preserve">    = Expected Frequency</w:t>
      </w:r>
    </w:p>
    <w:p w14:paraId="622483DB" w14:textId="77777777" w:rsidR="007E2B6C" w:rsidRPr="007E2B6C" w:rsidRDefault="007E2B6C" w:rsidP="007E2B6C">
      <w:pPr>
        <w:spacing w:after="0" w:line="240" w:lineRule="auto"/>
        <w:ind w:firstLine="567"/>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Chi-square can be calculated using categorical data. The data are discrete or nominal. The result of chi-square is always positive because the result is always squared. If the chi-square count is smaller than the table chi-square, there is no significant difference. However, if the result is greater than the table chi-square, there is a significant difference. Therefore, it can be concluded that the greater the result of the calculated chi-square to the table chi-square, the more significant the difference.</w:t>
      </w:r>
    </w:p>
    <w:p w14:paraId="2DE34971" w14:textId="77777777" w:rsidR="007E2B6C" w:rsidRPr="007E2B6C" w:rsidRDefault="007E2B6C" w:rsidP="007E2B6C">
      <w:pPr>
        <w:spacing w:after="0" w:line="240" w:lineRule="auto"/>
        <w:ind w:firstLine="567"/>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Test requirements analysis includes tests of normality, homogeneity, linearity, heteroscedasticity, multicollinearity and autocorrelation. This test is very important because in inferential statistics, in order for the conclusions of data analysis to apply to the population, the distribution of data must meet some of these criteria.</w:t>
      </w:r>
    </w:p>
    <w:p w14:paraId="03854893" w14:textId="77777777" w:rsidR="007E2B6C" w:rsidRPr="007E2B6C" w:rsidRDefault="007E2B6C" w:rsidP="007E2B6C">
      <w:pPr>
        <w:spacing w:after="0" w:line="240" w:lineRule="auto"/>
        <w:ind w:firstLine="567"/>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This research was carried out for two months, namely, January and February 2018. The research location is on the Nusaniwe Peninsula, Ambon City. It involves several countries as tourist destinations, especially in Amahusu </w:t>
      </w:r>
      <w:r w:rsidRPr="007E2B6C">
        <w:rPr>
          <w:rFonts w:ascii="Cambria" w:hAnsi="Cambria" w:cs="Times New Roman"/>
          <w:i/>
          <w:iCs/>
          <w:color w:val="000000"/>
          <w:sz w:val="21"/>
          <w:szCs w:val="21"/>
          <w:lang w:val="en-ID"/>
        </w:rPr>
        <w:t>negeri</w:t>
      </w:r>
      <w:r w:rsidRPr="007E2B6C">
        <w:rPr>
          <w:rFonts w:ascii="Cambria" w:hAnsi="Cambria" w:cs="Times New Roman"/>
          <w:color w:val="000000"/>
          <w:sz w:val="21"/>
          <w:szCs w:val="21"/>
          <w:lang w:val="en-ID"/>
        </w:rPr>
        <w:t>, Nusaniwe </w:t>
      </w:r>
      <w:r w:rsidRPr="007E2B6C">
        <w:rPr>
          <w:rFonts w:ascii="Cambria" w:hAnsi="Cambria" w:cs="Times New Roman"/>
          <w:i/>
          <w:iCs/>
          <w:color w:val="000000"/>
          <w:sz w:val="21"/>
          <w:szCs w:val="21"/>
          <w:lang w:val="en-ID"/>
        </w:rPr>
        <w:t>negeri</w:t>
      </w:r>
      <w:r w:rsidRPr="007E2B6C">
        <w:rPr>
          <w:rFonts w:ascii="Cambria" w:hAnsi="Cambria" w:cs="Times New Roman"/>
          <w:color w:val="000000"/>
          <w:sz w:val="21"/>
          <w:szCs w:val="21"/>
          <w:lang w:val="en-ID"/>
        </w:rPr>
        <w:t>, and Latuhalat </w:t>
      </w:r>
      <w:r w:rsidRPr="007E2B6C">
        <w:rPr>
          <w:rFonts w:ascii="Cambria" w:hAnsi="Cambria" w:cs="Times New Roman"/>
          <w:i/>
          <w:iCs/>
          <w:color w:val="000000"/>
          <w:sz w:val="21"/>
          <w:szCs w:val="21"/>
          <w:lang w:val="en-ID"/>
        </w:rPr>
        <w:t>negeri</w:t>
      </w:r>
      <w:r w:rsidRPr="007E2B6C">
        <w:rPr>
          <w:rFonts w:ascii="Cambria" w:hAnsi="Cambria" w:cs="Times New Roman"/>
          <w:color w:val="000000"/>
          <w:sz w:val="21"/>
          <w:szCs w:val="21"/>
          <w:lang w:val="en-ID"/>
        </w:rPr>
        <w:t>, with the distribution of respondents in this sub-district as described below</w:t>
      </w:r>
      <w:r w:rsidRPr="007E2B6C">
        <w:rPr>
          <w:rFonts w:ascii="Cambria" w:hAnsi="Cambria" w:cs="Times New Roman"/>
          <w:sz w:val="21"/>
          <w:szCs w:val="21"/>
        </w:rPr>
        <w:t>.</w:t>
      </w:r>
    </w:p>
    <w:p w14:paraId="2B3DDEAF" w14:textId="77777777" w:rsidR="007E2B6C" w:rsidRPr="007E2B6C" w:rsidRDefault="007E2B6C" w:rsidP="007E2B6C">
      <w:pPr>
        <w:spacing w:after="0" w:line="240" w:lineRule="auto"/>
        <w:rPr>
          <w:rFonts w:ascii="Cambria" w:hAnsi="Cambria" w:cs="Times New Roman"/>
          <w:sz w:val="21"/>
          <w:szCs w:val="21"/>
        </w:rPr>
      </w:pPr>
    </w:p>
    <w:p w14:paraId="033483F4" w14:textId="77777777" w:rsidR="00780006" w:rsidRDefault="00780006" w:rsidP="007E2B6C">
      <w:pPr>
        <w:spacing w:after="0" w:line="240" w:lineRule="auto"/>
        <w:jc w:val="center"/>
        <w:rPr>
          <w:rFonts w:ascii="Cambria" w:hAnsi="Cambria" w:cs="Times New Roman"/>
          <w:sz w:val="21"/>
          <w:szCs w:val="21"/>
        </w:rPr>
      </w:pPr>
    </w:p>
    <w:p w14:paraId="10B6CD55" w14:textId="77777777" w:rsidR="00780006" w:rsidRDefault="00780006" w:rsidP="007E2B6C">
      <w:pPr>
        <w:spacing w:after="0" w:line="240" w:lineRule="auto"/>
        <w:jc w:val="center"/>
        <w:rPr>
          <w:rFonts w:ascii="Cambria" w:hAnsi="Cambria" w:cs="Times New Roman"/>
          <w:sz w:val="21"/>
          <w:szCs w:val="21"/>
        </w:rPr>
      </w:pPr>
    </w:p>
    <w:p w14:paraId="4FEFF75E" w14:textId="77777777" w:rsidR="00780006" w:rsidRDefault="00780006" w:rsidP="007E2B6C">
      <w:pPr>
        <w:spacing w:after="0" w:line="240" w:lineRule="auto"/>
        <w:jc w:val="center"/>
        <w:rPr>
          <w:rFonts w:ascii="Cambria" w:hAnsi="Cambria" w:cs="Times New Roman"/>
          <w:sz w:val="21"/>
          <w:szCs w:val="21"/>
        </w:rPr>
      </w:pPr>
    </w:p>
    <w:p w14:paraId="43F1B88D" w14:textId="77777777" w:rsidR="00780006" w:rsidRDefault="00780006" w:rsidP="007E2B6C">
      <w:pPr>
        <w:spacing w:after="0" w:line="240" w:lineRule="auto"/>
        <w:jc w:val="center"/>
        <w:rPr>
          <w:rFonts w:ascii="Cambria" w:hAnsi="Cambria" w:cs="Times New Roman"/>
          <w:sz w:val="21"/>
          <w:szCs w:val="21"/>
        </w:rPr>
      </w:pPr>
    </w:p>
    <w:p w14:paraId="2B41C62D" w14:textId="77777777" w:rsidR="00780006" w:rsidRDefault="00780006" w:rsidP="007E2B6C">
      <w:pPr>
        <w:spacing w:after="0" w:line="240" w:lineRule="auto"/>
        <w:jc w:val="center"/>
        <w:rPr>
          <w:rFonts w:ascii="Cambria" w:hAnsi="Cambria" w:cs="Times New Roman"/>
          <w:sz w:val="21"/>
          <w:szCs w:val="21"/>
        </w:rPr>
      </w:pPr>
    </w:p>
    <w:p w14:paraId="155C74BB" w14:textId="77777777" w:rsidR="00780006" w:rsidRDefault="00780006" w:rsidP="007E2B6C">
      <w:pPr>
        <w:spacing w:after="0" w:line="240" w:lineRule="auto"/>
        <w:jc w:val="center"/>
        <w:rPr>
          <w:rFonts w:ascii="Cambria" w:hAnsi="Cambria" w:cs="Times New Roman"/>
          <w:sz w:val="21"/>
          <w:szCs w:val="21"/>
        </w:rPr>
      </w:pPr>
    </w:p>
    <w:p w14:paraId="0563A2A9" w14:textId="44FBEB6B" w:rsidR="007E2B6C" w:rsidRPr="007E2B6C" w:rsidRDefault="007E2B6C" w:rsidP="007E2B6C">
      <w:pPr>
        <w:spacing w:after="0" w:line="240" w:lineRule="auto"/>
        <w:jc w:val="center"/>
        <w:rPr>
          <w:rFonts w:ascii="Cambria" w:hAnsi="Cambria" w:cs="Times New Roman"/>
          <w:sz w:val="21"/>
          <w:szCs w:val="21"/>
        </w:rPr>
      </w:pPr>
      <w:proofErr w:type="gramStart"/>
      <w:r w:rsidRPr="007E2B6C">
        <w:rPr>
          <w:rFonts w:ascii="Cambria" w:hAnsi="Cambria" w:cs="Times New Roman"/>
          <w:sz w:val="21"/>
          <w:szCs w:val="21"/>
        </w:rPr>
        <w:lastRenderedPageBreak/>
        <w:t>Table 1</w:t>
      </w:r>
      <w:r>
        <w:rPr>
          <w:rFonts w:ascii="Cambria" w:hAnsi="Cambria" w:cs="Times New Roman"/>
          <w:sz w:val="21"/>
          <w:szCs w:val="21"/>
        </w:rPr>
        <w:t>.</w:t>
      </w:r>
      <w:proofErr w:type="gramEnd"/>
      <w:r>
        <w:rPr>
          <w:rFonts w:ascii="Cambria" w:hAnsi="Cambria" w:cs="Times New Roman"/>
          <w:sz w:val="21"/>
          <w:szCs w:val="21"/>
        </w:rPr>
        <w:t xml:space="preserve"> S</w:t>
      </w:r>
      <w:r w:rsidRPr="007E2B6C">
        <w:rPr>
          <w:rFonts w:ascii="Cambria" w:hAnsi="Cambria" w:cs="Times New Roman"/>
          <w:sz w:val="21"/>
          <w:szCs w:val="21"/>
        </w:rPr>
        <w:t>ample of respondents each tourist</w:t>
      </w:r>
    </w:p>
    <w:tbl>
      <w:tblPr>
        <w:tblW w:w="7279" w:type="dxa"/>
        <w:jc w:val="center"/>
        <w:tblInd w:w="-2042" w:type="dxa"/>
        <w:tblBorders>
          <w:top w:val="single" w:sz="4" w:space="0" w:color="auto"/>
          <w:bottom w:val="single" w:sz="4" w:space="0" w:color="auto"/>
          <w:insideH w:val="single" w:sz="4" w:space="0" w:color="auto"/>
        </w:tblBorders>
        <w:tblLook w:val="0400" w:firstRow="0" w:lastRow="0" w:firstColumn="0" w:lastColumn="0" w:noHBand="0" w:noVBand="1"/>
      </w:tblPr>
      <w:tblGrid>
        <w:gridCol w:w="3216"/>
        <w:gridCol w:w="2879"/>
        <w:gridCol w:w="6"/>
        <w:gridCol w:w="1172"/>
        <w:gridCol w:w="6"/>
      </w:tblGrid>
      <w:tr w:rsidR="007E2B6C" w:rsidRPr="007E2B6C" w14:paraId="6EDC47C5" w14:textId="77777777" w:rsidTr="00780006">
        <w:trPr>
          <w:gridAfter w:val="1"/>
          <w:wAfter w:w="6" w:type="dxa"/>
          <w:trHeight w:val="242"/>
          <w:jc w:val="center"/>
        </w:trPr>
        <w:tc>
          <w:tcPr>
            <w:tcW w:w="3216" w:type="dxa"/>
            <w:tcBorders>
              <w:bottom w:val="nil"/>
            </w:tcBorders>
            <w:vAlign w:val="center"/>
          </w:tcPr>
          <w:p w14:paraId="5A63E6B7"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Tourist Object Location</w:t>
            </w:r>
          </w:p>
        </w:tc>
        <w:tc>
          <w:tcPr>
            <w:tcW w:w="2879" w:type="dxa"/>
            <w:tcBorders>
              <w:bottom w:val="nil"/>
            </w:tcBorders>
            <w:vAlign w:val="center"/>
          </w:tcPr>
          <w:p w14:paraId="4596D299"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Number of Respondents</w:t>
            </w:r>
          </w:p>
        </w:tc>
        <w:tc>
          <w:tcPr>
            <w:tcW w:w="1178" w:type="dxa"/>
            <w:gridSpan w:val="2"/>
            <w:tcBorders>
              <w:bottom w:val="nil"/>
            </w:tcBorders>
            <w:vAlign w:val="center"/>
          </w:tcPr>
          <w:p w14:paraId="461A026F"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Location</w:t>
            </w:r>
          </w:p>
        </w:tc>
      </w:tr>
      <w:tr w:rsidR="007E2B6C" w:rsidRPr="007E2B6C" w14:paraId="0A138A98" w14:textId="77777777" w:rsidTr="00780006">
        <w:trPr>
          <w:gridAfter w:val="1"/>
          <w:wAfter w:w="6" w:type="dxa"/>
          <w:trHeight w:val="268"/>
          <w:jc w:val="center"/>
        </w:trPr>
        <w:tc>
          <w:tcPr>
            <w:tcW w:w="3216" w:type="dxa"/>
            <w:tcBorders>
              <w:top w:val="nil"/>
              <w:bottom w:val="nil"/>
            </w:tcBorders>
            <w:vAlign w:val="center"/>
          </w:tcPr>
          <w:p w14:paraId="13BA3C8B"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Batu Capeu Beach</w:t>
            </w:r>
          </w:p>
        </w:tc>
        <w:tc>
          <w:tcPr>
            <w:tcW w:w="2879" w:type="dxa"/>
            <w:tcBorders>
              <w:top w:val="nil"/>
              <w:bottom w:val="nil"/>
            </w:tcBorders>
            <w:vAlign w:val="center"/>
          </w:tcPr>
          <w:p w14:paraId="6AB14A3B" w14:textId="77777777" w:rsidR="007E2B6C" w:rsidRPr="007E2B6C" w:rsidRDefault="007E2B6C" w:rsidP="00194E23">
            <w:pPr>
              <w:spacing w:after="0"/>
              <w:jc w:val="center"/>
              <w:rPr>
                <w:rFonts w:ascii="Cambria" w:hAnsi="Cambria" w:cs="Times New Roman"/>
                <w:color w:val="FF0000"/>
                <w:sz w:val="21"/>
                <w:szCs w:val="21"/>
              </w:rPr>
            </w:pPr>
            <w:r w:rsidRPr="007E2B6C">
              <w:rPr>
                <w:rFonts w:ascii="Cambria" w:hAnsi="Cambria" w:cs="Times New Roman"/>
                <w:sz w:val="21"/>
                <w:szCs w:val="21"/>
              </w:rPr>
              <w:t>7</w:t>
            </w:r>
          </w:p>
        </w:tc>
        <w:tc>
          <w:tcPr>
            <w:tcW w:w="1178" w:type="dxa"/>
            <w:gridSpan w:val="2"/>
            <w:tcBorders>
              <w:top w:val="nil"/>
              <w:bottom w:val="nil"/>
            </w:tcBorders>
            <w:vAlign w:val="center"/>
          </w:tcPr>
          <w:p w14:paraId="2E7999F1"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Amahusu</w:t>
            </w:r>
          </w:p>
        </w:tc>
      </w:tr>
      <w:tr w:rsidR="007E2B6C" w:rsidRPr="007E2B6C" w14:paraId="3731F77C" w14:textId="77777777" w:rsidTr="00780006">
        <w:trPr>
          <w:gridAfter w:val="1"/>
          <w:wAfter w:w="6" w:type="dxa"/>
          <w:trHeight w:val="252"/>
          <w:jc w:val="center"/>
        </w:trPr>
        <w:tc>
          <w:tcPr>
            <w:tcW w:w="3216" w:type="dxa"/>
            <w:tcBorders>
              <w:top w:val="nil"/>
              <w:bottom w:val="nil"/>
            </w:tcBorders>
            <w:vAlign w:val="center"/>
          </w:tcPr>
          <w:p w14:paraId="2AB8AD1B"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Batu Lubang Beach</w:t>
            </w:r>
          </w:p>
        </w:tc>
        <w:tc>
          <w:tcPr>
            <w:tcW w:w="2879" w:type="dxa"/>
            <w:tcBorders>
              <w:top w:val="nil"/>
              <w:bottom w:val="nil"/>
            </w:tcBorders>
            <w:vAlign w:val="center"/>
          </w:tcPr>
          <w:p w14:paraId="09D5AE04"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28</w:t>
            </w:r>
          </w:p>
        </w:tc>
        <w:tc>
          <w:tcPr>
            <w:tcW w:w="1178" w:type="dxa"/>
            <w:gridSpan w:val="2"/>
            <w:tcBorders>
              <w:top w:val="nil"/>
              <w:bottom w:val="nil"/>
            </w:tcBorders>
            <w:vAlign w:val="center"/>
          </w:tcPr>
          <w:p w14:paraId="658194AF"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Amahusu</w:t>
            </w:r>
          </w:p>
        </w:tc>
      </w:tr>
      <w:tr w:rsidR="007E2B6C" w:rsidRPr="007E2B6C" w14:paraId="64D8E42A" w14:textId="77777777" w:rsidTr="00780006">
        <w:trPr>
          <w:gridAfter w:val="1"/>
          <w:wAfter w:w="6" w:type="dxa"/>
          <w:trHeight w:val="268"/>
          <w:jc w:val="center"/>
        </w:trPr>
        <w:tc>
          <w:tcPr>
            <w:tcW w:w="3216" w:type="dxa"/>
            <w:tcBorders>
              <w:top w:val="nil"/>
              <w:bottom w:val="nil"/>
            </w:tcBorders>
            <w:vAlign w:val="center"/>
          </w:tcPr>
          <w:p w14:paraId="12F017D5"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Waititei Beach</w:t>
            </w:r>
          </w:p>
        </w:tc>
        <w:tc>
          <w:tcPr>
            <w:tcW w:w="2879" w:type="dxa"/>
            <w:tcBorders>
              <w:top w:val="nil"/>
              <w:bottom w:val="nil"/>
            </w:tcBorders>
            <w:vAlign w:val="center"/>
          </w:tcPr>
          <w:p w14:paraId="1FCEFA4E"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19</w:t>
            </w:r>
          </w:p>
        </w:tc>
        <w:tc>
          <w:tcPr>
            <w:tcW w:w="1178" w:type="dxa"/>
            <w:gridSpan w:val="2"/>
            <w:tcBorders>
              <w:top w:val="nil"/>
              <w:bottom w:val="nil"/>
            </w:tcBorders>
            <w:vAlign w:val="center"/>
          </w:tcPr>
          <w:p w14:paraId="62655774"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Amahusu</w:t>
            </w:r>
          </w:p>
        </w:tc>
      </w:tr>
      <w:tr w:rsidR="007E2B6C" w:rsidRPr="007E2B6C" w14:paraId="2751BF6E" w14:textId="77777777" w:rsidTr="00780006">
        <w:trPr>
          <w:gridAfter w:val="1"/>
          <w:wAfter w:w="6" w:type="dxa"/>
          <w:trHeight w:val="268"/>
          <w:jc w:val="center"/>
        </w:trPr>
        <w:tc>
          <w:tcPr>
            <w:tcW w:w="3216" w:type="dxa"/>
            <w:tcBorders>
              <w:top w:val="nil"/>
              <w:bottom w:val="nil"/>
            </w:tcBorders>
            <w:vAlign w:val="center"/>
          </w:tcPr>
          <w:p w14:paraId="6FB61617"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Pintu Kota</w:t>
            </w:r>
          </w:p>
        </w:tc>
        <w:tc>
          <w:tcPr>
            <w:tcW w:w="2879" w:type="dxa"/>
            <w:tcBorders>
              <w:top w:val="nil"/>
              <w:bottom w:val="nil"/>
            </w:tcBorders>
            <w:vAlign w:val="center"/>
          </w:tcPr>
          <w:p w14:paraId="377A73B5"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30</w:t>
            </w:r>
          </w:p>
        </w:tc>
        <w:tc>
          <w:tcPr>
            <w:tcW w:w="1178" w:type="dxa"/>
            <w:gridSpan w:val="2"/>
            <w:tcBorders>
              <w:top w:val="nil"/>
              <w:bottom w:val="nil"/>
            </w:tcBorders>
            <w:vAlign w:val="center"/>
          </w:tcPr>
          <w:p w14:paraId="6FB5AA43"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Nusaniwe</w:t>
            </w:r>
          </w:p>
        </w:tc>
      </w:tr>
      <w:tr w:rsidR="007E2B6C" w:rsidRPr="007E2B6C" w14:paraId="7A54FF9A" w14:textId="77777777" w:rsidTr="00780006">
        <w:trPr>
          <w:gridAfter w:val="1"/>
          <w:wAfter w:w="6" w:type="dxa"/>
          <w:trHeight w:val="252"/>
          <w:jc w:val="center"/>
        </w:trPr>
        <w:tc>
          <w:tcPr>
            <w:tcW w:w="3216" w:type="dxa"/>
            <w:tcBorders>
              <w:top w:val="nil"/>
              <w:bottom w:val="nil"/>
            </w:tcBorders>
            <w:vAlign w:val="center"/>
          </w:tcPr>
          <w:p w14:paraId="0629B8CE"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Velawatu</w:t>
            </w:r>
          </w:p>
        </w:tc>
        <w:tc>
          <w:tcPr>
            <w:tcW w:w="2879" w:type="dxa"/>
            <w:tcBorders>
              <w:top w:val="nil"/>
              <w:bottom w:val="nil"/>
            </w:tcBorders>
            <w:vAlign w:val="center"/>
          </w:tcPr>
          <w:p w14:paraId="09A36226"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8</w:t>
            </w:r>
          </w:p>
        </w:tc>
        <w:tc>
          <w:tcPr>
            <w:tcW w:w="1178" w:type="dxa"/>
            <w:gridSpan w:val="2"/>
            <w:tcBorders>
              <w:top w:val="nil"/>
              <w:bottom w:val="nil"/>
            </w:tcBorders>
            <w:vAlign w:val="center"/>
          </w:tcPr>
          <w:p w14:paraId="5BF8FED4"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Nusaniwe</w:t>
            </w:r>
          </w:p>
        </w:tc>
      </w:tr>
      <w:tr w:rsidR="007E2B6C" w:rsidRPr="007E2B6C" w14:paraId="652A031C" w14:textId="77777777" w:rsidTr="00780006">
        <w:trPr>
          <w:gridAfter w:val="1"/>
          <w:wAfter w:w="6" w:type="dxa"/>
          <w:trHeight w:val="268"/>
          <w:jc w:val="center"/>
        </w:trPr>
        <w:tc>
          <w:tcPr>
            <w:tcW w:w="3216" w:type="dxa"/>
            <w:tcBorders>
              <w:top w:val="nil"/>
              <w:bottom w:val="nil"/>
            </w:tcBorders>
            <w:vAlign w:val="center"/>
          </w:tcPr>
          <w:p w14:paraId="29DEA910"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Santai Beach</w:t>
            </w:r>
          </w:p>
        </w:tc>
        <w:tc>
          <w:tcPr>
            <w:tcW w:w="2879" w:type="dxa"/>
            <w:tcBorders>
              <w:top w:val="nil"/>
              <w:bottom w:val="nil"/>
            </w:tcBorders>
            <w:vAlign w:val="center"/>
          </w:tcPr>
          <w:p w14:paraId="5E0896DD"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30</w:t>
            </w:r>
          </w:p>
        </w:tc>
        <w:tc>
          <w:tcPr>
            <w:tcW w:w="1178" w:type="dxa"/>
            <w:gridSpan w:val="2"/>
            <w:tcBorders>
              <w:top w:val="nil"/>
              <w:bottom w:val="nil"/>
            </w:tcBorders>
            <w:vAlign w:val="center"/>
          </w:tcPr>
          <w:p w14:paraId="0A908424"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Latuhalat</w:t>
            </w:r>
          </w:p>
        </w:tc>
      </w:tr>
      <w:tr w:rsidR="007E2B6C" w:rsidRPr="007E2B6C" w14:paraId="084BB023" w14:textId="77777777" w:rsidTr="00780006">
        <w:trPr>
          <w:gridAfter w:val="1"/>
          <w:wAfter w:w="6" w:type="dxa"/>
          <w:trHeight w:val="252"/>
          <w:jc w:val="center"/>
        </w:trPr>
        <w:tc>
          <w:tcPr>
            <w:tcW w:w="3216" w:type="dxa"/>
            <w:tcBorders>
              <w:top w:val="nil"/>
              <w:bottom w:val="nil"/>
            </w:tcBorders>
            <w:vAlign w:val="center"/>
          </w:tcPr>
          <w:p w14:paraId="17C6458E"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Namalatu Beach</w:t>
            </w:r>
          </w:p>
        </w:tc>
        <w:tc>
          <w:tcPr>
            <w:tcW w:w="2879" w:type="dxa"/>
            <w:tcBorders>
              <w:top w:val="nil"/>
              <w:bottom w:val="nil"/>
            </w:tcBorders>
            <w:vAlign w:val="center"/>
          </w:tcPr>
          <w:p w14:paraId="2C672025"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30</w:t>
            </w:r>
          </w:p>
        </w:tc>
        <w:tc>
          <w:tcPr>
            <w:tcW w:w="1178" w:type="dxa"/>
            <w:gridSpan w:val="2"/>
            <w:tcBorders>
              <w:top w:val="nil"/>
              <w:bottom w:val="nil"/>
            </w:tcBorders>
            <w:vAlign w:val="center"/>
          </w:tcPr>
          <w:p w14:paraId="0B48F0D4"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Latuhalat</w:t>
            </w:r>
          </w:p>
        </w:tc>
      </w:tr>
      <w:tr w:rsidR="007E2B6C" w:rsidRPr="007E2B6C" w14:paraId="19B95F35" w14:textId="77777777" w:rsidTr="00780006">
        <w:trPr>
          <w:gridAfter w:val="1"/>
          <w:wAfter w:w="6" w:type="dxa"/>
          <w:trHeight w:val="268"/>
          <w:jc w:val="center"/>
        </w:trPr>
        <w:tc>
          <w:tcPr>
            <w:tcW w:w="3216" w:type="dxa"/>
            <w:tcBorders>
              <w:top w:val="nil"/>
              <w:bottom w:val="nil"/>
            </w:tcBorders>
            <w:vAlign w:val="center"/>
          </w:tcPr>
          <w:p w14:paraId="5AB0EE41"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Sumber Jaya Beach</w:t>
            </w:r>
          </w:p>
        </w:tc>
        <w:tc>
          <w:tcPr>
            <w:tcW w:w="2879" w:type="dxa"/>
            <w:tcBorders>
              <w:top w:val="nil"/>
              <w:bottom w:val="nil"/>
            </w:tcBorders>
            <w:vAlign w:val="center"/>
          </w:tcPr>
          <w:p w14:paraId="50B10EA7"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13</w:t>
            </w:r>
          </w:p>
        </w:tc>
        <w:tc>
          <w:tcPr>
            <w:tcW w:w="1178" w:type="dxa"/>
            <w:gridSpan w:val="2"/>
            <w:tcBorders>
              <w:top w:val="nil"/>
              <w:bottom w:val="nil"/>
            </w:tcBorders>
            <w:vAlign w:val="center"/>
          </w:tcPr>
          <w:p w14:paraId="338BEABF"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Latuhalat</w:t>
            </w:r>
          </w:p>
        </w:tc>
      </w:tr>
      <w:tr w:rsidR="007E2B6C" w:rsidRPr="007E2B6C" w14:paraId="069E7AFF" w14:textId="77777777" w:rsidTr="00780006">
        <w:trPr>
          <w:gridAfter w:val="1"/>
          <w:wAfter w:w="6" w:type="dxa"/>
          <w:trHeight w:val="247"/>
          <w:jc w:val="center"/>
        </w:trPr>
        <w:tc>
          <w:tcPr>
            <w:tcW w:w="3216" w:type="dxa"/>
            <w:tcBorders>
              <w:top w:val="nil"/>
            </w:tcBorders>
            <w:vAlign w:val="center"/>
          </w:tcPr>
          <w:p w14:paraId="7786221B"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Tanjung Batu Konde Beach</w:t>
            </w:r>
          </w:p>
        </w:tc>
        <w:tc>
          <w:tcPr>
            <w:tcW w:w="2879" w:type="dxa"/>
            <w:tcBorders>
              <w:top w:val="nil"/>
            </w:tcBorders>
            <w:vAlign w:val="center"/>
          </w:tcPr>
          <w:p w14:paraId="6FD76C4D"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30</w:t>
            </w:r>
          </w:p>
        </w:tc>
        <w:tc>
          <w:tcPr>
            <w:tcW w:w="1178" w:type="dxa"/>
            <w:gridSpan w:val="2"/>
            <w:tcBorders>
              <w:top w:val="nil"/>
            </w:tcBorders>
            <w:vAlign w:val="center"/>
          </w:tcPr>
          <w:p w14:paraId="3662C7F9"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Latuhalat</w:t>
            </w:r>
          </w:p>
        </w:tc>
      </w:tr>
      <w:tr w:rsidR="007E2B6C" w:rsidRPr="007E2B6C" w14:paraId="302395CA" w14:textId="77777777" w:rsidTr="00780006">
        <w:trPr>
          <w:trHeight w:val="252"/>
          <w:jc w:val="center"/>
        </w:trPr>
        <w:tc>
          <w:tcPr>
            <w:tcW w:w="3216" w:type="dxa"/>
            <w:vAlign w:val="center"/>
          </w:tcPr>
          <w:p w14:paraId="08E12C75"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Total</w:t>
            </w:r>
          </w:p>
        </w:tc>
        <w:tc>
          <w:tcPr>
            <w:tcW w:w="2885" w:type="dxa"/>
            <w:gridSpan w:val="2"/>
            <w:vAlign w:val="center"/>
          </w:tcPr>
          <w:p w14:paraId="4173313D"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195</w:t>
            </w:r>
          </w:p>
        </w:tc>
        <w:tc>
          <w:tcPr>
            <w:tcW w:w="1178" w:type="dxa"/>
            <w:gridSpan w:val="2"/>
            <w:vAlign w:val="center"/>
          </w:tcPr>
          <w:p w14:paraId="7B34B57E" w14:textId="77777777" w:rsidR="007E2B6C" w:rsidRPr="007E2B6C" w:rsidRDefault="007E2B6C" w:rsidP="00194E23">
            <w:pPr>
              <w:spacing w:after="0"/>
              <w:jc w:val="center"/>
              <w:rPr>
                <w:rFonts w:ascii="Cambria" w:hAnsi="Cambria" w:cs="Times New Roman"/>
                <w:sz w:val="21"/>
                <w:szCs w:val="21"/>
              </w:rPr>
            </w:pPr>
          </w:p>
        </w:tc>
      </w:tr>
    </w:tbl>
    <w:p w14:paraId="60363954" w14:textId="77777777" w:rsidR="007E2B6C" w:rsidRPr="007E2B6C" w:rsidRDefault="007E2B6C" w:rsidP="007E2B6C">
      <w:pPr>
        <w:spacing w:after="0" w:line="240" w:lineRule="auto"/>
        <w:jc w:val="center"/>
        <w:rPr>
          <w:rFonts w:ascii="Cambria" w:hAnsi="Cambria" w:cs="Times New Roman"/>
          <w:sz w:val="21"/>
          <w:szCs w:val="21"/>
        </w:rPr>
      </w:pPr>
    </w:p>
    <w:p w14:paraId="541000B0" w14:textId="62EC5B4B" w:rsidR="007E2B6C" w:rsidRPr="007E2B6C" w:rsidRDefault="007E2B6C" w:rsidP="00780006">
      <w:pPr>
        <w:spacing w:after="0"/>
        <w:jc w:val="center"/>
        <w:rPr>
          <w:rFonts w:ascii="Cambria" w:hAnsi="Cambria" w:cs="Times New Roman"/>
          <w:sz w:val="21"/>
          <w:szCs w:val="21"/>
        </w:rPr>
      </w:pPr>
      <w:proofErr w:type="gramStart"/>
      <w:r w:rsidRPr="007E2B6C">
        <w:rPr>
          <w:rFonts w:ascii="Cambria" w:hAnsi="Cambria" w:cs="Times New Roman"/>
          <w:sz w:val="21"/>
          <w:szCs w:val="21"/>
        </w:rPr>
        <w:t>Table 2</w:t>
      </w:r>
      <w:r w:rsidR="00780006">
        <w:rPr>
          <w:rFonts w:ascii="Cambria" w:hAnsi="Cambria" w:cs="Times New Roman"/>
          <w:sz w:val="21"/>
          <w:szCs w:val="21"/>
        </w:rPr>
        <w:t>.</w:t>
      </w:r>
      <w:proofErr w:type="gramEnd"/>
      <w:r w:rsidR="00780006">
        <w:rPr>
          <w:rFonts w:ascii="Cambria" w:hAnsi="Cambria" w:cs="Times New Roman"/>
          <w:sz w:val="21"/>
          <w:szCs w:val="21"/>
        </w:rPr>
        <w:t xml:space="preserve"> </w:t>
      </w:r>
      <w:r w:rsidRPr="007E2B6C">
        <w:rPr>
          <w:rFonts w:ascii="Cambria" w:hAnsi="Cambria" w:cs="Times New Roman"/>
          <w:sz w:val="21"/>
          <w:szCs w:val="21"/>
        </w:rPr>
        <w:t xml:space="preserve">The </w:t>
      </w:r>
      <w:proofErr w:type="gramStart"/>
      <w:r w:rsidRPr="007E2B6C">
        <w:rPr>
          <w:rFonts w:ascii="Cambria" w:hAnsi="Cambria" w:cs="Times New Roman"/>
          <w:sz w:val="21"/>
          <w:szCs w:val="21"/>
        </w:rPr>
        <w:t xml:space="preserve">number of respondents of </w:t>
      </w:r>
      <w:r w:rsidRPr="007E2B6C">
        <w:rPr>
          <w:rFonts w:ascii="Cambria" w:hAnsi="Cambria" w:cs="Times New Roman"/>
          <w:i/>
          <w:iCs/>
          <w:sz w:val="21"/>
          <w:szCs w:val="21"/>
        </w:rPr>
        <w:t xml:space="preserve">negeri </w:t>
      </w:r>
      <w:r w:rsidRPr="007E2B6C">
        <w:rPr>
          <w:rFonts w:ascii="Cambria" w:hAnsi="Cambria" w:cs="Times New Roman"/>
          <w:sz w:val="21"/>
          <w:szCs w:val="21"/>
        </w:rPr>
        <w:t>population</w:t>
      </w:r>
      <w:r w:rsidRPr="007E2B6C">
        <w:rPr>
          <w:rFonts w:ascii="Cambria" w:hAnsi="Cambria" w:cs="Times New Roman"/>
          <w:i/>
          <w:iCs/>
          <w:sz w:val="21"/>
          <w:szCs w:val="21"/>
        </w:rPr>
        <w:t xml:space="preserve"> </w:t>
      </w:r>
      <w:r w:rsidRPr="007E2B6C">
        <w:rPr>
          <w:rFonts w:ascii="Cambria" w:hAnsi="Cambria" w:cs="Times New Roman"/>
          <w:sz w:val="21"/>
          <w:szCs w:val="21"/>
        </w:rPr>
        <w:t>of ecotourism object</w:t>
      </w:r>
      <w:proofErr w:type="gramEnd"/>
    </w:p>
    <w:tbl>
      <w:tblPr>
        <w:tblW w:w="3489" w:type="dxa"/>
        <w:jc w:val="center"/>
        <w:tblInd w:w="-476"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410"/>
        <w:gridCol w:w="1079"/>
      </w:tblGrid>
      <w:tr w:rsidR="007E2B6C" w:rsidRPr="007E2B6C" w14:paraId="61BD3A61" w14:textId="77777777" w:rsidTr="00780006">
        <w:trPr>
          <w:trHeight w:val="259"/>
          <w:jc w:val="center"/>
        </w:trPr>
        <w:tc>
          <w:tcPr>
            <w:tcW w:w="2410" w:type="dxa"/>
            <w:tcBorders>
              <w:top w:val="single" w:sz="4" w:space="0" w:color="auto"/>
              <w:bottom w:val="single" w:sz="4" w:space="0" w:color="000000"/>
            </w:tcBorders>
            <w:vAlign w:val="center"/>
          </w:tcPr>
          <w:p w14:paraId="04F73210" w14:textId="77777777" w:rsidR="007E2B6C" w:rsidRPr="007E2B6C" w:rsidRDefault="007E2B6C" w:rsidP="00194E23">
            <w:pPr>
              <w:spacing w:after="0"/>
              <w:rPr>
                <w:rFonts w:ascii="Cambria" w:hAnsi="Cambria" w:cs="Times New Roman"/>
                <w:sz w:val="21"/>
                <w:szCs w:val="21"/>
              </w:rPr>
            </w:pPr>
            <w:r w:rsidRPr="007E2B6C">
              <w:rPr>
                <w:rFonts w:ascii="Cambria" w:hAnsi="Cambria" w:cs="Times New Roman"/>
                <w:iCs/>
                <w:sz w:val="21"/>
                <w:szCs w:val="21"/>
              </w:rPr>
              <w:t>Negeri</w:t>
            </w:r>
            <w:r w:rsidRPr="007E2B6C">
              <w:rPr>
                <w:rFonts w:ascii="Cambria" w:hAnsi="Cambria" w:cs="Times New Roman"/>
                <w:sz w:val="21"/>
                <w:szCs w:val="21"/>
              </w:rPr>
              <w:t xml:space="preserve"> </w:t>
            </w:r>
          </w:p>
        </w:tc>
        <w:tc>
          <w:tcPr>
            <w:tcW w:w="1079" w:type="dxa"/>
            <w:tcBorders>
              <w:top w:val="single" w:sz="4" w:space="0" w:color="auto"/>
              <w:bottom w:val="single" w:sz="4" w:space="0" w:color="000000"/>
            </w:tcBorders>
            <w:vAlign w:val="center"/>
          </w:tcPr>
          <w:p w14:paraId="1A48464A"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Total</w:t>
            </w:r>
          </w:p>
        </w:tc>
      </w:tr>
      <w:tr w:rsidR="007E2B6C" w:rsidRPr="007E2B6C" w14:paraId="2FC7AADF" w14:textId="77777777" w:rsidTr="00194E23">
        <w:trPr>
          <w:trHeight w:val="176"/>
          <w:jc w:val="center"/>
        </w:trPr>
        <w:tc>
          <w:tcPr>
            <w:tcW w:w="2410" w:type="dxa"/>
            <w:tcBorders>
              <w:bottom w:val="nil"/>
            </w:tcBorders>
            <w:vAlign w:val="center"/>
          </w:tcPr>
          <w:p w14:paraId="33758F9A"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 xml:space="preserve">Amahusu </w:t>
            </w:r>
            <w:r w:rsidRPr="007E2B6C">
              <w:rPr>
                <w:rFonts w:ascii="Cambria" w:hAnsi="Cambria" w:cs="Times New Roman"/>
                <w:iCs/>
                <w:sz w:val="21"/>
                <w:szCs w:val="21"/>
              </w:rPr>
              <w:t>Negeri</w:t>
            </w:r>
          </w:p>
        </w:tc>
        <w:tc>
          <w:tcPr>
            <w:tcW w:w="1079" w:type="dxa"/>
            <w:tcBorders>
              <w:bottom w:val="nil"/>
            </w:tcBorders>
            <w:vAlign w:val="center"/>
          </w:tcPr>
          <w:p w14:paraId="4012E428"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10</w:t>
            </w:r>
          </w:p>
        </w:tc>
      </w:tr>
      <w:tr w:rsidR="007E2B6C" w:rsidRPr="007E2B6C" w14:paraId="08148D67" w14:textId="77777777" w:rsidTr="00194E23">
        <w:trPr>
          <w:trHeight w:val="60"/>
          <w:jc w:val="center"/>
        </w:trPr>
        <w:tc>
          <w:tcPr>
            <w:tcW w:w="2410" w:type="dxa"/>
            <w:tcBorders>
              <w:top w:val="nil"/>
              <w:bottom w:val="nil"/>
            </w:tcBorders>
            <w:vAlign w:val="center"/>
          </w:tcPr>
          <w:p w14:paraId="19F30CC6"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 xml:space="preserve">Nusaniwe </w:t>
            </w:r>
            <w:r w:rsidRPr="007E2B6C">
              <w:rPr>
                <w:rFonts w:ascii="Cambria" w:hAnsi="Cambria" w:cs="Times New Roman"/>
                <w:iCs/>
                <w:sz w:val="21"/>
                <w:szCs w:val="21"/>
              </w:rPr>
              <w:t>Negeri</w:t>
            </w:r>
          </w:p>
        </w:tc>
        <w:tc>
          <w:tcPr>
            <w:tcW w:w="1079" w:type="dxa"/>
            <w:tcBorders>
              <w:top w:val="nil"/>
              <w:bottom w:val="nil"/>
            </w:tcBorders>
            <w:vAlign w:val="center"/>
          </w:tcPr>
          <w:p w14:paraId="1C3DC0A7"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10</w:t>
            </w:r>
          </w:p>
        </w:tc>
      </w:tr>
      <w:tr w:rsidR="007E2B6C" w:rsidRPr="007E2B6C" w14:paraId="361C0A6F" w14:textId="77777777" w:rsidTr="00780006">
        <w:trPr>
          <w:trHeight w:val="71"/>
          <w:jc w:val="center"/>
        </w:trPr>
        <w:tc>
          <w:tcPr>
            <w:tcW w:w="2410" w:type="dxa"/>
            <w:tcBorders>
              <w:top w:val="nil"/>
              <w:bottom w:val="single" w:sz="4" w:space="0" w:color="auto"/>
            </w:tcBorders>
            <w:vAlign w:val="center"/>
          </w:tcPr>
          <w:p w14:paraId="17816DE1"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 xml:space="preserve">Latuhalat </w:t>
            </w:r>
            <w:r w:rsidRPr="007E2B6C">
              <w:rPr>
                <w:rFonts w:ascii="Cambria" w:hAnsi="Cambria" w:cs="Times New Roman"/>
                <w:iCs/>
                <w:sz w:val="21"/>
                <w:szCs w:val="21"/>
              </w:rPr>
              <w:t>Negeri</w:t>
            </w:r>
          </w:p>
        </w:tc>
        <w:tc>
          <w:tcPr>
            <w:tcW w:w="1079" w:type="dxa"/>
            <w:tcBorders>
              <w:top w:val="nil"/>
              <w:bottom w:val="single" w:sz="4" w:space="0" w:color="auto"/>
            </w:tcBorders>
            <w:vAlign w:val="center"/>
          </w:tcPr>
          <w:p w14:paraId="5B6112D3" w14:textId="77777777" w:rsidR="007E2B6C" w:rsidRPr="007E2B6C" w:rsidRDefault="007E2B6C" w:rsidP="00194E23">
            <w:pPr>
              <w:spacing w:after="0"/>
              <w:jc w:val="center"/>
              <w:rPr>
                <w:rFonts w:ascii="Cambria" w:hAnsi="Cambria" w:cs="Times New Roman"/>
                <w:sz w:val="21"/>
                <w:szCs w:val="21"/>
              </w:rPr>
            </w:pPr>
            <w:r w:rsidRPr="007E2B6C">
              <w:rPr>
                <w:rFonts w:ascii="Cambria" w:hAnsi="Cambria" w:cs="Times New Roman"/>
                <w:sz w:val="21"/>
                <w:szCs w:val="21"/>
              </w:rPr>
              <w:t>10</w:t>
            </w:r>
          </w:p>
        </w:tc>
      </w:tr>
    </w:tbl>
    <w:p w14:paraId="6CC91FBC"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7AD36036"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The data collected in this study were through observations and interviews with visitors/tourists. The essential tourist characteristics include Age, Gender, Education, Place of Residence, Purpose of Visit and motivation for a visit. The selection of tourists was made by </w:t>
      </w:r>
      <w:r w:rsidRPr="007E2B6C">
        <w:rPr>
          <w:rStyle w:val="Emphasis"/>
          <w:rFonts w:ascii="Cambria" w:hAnsi="Cambria"/>
          <w:color w:val="0E101A"/>
          <w:sz w:val="21"/>
          <w:szCs w:val="21"/>
        </w:rPr>
        <w:t>accidental sampling </w:t>
      </w:r>
      <w:r w:rsidRPr="007E2B6C">
        <w:rPr>
          <w:rFonts w:ascii="Cambria" w:hAnsi="Cambria"/>
          <w:color w:val="0E101A"/>
          <w:sz w:val="21"/>
          <w:szCs w:val="21"/>
        </w:rPr>
        <w:t>(respondents are personnel who happened to be met at that time). </w:t>
      </w:r>
    </w:p>
    <w:p w14:paraId="1A1EEDA2"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The data to estimate the equation is in the form of costs incurred during recreational trips, such as round trip costs, consumption costs, documentation costs, and other costs as a form of expenditure during recreational activities. </w:t>
      </w:r>
    </w:p>
    <w:p w14:paraId="2F8F16A0"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Data collection from the community was by using a questionnaire accompanied by interviews and field observations. The information required was:</w:t>
      </w:r>
    </w:p>
    <w:p w14:paraId="1F63C980" w14:textId="77777777" w:rsidR="007E2B6C" w:rsidRPr="007E2B6C" w:rsidRDefault="007E2B6C" w:rsidP="007E2B6C">
      <w:pPr>
        <w:pStyle w:val="NormalWeb"/>
        <w:numPr>
          <w:ilvl w:val="0"/>
          <w:numId w:val="25"/>
        </w:numPr>
        <w:spacing w:before="0" w:beforeAutospacing="0" w:after="0" w:afterAutospacing="0"/>
        <w:ind w:left="567"/>
        <w:jc w:val="both"/>
        <w:rPr>
          <w:rFonts w:ascii="Cambria" w:hAnsi="Cambria"/>
          <w:color w:val="0E101A"/>
          <w:sz w:val="21"/>
          <w:szCs w:val="21"/>
        </w:rPr>
      </w:pPr>
      <w:r w:rsidRPr="007E2B6C">
        <w:rPr>
          <w:rFonts w:ascii="Cambria" w:hAnsi="Cambria"/>
          <w:color w:val="0E101A"/>
          <w:sz w:val="21"/>
          <w:szCs w:val="21"/>
        </w:rPr>
        <w:t>Identity and characteristics of respondents, including; name, gender, age, last education, and regional origin.</w:t>
      </w:r>
    </w:p>
    <w:p w14:paraId="5235F104" w14:textId="77777777" w:rsidR="007E2B6C" w:rsidRPr="007E2B6C" w:rsidRDefault="007E2B6C" w:rsidP="007E2B6C">
      <w:pPr>
        <w:pStyle w:val="NormalWeb"/>
        <w:numPr>
          <w:ilvl w:val="0"/>
          <w:numId w:val="25"/>
        </w:numPr>
        <w:spacing w:before="0" w:beforeAutospacing="0" w:after="0" w:afterAutospacing="0"/>
        <w:ind w:left="567"/>
        <w:jc w:val="both"/>
        <w:rPr>
          <w:rFonts w:ascii="Cambria" w:hAnsi="Cambria"/>
          <w:color w:val="0E101A"/>
          <w:sz w:val="21"/>
          <w:szCs w:val="21"/>
        </w:rPr>
      </w:pPr>
      <w:r w:rsidRPr="007E2B6C">
        <w:rPr>
          <w:rFonts w:ascii="Cambria" w:hAnsi="Cambria"/>
          <w:color w:val="0E101A"/>
          <w:sz w:val="21"/>
          <w:szCs w:val="21"/>
        </w:rPr>
        <w:t>Community characteristics, </w:t>
      </w:r>
    </w:p>
    <w:p w14:paraId="7A6C0529" w14:textId="77777777" w:rsidR="007E2B6C" w:rsidRPr="007E2B6C" w:rsidRDefault="007E2B6C" w:rsidP="007E2B6C">
      <w:pPr>
        <w:pStyle w:val="NormalWeb"/>
        <w:numPr>
          <w:ilvl w:val="0"/>
          <w:numId w:val="25"/>
        </w:numPr>
        <w:spacing w:before="0" w:beforeAutospacing="0" w:after="0" w:afterAutospacing="0"/>
        <w:ind w:left="567"/>
        <w:jc w:val="both"/>
        <w:rPr>
          <w:rFonts w:ascii="Cambria" w:hAnsi="Cambria"/>
          <w:color w:val="0E101A"/>
          <w:sz w:val="21"/>
          <w:szCs w:val="21"/>
        </w:rPr>
      </w:pPr>
      <w:r w:rsidRPr="007E2B6C">
        <w:rPr>
          <w:rFonts w:ascii="Cambria" w:hAnsi="Cambria"/>
          <w:color w:val="0E101A"/>
          <w:sz w:val="21"/>
          <w:szCs w:val="21"/>
        </w:rPr>
        <w:t>Community relations with ecotourism areas.</w:t>
      </w:r>
    </w:p>
    <w:p w14:paraId="1D0EE684"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5FAE09BA"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Secondary data concerning the characteristics of tourism objects include:</w:t>
      </w:r>
    </w:p>
    <w:p w14:paraId="32B8121E" w14:textId="77777777" w:rsidR="007E2B6C" w:rsidRPr="007E2B6C" w:rsidRDefault="007E2B6C" w:rsidP="007E2B6C">
      <w:pPr>
        <w:pStyle w:val="NormalWeb"/>
        <w:numPr>
          <w:ilvl w:val="0"/>
          <w:numId w:val="26"/>
        </w:numPr>
        <w:spacing w:before="0" w:beforeAutospacing="0" w:after="0" w:afterAutospacing="0"/>
        <w:ind w:left="567"/>
        <w:jc w:val="both"/>
        <w:rPr>
          <w:rFonts w:ascii="Cambria" w:hAnsi="Cambria"/>
          <w:color w:val="0E101A"/>
          <w:sz w:val="21"/>
          <w:szCs w:val="21"/>
        </w:rPr>
      </w:pPr>
      <w:r w:rsidRPr="007E2B6C">
        <w:rPr>
          <w:rFonts w:ascii="Cambria" w:hAnsi="Cambria"/>
          <w:color w:val="0E101A"/>
          <w:sz w:val="21"/>
          <w:szCs w:val="21"/>
        </w:rPr>
        <w:t>Location</w:t>
      </w:r>
    </w:p>
    <w:p w14:paraId="5A9BD1CD" w14:textId="77777777" w:rsidR="007E2B6C" w:rsidRPr="007E2B6C" w:rsidRDefault="007E2B6C" w:rsidP="007E2B6C">
      <w:pPr>
        <w:pStyle w:val="NormalWeb"/>
        <w:numPr>
          <w:ilvl w:val="0"/>
          <w:numId w:val="26"/>
        </w:numPr>
        <w:spacing w:before="0" w:beforeAutospacing="0" w:after="0" w:afterAutospacing="0"/>
        <w:ind w:left="567"/>
        <w:jc w:val="both"/>
        <w:rPr>
          <w:rFonts w:ascii="Cambria" w:hAnsi="Cambria"/>
          <w:color w:val="0E101A"/>
          <w:sz w:val="21"/>
          <w:szCs w:val="21"/>
        </w:rPr>
      </w:pPr>
      <w:r w:rsidRPr="007E2B6C">
        <w:rPr>
          <w:rFonts w:ascii="Cambria" w:hAnsi="Cambria"/>
          <w:color w:val="0E101A"/>
          <w:sz w:val="21"/>
          <w:szCs w:val="21"/>
        </w:rPr>
        <w:t xml:space="preserve">The area of </w:t>
      </w:r>
      <w:r w:rsidRPr="007E2B6C">
        <w:rPr>
          <w:rFonts w:ascii="Cambria" w:hAnsi="Cambria" w:cs="Arial"/>
          <w:color w:val="0E101A"/>
          <w:sz w:val="21"/>
          <w:szCs w:val="21"/>
        </w:rPr>
        <w:t>​​​​</w:t>
      </w:r>
      <w:r w:rsidRPr="007E2B6C">
        <w:rPr>
          <w:rFonts w:ascii="Cambria" w:hAnsi="Cambria"/>
          <w:color w:val="0E101A"/>
          <w:sz w:val="21"/>
          <w:szCs w:val="21"/>
        </w:rPr>
        <w:t>a tourist attraction</w:t>
      </w:r>
    </w:p>
    <w:p w14:paraId="26CC9B90" w14:textId="77777777" w:rsidR="007E2B6C" w:rsidRPr="007E2B6C" w:rsidRDefault="007E2B6C" w:rsidP="007E2B6C">
      <w:pPr>
        <w:pStyle w:val="NormalWeb"/>
        <w:numPr>
          <w:ilvl w:val="0"/>
          <w:numId w:val="26"/>
        </w:numPr>
        <w:spacing w:before="0" w:beforeAutospacing="0" w:after="0" w:afterAutospacing="0"/>
        <w:ind w:left="567"/>
        <w:jc w:val="both"/>
        <w:rPr>
          <w:rFonts w:ascii="Cambria" w:hAnsi="Cambria"/>
          <w:color w:val="0E101A"/>
          <w:sz w:val="21"/>
          <w:szCs w:val="21"/>
        </w:rPr>
      </w:pPr>
      <w:r w:rsidRPr="007E2B6C">
        <w:rPr>
          <w:rFonts w:ascii="Cambria" w:hAnsi="Cambria"/>
          <w:color w:val="0E101A"/>
          <w:sz w:val="21"/>
          <w:szCs w:val="21"/>
        </w:rPr>
        <w:t>Tourism potential</w:t>
      </w:r>
    </w:p>
    <w:p w14:paraId="1278A0FB" w14:textId="77777777" w:rsidR="007E2B6C" w:rsidRPr="007E2B6C" w:rsidRDefault="007E2B6C" w:rsidP="007E2B6C">
      <w:pPr>
        <w:pStyle w:val="NormalWeb"/>
        <w:numPr>
          <w:ilvl w:val="0"/>
          <w:numId w:val="26"/>
        </w:numPr>
        <w:spacing w:before="0" w:beforeAutospacing="0" w:after="0" w:afterAutospacing="0"/>
        <w:ind w:left="567"/>
        <w:jc w:val="both"/>
        <w:rPr>
          <w:rFonts w:ascii="Cambria" w:hAnsi="Cambria"/>
          <w:color w:val="0E101A"/>
          <w:sz w:val="21"/>
          <w:szCs w:val="21"/>
        </w:rPr>
      </w:pPr>
      <w:r w:rsidRPr="007E2B6C">
        <w:rPr>
          <w:rFonts w:ascii="Cambria" w:hAnsi="Cambria"/>
          <w:color w:val="0E101A"/>
          <w:sz w:val="21"/>
          <w:szCs w:val="21"/>
        </w:rPr>
        <w:t>Accessibility of tourism</w:t>
      </w:r>
    </w:p>
    <w:p w14:paraId="38C48378" w14:textId="77777777" w:rsidR="007E2B6C" w:rsidRPr="007E2B6C" w:rsidRDefault="007E2B6C" w:rsidP="007E2B6C">
      <w:pPr>
        <w:pStyle w:val="NormalWeb"/>
        <w:numPr>
          <w:ilvl w:val="0"/>
          <w:numId w:val="26"/>
        </w:numPr>
        <w:spacing w:before="0" w:beforeAutospacing="0" w:after="0" w:afterAutospacing="0"/>
        <w:ind w:left="567"/>
        <w:jc w:val="both"/>
        <w:rPr>
          <w:rFonts w:ascii="Cambria" w:hAnsi="Cambria"/>
          <w:color w:val="0E101A"/>
          <w:sz w:val="21"/>
          <w:szCs w:val="21"/>
        </w:rPr>
      </w:pPr>
      <w:r w:rsidRPr="007E2B6C">
        <w:rPr>
          <w:rFonts w:ascii="Cambria" w:hAnsi="Cambria"/>
          <w:color w:val="0E101A"/>
          <w:sz w:val="21"/>
          <w:szCs w:val="21"/>
        </w:rPr>
        <w:t>Recreational facilities.</w:t>
      </w:r>
    </w:p>
    <w:p w14:paraId="65F4549B" w14:textId="77777777" w:rsidR="007E2B6C" w:rsidRPr="007E2B6C" w:rsidRDefault="007E2B6C" w:rsidP="007E2B6C">
      <w:pPr>
        <w:pStyle w:val="NormalWeb"/>
        <w:numPr>
          <w:ilvl w:val="0"/>
          <w:numId w:val="26"/>
        </w:numPr>
        <w:spacing w:before="0" w:beforeAutospacing="0" w:after="0" w:afterAutospacing="0"/>
        <w:ind w:left="567"/>
        <w:jc w:val="both"/>
        <w:rPr>
          <w:rFonts w:ascii="Cambria" w:hAnsi="Cambria"/>
          <w:color w:val="0E101A"/>
          <w:sz w:val="21"/>
          <w:szCs w:val="21"/>
        </w:rPr>
      </w:pPr>
      <w:r w:rsidRPr="007E2B6C">
        <w:rPr>
          <w:rFonts w:ascii="Cambria" w:hAnsi="Cambria"/>
          <w:color w:val="0E101A"/>
          <w:sz w:val="21"/>
          <w:szCs w:val="21"/>
        </w:rPr>
        <w:t>Number of the population around tourism objects.</w:t>
      </w:r>
    </w:p>
    <w:p w14:paraId="695E991F" w14:textId="77777777" w:rsidR="007E2B6C" w:rsidRPr="007E2B6C" w:rsidRDefault="007E2B6C" w:rsidP="007E2B6C">
      <w:pPr>
        <w:pStyle w:val="NormalWeb"/>
        <w:numPr>
          <w:ilvl w:val="0"/>
          <w:numId w:val="26"/>
        </w:numPr>
        <w:spacing w:before="0" w:beforeAutospacing="0" w:after="0" w:afterAutospacing="0"/>
        <w:ind w:left="567"/>
        <w:jc w:val="both"/>
        <w:rPr>
          <w:rFonts w:ascii="Cambria" w:hAnsi="Cambria"/>
          <w:color w:val="0E101A"/>
          <w:sz w:val="21"/>
          <w:szCs w:val="21"/>
        </w:rPr>
      </w:pPr>
      <w:r w:rsidRPr="007E2B6C">
        <w:rPr>
          <w:rFonts w:ascii="Cambria" w:hAnsi="Cambria"/>
          <w:color w:val="0E101A"/>
          <w:sz w:val="21"/>
          <w:szCs w:val="21"/>
        </w:rPr>
        <w:t>The amount of income that goes to the manager</w:t>
      </w:r>
    </w:p>
    <w:p w14:paraId="6D2519CB"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Calculation of the economic value of tourism objects used the </w:t>
      </w:r>
      <w:r w:rsidRPr="007E2B6C">
        <w:rPr>
          <w:rStyle w:val="Emphasis"/>
          <w:rFonts w:ascii="Cambria" w:hAnsi="Cambria"/>
          <w:color w:val="0E101A"/>
          <w:sz w:val="21"/>
          <w:szCs w:val="21"/>
        </w:rPr>
        <w:t>Travel Cost Method (TCM</w:t>
      </w:r>
      <w:r w:rsidRPr="007E2B6C">
        <w:rPr>
          <w:rFonts w:ascii="Cambria" w:hAnsi="Cambria"/>
          <w:color w:val="0E101A"/>
          <w:sz w:val="21"/>
          <w:szCs w:val="21"/>
        </w:rPr>
        <w:t>). The approach begins by calculating the number of travel costs for ecotourism actors. The travel costs used include transportation costs, consumption costs, and buying entrance tickets (if any). There are some stages of determining the economic value of nature tourism.</w:t>
      </w:r>
    </w:p>
    <w:p w14:paraId="435B714A" w14:textId="77777777" w:rsidR="007E2B6C" w:rsidRPr="007E2B6C" w:rsidRDefault="007E2B6C" w:rsidP="007E2B6C">
      <w:pPr>
        <w:pStyle w:val="NormalWeb"/>
        <w:numPr>
          <w:ilvl w:val="0"/>
          <w:numId w:val="23"/>
        </w:numPr>
        <w:spacing w:before="0" w:beforeAutospacing="0" w:after="0" w:afterAutospacing="0"/>
        <w:ind w:left="284" w:hanging="284"/>
        <w:jc w:val="both"/>
        <w:rPr>
          <w:rFonts w:ascii="Cambria" w:hAnsi="Cambria"/>
          <w:color w:val="0E101A"/>
          <w:sz w:val="21"/>
          <w:szCs w:val="21"/>
        </w:rPr>
      </w:pPr>
      <w:r w:rsidRPr="007E2B6C">
        <w:rPr>
          <w:rFonts w:ascii="Cambria" w:hAnsi="Cambria"/>
          <w:color w:val="0E101A"/>
          <w:sz w:val="21"/>
          <w:szCs w:val="21"/>
        </w:rPr>
        <w:t>Estimating the number of visitors from each region of origin (zone), based on interviews with visitors</w:t>
      </w:r>
    </w:p>
    <w:p w14:paraId="2615F6FB" w14:textId="6B2F6C76" w:rsidR="007E2B6C" w:rsidRPr="007E2B6C" w:rsidRDefault="007E2B6C" w:rsidP="007E2B6C">
      <w:pPr>
        <w:jc w:val="center"/>
        <w:rPr>
          <w:rFonts w:ascii="Cambria" w:eastAsia="Cambria Math" w:hAnsi="Cambria" w:cs="Cambria Math"/>
          <w:sz w:val="21"/>
          <w:szCs w:val="21"/>
        </w:rPr>
      </w:pPr>
      <m:oMathPara>
        <m:oMath>
          <m:r>
            <w:rPr>
              <w:rFonts w:ascii="Cambria Math" w:eastAsia="Cambria Math" w:hAnsi="Cambria Math" w:cs="Cambria Math"/>
              <w:sz w:val="21"/>
              <w:szCs w:val="21"/>
            </w:rPr>
            <w:lastRenderedPageBreak/>
            <m:t>Pi =</m:t>
          </m:r>
          <m:f>
            <m:fPr>
              <m:ctrlPr>
                <w:rPr>
                  <w:rFonts w:ascii="Cambria Math" w:eastAsia="Cambria Math" w:hAnsi="Cambria Math" w:cs="Cambria Math"/>
                  <w:sz w:val="21"/>
                  <w:szCs w:val="21"/>
                </w:rPr>
              </m:ctrlPr>
            </m:fPr>
            <m:num>
              <m:r>
                <w:rPr>
                  <w:rFonts w:ascii="Cambria Math" w:eastAsia="Cambria Math" w:hAnsi="Cambria Math" w:cs="Cambria Math"/>
                  <w:sz w:val="21"/>
                  <w:szCs w:val="21"/>
                </w:rPr>
                <m:t>Zi</m:t>
              </m:r>
            </m:num>
            <m:den>
              <m:r>
                <w:rPr>
                  <w:rFonts w:ascii="Cambria Math" w:eastAsia="Cambria Math" w:hAnsi="Cambria Math" w:cs="Cambria Math"/>
                  <w:sz w:val="21"/>
                  <w:szCs w:val="21"/>
                </w:rPr>
                <m:t>ΣYi</m:t>
              </m:r>
            </m:den>
          </m:f>
        </m:oMath>
      </m:oMathPara>
    </w:p>
    <w:p w14:paraId="33B0BF85" w14:textId="77777777" w:rsidR="007E2B6C" w:rsidRPr="007E2B6C" w:rsidRDefault="007E2B6C" w:rsidP="007E2B6C">
      <w:pPr>
        <w:pBdr>
          <w:top w:val="nil"/>
          <w:left w:val="nil"/>
          <w:bottom w:val="nil"/>
          <w:right w:val="nil"/>
          <w:between w:val="nil"/>
        </w:pBdr>
        <w:tabs>
          <w:tab w:val="left" w:pos="1418"/>
        </w:tabs>
        <w:spacing w:after="0" w:line="240" w:lineRule="auto"/>
        <w:ind w:left="993" w:hanging="283"/>
        <w:jc w:val="both"/>
        <w:rPr>
          <w:rFonts w:ascii="Cambria" w:hAnsi="Cambria" w:cs="Times New Roman"/>
          <w:color w:val="000000"/>
          <w:sz w:val="21"/>
          <w:szCs w:val="21"/>
        </w:rPr>
      </w:pPr>
      <w:proofErr w:type="gramStart"/>
      <w:r w:rsidRPr="007E2B6C">
        <w:rPr>
          <w:rFonts w:ascii="Cambria" w:hAnsi="Cambria" w:cs="Times New Roman"/>
          <w:color w:val="000000"/>
          <w:sz w:val="21"/>
          <w:szCs w:val="21"/>
        </w:rPr>
        <w:t>Where :</w:t>
      </w:r>
      <w:proofErr w:type="gramEnd"/>
    </w:p>
    <w:p w14:paraId="1EB01DF8" w14:textId="77777777" w:rsidR="007E2B6C" w:rsidRPr="007E2B6C" w:rsidRDefault="007E2B6C" w:rsidP="007E2B6C">
      <w:pPr>
        <w:pBdr>
          <w:top w:val="nil"/>
          <w:left w:val="nil"/>
          <w:bottom w:val="nil"/>
          <w:right w:val="nil"/>
          <w:between w:val="nil"/>
        </w:pBdr>
        <w:tabs>
          <w:tab w:val="left" w:pos="1418"/>
        </w:tabs>
        <w:spacing w:after="0" w:line="240" w:lineRule="auto"/>
        <w:ind w:left="993" w:hanging="283"/>
        <w:jc w:val="both"/>
        <w:rPr>
          <w:rFonts w:ascii="Cambria" w:hAnsi="Cambria" w:cs="Times New Roman"/>
          <w:color w:val="000000"/>
          <w:sz w:val="21"/>
          <w:szCs w:val="21"/>
        </w:rPr>
      </w:pPr>
      <w:r w:rsidRPr="007E2B6C">
        <w:rPr>
          <w:rFonts w:ascii="Cambria" w:hAnsi="Cambria" w:cs="Times New Roman"/>
          <w:i/>
          <w:color w:val="000000"/>
          <w:sz w:val="21"/>
          <w:szCs w:val="21"/>
        </w:rPr>
        <w:t>Pi</w:t>
      </w:r>
      <w:r w:rsidRPr="007E2B6C">
        <w:rPr>
          <w:rFonts w:ascii="Cambria" w:hAnsi="Cambria" w:cs="Times New Roman"/>
          <w:color w:val="000000"/>
          <w:sz w:val="21"/>
          <w:szCs w:val="21"/>
        </w:rPr>
        <w:tab/>
      </w:r>
      <w:r w:rsidRPr="007E2B6C">
        <w:rPr>
          <w:rFonts w:ascii="Cambria" w:hAnsi="Cambria" w:cs="Times New Roman"/>
          <w:color w:val="000000"/>
          <w:sz w:val="21"/>
          <w:szCs w:val="21"/>
        </w:rPr>
        <w:tab/>
        <w:t>= Percentage of visitors from zone i</w:t>
      </w:r>
    </w:p>
    <w:p w14:paraId="657A85F6" w14:textId="77777777" w:rsidR="007E2B6C" w:rsidRPr="007E2B6C" w:rsidRDefault="007E2B6C" w:rsidP="007E2B6C">
      <w:pPr>
        <w:pBdr>
          <w:top w:val="nil"/>
          <w:left w:val="nil"/>
          <w:bottom w:val="nil"/>
          <w:right w:val="nil"/>
          <w:between w:val="nil"/>
        </w:pBdr>
        <w:tabs>
          <w:tab w:val="left" w:pos="1418"/>
        </w:tabs>
        <w:spacing w:after="0" w:line="240" w:lineRule="auto"/>
        <w:ind w:left="993" w:hanging="283"/>
        <w:jc w:val="both"/>
        <w:rPr>
          <w:rFonts w:ascii="Cambria" w:hAnsi="Cambria" w:cs="Times New Roman"/>
          <w:color w:val="000000"/>
          <w:sz w:val="21"/>
          <w:szCs w:val="21"/>
        </w:rPr>
      </w:pPr>
      <w:r w:rsidRPr="007E2B6C">
        <w:rPr>
          <w:rFonts w:ascii="Cambria" w:hAnsi="Cambria" w:cs="Times New Roman"/>
          <w:i/>
          <w:color w:val="000000"/>
          <w:sz w:val="21"/>
          <w:szCs w:val="21"/>
        </w:rPr>
        <w:t>Zi</w:t>
      </w:r>
      <w:r w:rsidRPr="007E2B6C">
        <w:rPr>
          <w:rFonts w:ascii="Cambria" w:hAnsi="Cambria" w:cs="Times New Roman"/>
          <w:i/>
          <w:color w:val="000000"/>
          <w:sz w:val="21"/>
          <w:szCs w:val="21"/>
        </w:rPr>
        <w:tab/>
      </w:r>
      <w:r w:rsidRPr="007E2B6C">
        <w:rPr>
          <w:rFonts w:ascii="Cambria" w:hAnsi="Cambria" w:cs="Times New Roman"/>
          <w:i/>
          <w:color w:val="000000"/>
          <w:sz w:val="21"/>
          <w:szCs w:val="21"/>
        </w:rPr>
        <w:tab/>
      </w:r>
      <w:r w:rsidRPr="007E2B6C">
        <w:rPr>
          <w:rFonts w:ascii="Cambria" w:hAnsi="Cambria" w:cs="Times New Roman"/>
          <w:color w:val="000000"/>
          <w:sz w:val="21"/>
          <w:szCs w:val="21"/>
        </w:rPr>
        <w:t>= Number of visitors from zone i</w:t>
      </w:r>
    </w:p>
    <w:p w14:paraId="28722A86" w14:textId="16E20EEF" w:rsidR="007E2B6C" w:rsidRPr="007E2B6C" w:rsidRDefault="007E2B6C" w:rsidP="007E2B6C">
      <w:pPr>
        <w:pBdr>
          <w:top w:val="nil"/>
          <w:left w:val="nil"/>
          <w:bottom w:val="nil"/>
          <w:right w:val="nil"/>
          <w:between w:val="nil"/>
        </w:pBdr>
        <w:tabs>
          <w:tab w:val="left" w:pos="1418"/>
        </w:tabs>
        <w:spacing w:after="0" w:line="240" w:lineRule="auto"/>
        <w:ind w:left="993" w:hanging="283"/>
        <w:jc w:val="both"/>
        <w:rPr>
          <w:rFonts w:ascii="Cambria" w:hAnsi="Cambria" w:cs="Times New Roman"/>
          <w:color w:val="000000"/>
          <w:sz w:val="21"/>
          <w:szCs w:val="21"/>
        </w:rPr>
      </w:pPr>
      <m:oMath>
        <m:r>
          <w:rPr>
            <w:rFonts w:ascii="Cambria Math" w:hAnsi="Cambria Math"/>
            <w:sz w:val="21"/>
            <w:szCs w:val="21"/>
          </w:rPr>
          <m:t>Σ</m:t>
        </m:r>
        <m:r>
          <w:rPr>
            <w:rFonts w:ascii="Cambria Math" w:eastAsia="Cambria Math" w:hAnsi="Cambria Math" w:cs="Cambria Math"/>
            <w:color w:val="000000"/>
            <w:sz w:val="21"/>
            <w:szCs w:val="21"/>
          </w:rPr>
          <m:t>/Yi</m:t>
        </m:r>
      </m:oMath>
      <w:r w:rsidRPr="007E2B6C">
        <w:rPr>
          <w:rFonts w:ascii="Cambria" w:hAnsi="Cambria" w:cs="Times New Roman"/>
          <w:color w:val="000000"/>
          <w:sz w:val="21"/>
          <w:szCs w:val="21"/>
        </w:rPr>
        <w:tab/>
        <w:t>= Total number of visits in year i</w:t>
      </w:r>
    </w:p>
    <w:p w14:paraId="3ED62FB2" w14:textId="77777777" w:rsidR="007E2B6C" w:rsidRPr="007E2B6C" w:rsidRDefault="007E2B6C" w:rsidP="007E2B6C">
      <w:pPr>
        <w:numPr>
          <w:ilvl w:val="0"/>
          <w:numId w:val="23"/>
        </w:numPr>
        <w:pBdr>
          <w:top w:val="nil"/>
          <w:left w:val="nil"/>
          <w:bottom w:val="nil"/>
          <w:right w:val="nil"/>
          <w:between w:val="nil"/>
        </w:pBdr>
        <w:tabs>
          <w:tab w:val="left" w:pos="709"/>
        </w:tabs>
        <w:spacing w:after="0" w:line="240" w:lineRule="auto"/>
        <w:ind w:left="284" w:hanging="284"/>
        <w:jc w:val="both"/>
        <w:rPr>
          <w:rFonts w:ascii="Cambria" w:hAnsi="Cambria" w:cs="Times New Roman"/>
          <w:color w:val="000000"/>
          <w:sz w:val="21"/>
          <w:szCs w:val="21"/>
        </w:rPr>
      </w:pPr>
      <w:r w:rsidRPr="007E2B6C">
        <w:rPr>
          <w:rFonts w:ascii="Cambria" w:hAnsi="Cambria" w:cs="Times New Roman"/>
          <w:color w:val="000000"/>
          <w:sz w:val="21"/>
          <w:szCs w:val="21"/>
        </w:rPr>
        <w:t>Calculating the average travel cost, is the total amount of travel costs incurred during the visit :</w:t>
      </w:r>
    </w:p>
    <w:p w14:paraId="39F09169" w14:textId="77777777" w:rsidR="007E2B6C" w:rsidRPr="007E2B6C" w:rsidRDefault="007E2B6C" w:rsidP="007E2B6C">
      <w:pPr>
        <w:pBdr>
          <w:top w:val="nil"/>
          <w:left w:val="nil"/>
          <w:bottom w:val="nil"/>
          <w:right w:val="nil"/>
          <w:between w:val="nil"/>
        </w:pBdr>
        <w:tabs>
          <w:tab w:val="left" w:pos="709"/>
        </w:tabs>
        <w:spacing w:after="0" w:line="240" w:lineRule="auto"/>
        <w:ind w:left="284" w:hanging="284"/>
        <w:jc w:val="center"/>
        <w:rPr>
          <w:rFonts w:ascii="Cambria" w:hAnsi="Cambria" w:cs="Times New Roman"/>
          <w:i/>
          <w:color w:val="000000"/>
          <w:sz w:val="21"/>
          <w:szCs w:val="21"/>
        </w:rPr>
      </w:pPr>
      <w:r w:rsidRPr="007E2B6C">
        <w:rPr>
          <w:rFonts w:ascii="Cambria" w:hAnsi="Cambria" w:cs="Times New Roman"/>
          <w:i/>
          <w:color w:val="000000"/>
          <w:sz w:val="21"/>
          <w:szCs w:val="21"/>
        </w:rPr>
        <w:t>BPR = TR + D + KR + L</w:t>
      </w:r>
    </w:p>
    <w:p w14:paraId="5D074980" w14:textId="77777777"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w:proofErr w:type="gramStart"/>
      <w:r w:rsidRPr="007E2B6C">
        <w:rPr>
          <w:rFonts w:ascii="Cambria" w:hAnsi="Cambria" w:cs="Times New Roman"/>
          <w:color w:val="000000"/>
          <w:sz w:val="21"/>
          <w:szCs w:val="21"/>
        </w:rPr>
        <w:t>Where :</w:t>
      </w:r>
      <w:proofErr w:type="gramEnd"/>
    </w:p>
    <w:p w14:paraId="7B9BA3F7" w14:textId="77777777" w:rsidR="007E2B6C" w:rsidRPr="007E2B6C" w:rsidRDefault="007E2B6C" w:rsidP="007E2B6C">
      <w:pPr>
        <w:pBdr>
          <w:top w:val="nil"/>
          <w:left w:val="nil"/>
          <w:bottom w:val="nil"/>
          <w:right w:val="nil"/>
          <w:between w:val="nil"/>
        </w:pBdr>
        <w:tabs>
          <w:tab w:val="left" w:pos="1418"/>
        </w:tabs>
        <w:spacing w:after="0" w:line="240" w:lineRule="auto"/>
        <w:ind w:left="1134" w:hanging="284"/>
        <w:rPr>
          <w:rFonts w:ascii="Cambria" w:hAnsi="Cambria" w:cs="Times New Roman"/>
          <w:color w:val="000000"/>
          <w:sz w:val="21"/>
          <w:szCs w:val="21"/>
        </w:rPr>
      </w:pPr>
      <w:r w:rsidRPr="007E2B6C">
        <w:rPr>
          <w:rFonts w:ascii="Cambria" w:hAnsi="Cambria" w:cs="Times New Roman"/>
          <w:color w:val="000000"/>
          <w:sz w:val="21"/>
          <w:szCs w:val="21"/>
        </w:rPr>
        <w:t>BPR</w:t>
      </w:r>
      <w:r w:rsidRPr="007E2B6C">
        <w:rPr>
          <w:rFonts w:ascii="Cambria" w:hAnsi="Cambria" w:cs="Times New Roman"/>
          <w:color w:val="000000"/>
          <w:sz w:val="21"/>
          <w:szCs w:val="21"/>
        </w:rPr>
        <w:tab/>
        <w:t>= Average Travel Cost (Rp/person/day)</w:t>
      </w:r>
    </w:p>
    <w:p w14:paraId="1CEE2D39" w14:textId="77777777"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w:r w:rsidRPr="007E2B6C">
        <w:rPr>
          <w:rFonts w:ascii="Cambria" w:hAnsi="Cambria" w:cs="Times New Roman"/>
          <w:color w:val="000000"/>
          <w:sz w:val="21"/>
          <w:szCs w:val="21"/>
        </w:rPr>
        <w:t>TR</w:t>
      </w:r>
      <w:r w:rsidRPr="007E2B6C">
        <w:rPr>
          <w:rFonts w:ascii="Cambria" w:hAnsi="Cambria" w:cs="Times New Roman"/>
          <w:color w:val="000000"/>
          <w:sz w:val="21"/>
          <w:szCs w:val="21"/>
        </w:rPr>
        <w:tab/>
      </w:r>
      <w:r w:rsidRPr="007E2B6C">
        <w:rPr>
          <w:rFonts w:ascii="Cambria" w:hAnsi="Cambria" w:cs="Times New Roman"/>
          <w:color w:val="000000"/>
          <w:sz w:val="21"/>
          <w:szCs w:val="21"/>
        </w:rPr>
        <w:tab/>
        <w:t>= Transportation Cost (Rp/person)</w:t>
      </w:r>
    </w:p>
    <w:p w14:paraId="7849AC29" w14:textId="77777777"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w:r w:rsidRPr="007E2B6C">
        <w:rPr>
          <w:rFonts w:ascii="Cambria" w:hAnsi="Cambria" w:cs="Times New Roman"/>
          <w:color w:val="000000"/>
          <w:sz w:val="21"/>
          <w:szCs w:val="21"/>
        </w:rPr>
        <w:t>D</w:t>
      </w:r>
      <w:r w:rsidRPr="007E2B6C">
        <w:rPr>
          <w:rFonts w:ascii="Cambria" w:hAnsi="Cambria" w:cs="Times New Roman"/>
          <w:color w:val="000000"/>
          <w:sz w:val="21"/>
          <w:szCs w:val="21"/>
        </w:rPr>
        <w:tab/>
      </w:r>
      <w:r w:rsidRPr="007E2B6C">
        <w:rPr>
          <w:rFonts w:ascii="Cambria" w:hAnsi="Cambria" w:cs="Times New Roman"/>
          <w:color w:val="000000"/>
          <w:sz w:val="21"/>
          <w:szCs w:val="21"/>
        </w:rPr>
        <w:tab/>
        <w:t>= Documentation Cost (Rp)</w:t>
      </w:r>
    </w:p>
    <w:p w14:paraId="3D5E9389" w14:textId="77777777"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w:r w:rsidRPr="007E2B6C">
        <w:rPr>
          <w:rFonts w:ascii="Cambria" w:hAnsi="Cambria" w:cs="Times New Roman"/>
          <w:color w:val="000000"/>
          <w:sz w:val="21"/>
          <w:szCs w:val="21"/>
        </w:rPr>
        <w:t>KR</w:t>
      </w:r>
      <w:r w:rsidRPr="007E2B6C">
        <w:rPr>
          <w:rFonts w:ascii="Cambria" w:hAnsi="Cambria" w:cs="Times New Roman"/>
          <w:color w:val="000000"/>
          <w:sz w:val="21"/>
          <w:szCs w:val="21"/>
        </w:rPr>
        <w:tab/>
        <w:t xml:space="preserve">= Consumption Cost </w:t>
      </w:r>
      <w:proofErr w:type="gramStart"/>
      <w:r w:rsidRPr="007E2B6C">
        <w:rPr>
          <w:rFonts w:ascii="Cambria" w:hAnsi="Cambria" w:cs="Times New Roman"/>
          <w:color w:val="000000"/>
          <w:sz w:val="21"/>
          <w:szCs w:val="21"/>
        </w:rPr>
        <w:t>During</w:t>
      </w:r>
      <w:proofErr w:type="gramEnd"/>
      <w:r w:rsidRPr="007E2B6C">
        <w:rPr>
          <w:rFonts w:ascii="Cambria" w:hAnsi="Cambria" w:cs="Times New Roman"/>
          <w:color w:val="000000"/>
          <w:sz w:val="21"/>
          <w:szCs w:val="21"/>
        </w:rPr>
        <w:t xml:space="preserve"> Recreation (Rp/person/day)</w:t>
      </w:r>
    </w:p>
    <w:p w14:paraId="704EC529" w14:textId="77777777"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w:r w:rsidRPr="007E2B6C">
        <w:rPr>
          <w:rFonts w:ascii="Cambria" w:hAnsi="Cambria" w:cs="Times New Roman"/>
          <w:color w:val="000000"/>
          <w:sz w:val="21"/>
          <w:szCs w:val="21"/>
        </w:rPr>
        <w:t>L</w:t>
      </w:r>
      <w:r w:rsidRPr="007E2B6C">
        <w:rPr>
          <w:rFonts w:ascii="Cambria" w:hAnsi="Cambria" w:cs="Times New Roman"/>
          <w:color w:val="000000"/>
          <w:sz w:val="21"/>
          <w:szCs w:val="21"/>
        </w:rPr>
        <w:tab/>
      </w:r>
      <w:r w:rsidRPr="007E2B6C">
        <w:rPr>
          <w:rFonts w:ascii="Cambria" w:hAnsi="Cambria" w:cs="Times New Roman"/>
          <w:color w:val="000000"/>
          <w:sz w:val="21"/>
          <w:szCs w:val="21"/>
        </w:rPr>
        <w:tab/>
        <w:t>= Other</w:t>
      </w:r>
    </w:p>
    <w:p w14:paraId="18EEA04C" w14:textId="77777777" w:rsidR="007E2B6C" w:rsidRPr="007E2B6C" w:rsidRDefault="007E2B6C" w:rsidP="007E2B6C">
      <w:pPr>
        <w:numPr>
          <w:ilvl w:val="0"/>
          <w:numId w:val="23"/>
        </w:numPr>
        <w:pBdr>
          <w:top w:val="nil"/>
          <w:left w:val="nil"/>
          <w:bottom w:val="nil"/>
          <w:right w:val="nil"/>
          <w:between w:val="nil"/>
        </w:pBdr>
        <w:tabs>
          <w:tab w:val="left" w:pos="709"/>
        </w:tabs>
        <w:spacing w:after="0" w:line="240" w:lineRule="auto"/>
        <w:ind w:left="284" w:hanging="284"/>
        <w:jc w:val="both"/>
        <w:rPr>
          <w:rFonts w:ascii="Cambria" w:hAnsi="Cambria" w:cs="Times New Roman"/>
          <w:color w:val="000000"/>
          <w:sz w:val="21"/>
          <w:szCs w:val="21"/>
        </w:rPr>
      </w:pPr>
      <w:r w:rsidRPr="007E2B6C">
        <w:rPr>
          <w:rFonts w:ascii="Cambria" w:hAnsi="Cambria" w:cs="Times New Roman"/>
          <w:color w:val="000000"/>
          <w:sz w:val="21"/>
          <w:szCs w:val="21"/>
        </w:rPr>
        <w:t>Average travel costs of each zone.</w:t>
      </w:r>
    </w:p>
    <w:p w14:paraId="15883464" w14:textId="3555FF8A" w:rsidR="007E2B6C" w:rsidRPr="007E2B6C" w:rsidRDefault="007E2B6C" w:rsidP="007E2B6C">
      <w:pPr>
        <w:pBdr>
          <w:top w:val="nil"/>
          <w:left w:val="nil"/>
          <w:bottom w:val="nil"/>
          <w:right w:val="nil"/>
          <w:between w:val="nil"/>
        </w:pBdr>
        <w:tabs>
          <w:tab w:val="left" w:pos="709"/>
        </w:tabs>
        <w:spacing w:after="0" w:line="240" w:lineRule="auto"/>
        <w:ind w:left="284" w:hanging="284"/>
        <w:jc w:val="center"/>
        <w:rPr>
          <w:rFonts w:ascii="Cambria" w:hAnsi="Cambria" w:cs="Times New Roman"/>
          <w:i/>
          <w:color w:val="000000"/>
          <w:sz w:val="21"/>
          <w:szCs w:val="21"/>
        </w:rPr>
      </w:pPr>
      <w:r w:rsidRPr="007E2B6C">
        <w:rPr>
          <w:rFonts w:ascii="Cambria" w:hAnsi="Cambria" w:cs="Times New Roman"/>
          <w:i/>
          <w:color w:val="000000"/>
          <w:sz w:val="21"/>
          <w:szCs w:val="21"/>
        </w:rPr>
        <w:t xml:space="preserve">= </w:t>
      </w:r>
      <m:oMath>
        <m:f>
          <m:fPr>
            <m:ctrlPr>
              <w:rPr>
                <w:rFonts w:ascii="Cambria Math" w:eastAsia="Cambria Math" w:hAnsi="Cambria Math" w:cs="Cambria Math"/>
                <w:color w:val="000000"/>
                <w:sz w:val="21"/>
                <w:szCs w:val="21"/>
              </w:rPr>
            </m:ctrlPr>
          </m:fPr>
          <m:num>
            <m:r>
              <w:rPr>
                <w:rFonts w:ascii="Cambria Math" w:eastAsia="Cambria Math" w:hAnsi="Cambria Math" w:cs="Cambria Math"/>
                <w:color w:val="000000"/>
                <w:sz w:val="21"/>
                <w:szCs w:val="21"/>
              </w:rPr>
              <m:t>Tci</m:t>
            </m:r>
          </m:num>
          <m:den>
            <m:r>
              <w:rPr>
                <w:rFonts w:ascii="Cambria Math" w:eastAsia="Cambria Math" w:hAnsi="Cambria Math" w:cs="Cambria Math"/>
                <w:color w:val="000000"/>
                <w:sz w:val="21"/>
                <w:szCs w:val="21"/>
              </w:rPr>
              <m:t>Ni</m:t>
            </m:r>
          </m:den>
        </m:f>
      </m:oMath>
    </w:p>
    <w:p w14:paraId="254E9D52" w14:textId="77777777"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w:proofErr w:type="gramStart"/>
      <w:r w:rsidRPr="007E2B6C">
        <w:rPr>
          <w:rFonts w:ascii="Cambria" w:hAnsi="Cambria" w:cs="Times New Roman"/>
          <w:color w:val="000000"/>
          <w:sz w:val="21"/>
          <w:szCs w:val="21"/>
        </w:rPr>
        <w:t>Where :</w:t>
      </w:r>
      <w:proofErr w:type="gramEnd"/>
    </w:p>
    <w:p w14:paraId="53F62715" w14:textId="77777777"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w:r w:rsidRPr="007E2B6C">
        <w:rPr>
          <w:rFonts w:ascii="Cambria" w:hAnsi="Cambria" w:cs="Times New Roman"/>
          <w:color w:val="000000"/>
          <w:sz w:val="21"/>
          <w:szCs w:val="21"/>
        </w:rPr>
        <w:t>Tci</w:t>
      </w:r>
      <w:r w:rsidRPr="007E2B6C">
        <w:rPr>
          <w:rFonts w:ascii="Cambria" w:hAnsi="Cambria" w:cs="Times New Roman"/>
          <w:color w:val="000000"/>
          <w:sz w:val="21"/>
          <w:szCs w:val="21"/>
        </w:rPr>
        <w:tab/>
        <w:t>= Average travel cost for each zone</w:t>
      </w:r>
    </w:p>
    <w:p w14:paraId="254637BB" w14:textId="3713956E"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m:oMath>
        <m:r>
          <w:rPr>
            <w:rFonts w:ascii="Cambria Math" w:hAnsi="Cambria Math"/>
            <w:sz w:val="21"/>
            <w:szCs w:val="21"/>
          </w:rPr>
          <m:t>Σ</m:t>
        </m:r>
        <m:r>
          <w:rPr>
            <w:rFonts w:ascii="Cambria Math" w:eastAsia="Cambria Math" w:hAnsi="Cambria Math" w:cs="Cambria Math"/>
            <w:color w:val="000000"/>
            <w:sz w:val="21"/>
            <w:szCs w:val="21"/>
          </w:rPr>
          <m:t>Ci</m:t>
        </m:r>
      </m:oMath>
      <w:r w:rsidRPr="007E2B6C">
        <w:rPr>
          <w:rFonts w:ascii="Cambria" w:hAnsi="Cambria" w:cs="Times New Roman"/>
          <w:color w:val="000000"/>
          <w:sz w:val="21"/>
          <w:szCs w:val="21"/>
        </w:rPr>
        <w:tab/>
        <w:t>= Total amount of travel costs in zone i</w:t>
      </w:r>
    </w:p>
    <w:p w14:paraId="11D4D861" w14:textId="409A8D7F"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m:oMath>
        <m:r>
          <w:rPr>
            <w:rFonts w:ascii="Cambria Math" w:eastAsia="Cambria Math" w:hAnsi="Cambria Math" w:cs="Cambria Math"/>
            <w:color w:val="000000"/>
            <w:sz w:val="21"/>
            <w:szCs w:val="21"/>
          </w:rPr>
          <m:t>Ni</m:t>
        </m:r>
      </m:oMath>
      <w:r w:rsidRPr="007E2B6C">
        <w:rPr>
          <w:rFonts w:ascii="Cambria" w:hAnsi="Cambria" w:cs="Times New Roman"/>
          <w:color w:val="000000"/>
          <w:sz w:val="21"/>
          <w:szCs w:val="21"/>
        </w:rPr>
        <w:tab/>
      </w:r>
      <w:r w:rsidRPr="007E2B6C">
        <w:rPr>
          <w:rFonts w:ascii="Cambria" w:hAnsi="Cambria" w:cs="Times New Roman"/>
          <w:color w:val="000000"/>
          <w:sz w:val="21"/>
          <w:szCs w:val="21"/>
        </w:rPr>
        <w:tab/>
        <w:t>= Total number of visitors from zone i</w:t>
      </w:r>
    </w:p>
    <w:p w14:paraId="2D7DB3BE" w14:textId="77777777" w:rsidR="007E2B6C" w:rsidRPr="007E2B6C" w:rsidRDefault="007E2B6C" w:rsidP="007E2B6C">
      <w:pPr>
        <w:numPr>
          <w:ilvl w:val="0"/>
          <w:numId w:val="23"/>
        </w:numPr>
        <w:pBdr>
          <w:top w:val="nil"/>
          <w:left w:val="nil"/>
          <w:bottom w:val="nil"/>
          <w:right w:val="nil"/>
          <w:between w:val="nil"/>
        </w:pBdr>
        <w:tabs>
          <w:tab w:val="left" w:pos="709"/>
        </w:tabs>
        <w:spacing w:after="0" w:line="240" w:lineRule="auto"/>
        <w:ind w:left="284" w:hanging="284"/>
        <w:jc w:val="both"/>
        <w:rPr>
          <w:rFonts w:ascii="Cambria" w:hAnsi="Cambria" w:cs="Times New Roman"/>
          <w:color w:val="000000"/>
          <w:sz w:val="21"/>
          <w:szCs w:val="21"/>
        </w:rPr>
      </w:pPr>
      <w:r w:rsidRPr="007E2B6C">
        <w:rPr>
          <w:rFonts w:ascii="Cambria" w:hAnsi="Cambria" w:cs="Times New Roman"/>
          <w:color w:val="000000"/>
          <w:sz w:val="21"/>
          <w:szCs w:val="21"/>
        </w:rPr>
        <w:t>Calculating the degree of visits per 1000 residents of zone i</w:t>
      </w:r>
    </w:p>
    <w:p w14:paraId="4A6543D5" w14:textId="0FB4B1B7" w:rsidR="007E2B6C" w:rsidRPr="007E2B6C" w:rsidRDefault="007E2B6C" w:rsidP="007E2B6C">
      <w:pPr>
        <w:jc w:val="center"/>
        <w:rPr>
          <w:rFonts w:ascii="Cambria" w:eastAsia="Cambria Math" w:hAnsi="Cambria" w:cs="Cambria Math"/>
          <w:color w:val="000000"/>
          <w:sz w:val="21"/>
          <w:szCs w:val="21"/>
        </w:rPr>
      </w:pPr>
      <m:oMathPara>
        <m:oMath>
          <m:r>
            <w:rPr>
              <w:rFonts w:ascii="Cambria Math" w:eastAsia="Cambria Math" w:hAnsi="Cambria Math" w:cs="Cambria Math"/>
              <w:color w:val="000000"/>
              <w:sz w:val="21"/>
              <w:szCs w:val="21"/>
            </w:rPr>
            <m:t xml:space="preserve">Yi= </m:t>
          </m:r>
          <m:f>
            <m:fPr>
              <m:ctrlPr>
                <w:rPr>
                  <w:rFonts w:ascii="Cambria Math" w:eastAsia="Cambria Math" w:hAnsi="Cambria Math" w:cs="Cambria Math"/>
                  <w:color w:val="000000"/>
                  <w:sz w:val="21"/>
                  <w:szCs w:val="21"/>
                </w:rPr>
              </m:ctrlPr>
            </m:fPr>
            <m:num>
              <m:r>
                <w:rPr>
                  <w:rFonts w:ascii="Cambria Math" w:eastAsia="Cambria Math" w:hAnsi="Cambria Math" w:cs="Cambria Math"/>
                  <w:color w:val="000000"/>
                  <w:sz w:val="21"/>
                  <w:szCs w:val="21"/>
                </w:rPr>
                <m:t>Jki</m:t>
              </m:r>
            </m:num>
            <m:den>
              <m:r>
                <w:rPr>
                  <w:rFonts w:ascii="Cambria Math" w:eastAsia="Cambria Math" w:hAnsi="Cambria Math" w:cs="Cambria Math"/>
                  <w:color w:val="000000"/>
                  <w:sz w:val="21"/>
                  <w:szCs w:val="21"/>
                </w:rPr>
                <m:t>Jpi</m:t>
              </m:r>
            </m:den>
          </m:f>
          <m:r>
            <w:rPr>
              <w:rFonts w:ascii="Cambria Math" w:eastAsia="Cambria Math" w:hAnsi="Cambria Math" w:cs="Cambria Math"/>
              <w:color w:val="000000"/>
              <w:sz w:val="21"/>
              <w:szCs w:val="21"/>
            </w:rPr>
            <m:t xml:space="preserve"> ×1000</m:t>
          </m:r>
        </m:oMath>
      </m:oMathPara>
    </w:p>
    <w:p w14:paraId="29E82AFB" w14:textId="77777777"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w:proofErr w:type="gramStart"/>
      <w:r w:rsidRPr="007E2B6C">
        <w:rPr>
          <w:rFonts w:ascii="Cambria" w:hAnsi="Cambria" w:cs="Times New Roman"/>
          <w:color w:val="000000"/>
          <w:sz w:val="21"/>
          <w:szCs w:val="21"/>
        </w:rPr>
        <w:t>Where :</w:t>
      </w:r>
      <w:proofErr w:type="gramEnd"/>
    </w:p>
    <w:p w14:paraId="4AC5A88A" w14:textId="77777777"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w:r w:rsidRPr="007E2B6C">
        <w:rPr>
          <w:rFonts w:ascii="Cambria" w:hAnsi="Cambria" w:cs="Times New Roman"/>
          <w:color w:val="000000"/>
          <w:sz w:val="21"/>
          <w:szCs w:val="21"/>
        </w:rPr>
        <w:t>Yi</w:t>
      </w:r>
      <w:r w:rsidRPr="007E2B6C">
        <w:rPr>
          <w:rFonts w:ascii="Cambria" w:hAnsi="Cambria" w:cs="Times New Roman"/>
          <w:color w:val="000000"/>
          <w:sz w:val="21"/>
          <w:szCs w:val="21"/>
        </w:rPr>
        <w:tab/>
        <w:t>= Degree of Visits/1000 inhabitants</w:t>
      </w:r>
    </w:p>
    <w:p w14:paraId="1BDF894E" w14:textId="77777777"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w:r w:rsidRPr="007E2B6C">
        <w:rPr>
          <w:rFonts w:ascii="Cambria" w:hAnsi="Cambria" w:cs="Times New Roman"/>
          <w:color w:val="000000"/>
          <w:sz w:val="21"/>
          <w:szCs w:val="21"/>
        </w:rPr>
        <w:t>Jki</w:t>
      </w:r>
      <w:r w:rsidRPr="007E2B6C">
        <w:rPr>
          <w:rFonts w:ascii="Cambria" w:hAnsi="Cambria" w:cs="Times New Roman"/>
          <w:color w:val="000000"/>
          <w:sz w:val="21"/>
          <w:szCs w:val="21"/>
        </w:rPr>
        <w:tab/>
        <w:t>= Number of Visitors</w:t>
      </w:r>
    </w:p>
    <w:p w14:paraId="69A340A3" w14:textId="77777777" w:rsidR="007E2B6C" w:rsidRPr="007E2B6C" w:rsidRDefault="007E2B6C" w:rsidP="007E2B6C">
      <w:pPr>
        <w:pBdr>
          <w:top w:val="nil"/>
          <w:left w:val="nil"/>
          <w:bottom w:val="nil"/>
          <w:right w:val="nil"/>
          <w:between w:val="nil"/>
        </w:pBdr>
        <w:tabs>
          <w:tab w:val="left" w:pos="709"/>
        </w:tabs>
        <w:spacing w:after="0" w:line="240" w:lineRule="auto"/>
        <w:ind w:left="1134" w:hanging="284"/>
        <w:rPr>
          <w:rFonts w:ascii="Cambria" w:hAnsi="Cambria" w:cs="Times New Roman"/>
          <w:color w:val="000000"/>
          <w:sz w:val="21"/>
          <w:szCs w:val="21"/>
        </w:rPr>
      </w:pPr>
      <w:r w:rsidRPr="007E2B6C">
        <w:rPr>
          <w:rFonts w:ascii="Cambria" w:hAnsi="Cambria" w:cs="Times New Roman"/>
          <w:color w:val="000000"/>
          <w:sz w:val="21"/>
          <w:szCs w:val="21"/>
        </w:rPr>
        <w:t>Jpi</w:t>
      </w:r>
      <w:r w:rsidRPr="007E2B6C">
        <w:rPr>
          <w:rFonts w:ascii="Cambria" w:hAnsi="Cambria" w:cs="Times New Roman"/>
          <w:color w:val="000000"/>
          <w:sz w:val="21"/>
          <w:szCs w:val="21"/>
        </w:rPr>
        <w:tab/>
        <w:t>= Total Population of Zone i</w:t>
      </w:r>
    </w:p>
    <w:p w14:paraId="36F39C1C" w14:textId="77777777" w:rsidR="007E2B6C" w:rsidRPr="007E2B6C" w:rsidRDefault="007E2B6C" w:rsidP="007E2B6C">
      <w:pPr>
        <w:tabs>
          <w:tab w:val="left" w:pos="567"/>
        </w:tabs>
        <w:spacing w:after="0" w:line="240" w:lineRule="auto"/>
        <w:jc w:val="both"/>
        <w:rPr>
          <w:rFonts w:ascii="Cambria" w:hAnsi="Cambria" w:cs="Times New Roman"/>
          <w:b/>
          <w:sz w:val="21"/>
          <w:szCs w:val="21"/>
        </w:rPr>
      </w:pPr>
    </w:p>
    <w:p w14:paraId="3AB8B16B" w14:textId="77777777" w:rsidR="007E2B6C" w:rsidRPr="007E2B6C" w:rsidRDefault="007E2B6C" w:rsidP="007E2B6C">
      <w:pPr>
        <w:tabs>
          <w:tab w:val="left" w:pos="567"/>
        </w:tabs>
        <w:spacing w:after="0" w:line="240" w:lineRule="auto"/>
        <w:jc w:val="both"/>
        <w:rPr>
          <w:rFonts w:ascii="Cambria" w:hAnsi="Cambria" w:cs="Times New Roman"/>
          <w:b/>
          <w:i/>
          <w:sz w:val="21"/>
          <w:szCs w:val="21"/>
        </w:rPr>
      </w:pPr>
      <w:r w:rsidRPr="007E2B6C">
        <w:rPr>
          <w:rFonts w:ascii="Cambria" w:hAnsi="Cambria" w:cs="Times New Roman"/>
          <w:b/>
          <w:i/>
          <w:sz w:val="21"/>
          <w:szCs w:val="21"/>
        </w:rPr>
        <w:t>Estimation of ecotourism economic value</w:t>
      </w:r>
    </w:p>
    <w:p w14:paraId="5A7B2824" w14:textId="77777777" w:rsidR="007E2B6C" w:rsidRPr="007E2B6C" w:rsidRDefault="007E2B6C" w:rsidP="007E2B6C">
      <w:pPr>
        <w:spacing w:after="0" w:line="240" w:lineRule="auto"/>
        <w:ind w:firstLine="567"/>
        <w:jc w:val="both"/>
        <w:rPr>
          <w:rFonts w:ascii="Cambria" w:hAnsi="Cambria" w:cs="Times New Roman"/>
          <w:sz w:val="21"/>
          <w:szCs w:val="21"/>
        </w:rPr>
      </w:pPr>
      <w:r w:rsidRPr="007E2B6C">
        <w:rPr>
          <w:rFonts w:ascii="Cambria" w:hAnsi="Cambria" w:cs="Times New Roman"/>
          <w:sz w:val="21"/>
          <w:szCs w:val="21"/>
        </w:rPr>
        <w:t>Determination of socio-economic factors that affect travel costs to the Nusaniwe Peninsula can be tested using linear regression analysis as follows:</w:t>
      </w:r>
    </w:p>
    <w:p w14:paraId="41BFD7DA" w14:textId="1ADC36F4" w:rsidR="007E2B6C" w:rsidRPr="007E2B6C" w:rsidRDefault="007E2B6C" w:rsidP="007E2B6C">
      <w:pPr>
        <w:jc w:val="center"/>
        <w:rPr>
          <w:rFonts w:ascii="Cambria" w:eastAsia="Cambria Math" w:hAnsi="Cambria" w:cs="Cambria Math"/>
          <w:sz w:val="21"/>
          <w:szCs w:val="21"/>
        </w:rPr>
      </w:pPr>
      <m:oMathPara>
        <m:oMath>
          <m:r>
            <w:rPr>
              <w:rFonts w:ascii="Cambria Math" w:eastAsia="Cambria Math" w:hAnsi="Cambria Math" w:cs="Cambria Math"/>
              <w:sz w:val="21"/>
              <w:szCs w:val="21"/>
            </w:rPr>
            <m:t>Y= + X</m:t>
          </m:r>
        </m:oMath>
      </m:oMathPara>
    </w:p>
    <w:p w14:paraId="77C899D0" w14:textId="77777777" w:rsidR="007E2B6C" w:rsidRPr="007E2B6C" w:rsidRDefault="007E2B6C" w:rsidP="007E2B6C">
      <w:pPr>
        <w:spacing w:after="0" w:line="240" w:lineRule="auto"/>
        <w:jc w:val="both"/>
        <w:rPr>
          <w:rFonts w:ascii="Cambria" w:hAnsi="Cambria" w:cs="Times New Roman"/>
          <w:sz w:val="21"/>
          <w:szCs w:val="21"/>
        </w:rPr>
      </w:pPr>
      <w:r w:rsidRPr="007E2B6C">
        <w:rPr>
          <w:rFonts w:ascii="Cambria" w:hAnsi="Cambria" w:cs="Times New Roman"/>
          <w:sz w:val="21"/>
          <w:szCs w:val="21"/>
        </w:rPr>
        <w:t xml:space="preserve">The next step is to estimate utiliti atau kesediaan membayar dengan menggunakan persamaan matematik, </w:t>
      </w:r>
      <w:proofErr w:type="gramStart"/>
      <w:r w:rsidRPr="007E2B6C">
        <w:rPr>
          <w:rFonts w:ascii="Cambria" w:hAnsi="Cambria" w:cs="Times New Roman"/>
          <w:sz w:val="21"/>
          <w:szCs w:val="21"/>
        </w:rPr>
        <w:t>yaitu :</w:t>
      </w:r>
      <w:proofErr w:type="gramEnd"/>
    </w:p>
    <w:p w14:paraId="65C1B5AC" w14:textId="72BF9927" w:rsidR="007E2B6C" w:rsidRPr="007E2B6C" w:rsidRDefault="007E2B6C" w:rsidP="007E2B6C">
      <w:pPr>
        <w:spacing w:after="0" w:line="240" w:lineRule="auto"/>
        <w:jc w:val="both"/>
        <w:rPr>
          <w:rFonts w:ascii="Cambria" w:hAnsi="Cambria" w:cs="Times New Roman"/>
          <w:sz w:val="21"/>
          <w:szCs w:val="21"/>
        </w:rPr>
      </w:pPr>
      <m:oMathPara>
        <m:oMath>
          <m:r>
            <w:rPr>
              <w:rFonts w:ascii="Cambria Math" w:hAnsi="Cambria Math" w:cs="Times New Roman"/>
              <w:sz w:val="21"/>
              <w:szCs w:val="21"/>
            </w:rPr>
            <m:t xml:space="preserve">U= </m:t>
          </m:r>
          <m:nary>
            <m:naryPr>
              <m:limLoc m:val="undOvr"/>
              <m:ctrlPr>
                <w:rPr>
                  <w:rFonts w:ascii="Cambria Math" w:hAnsi="Cambria Math" w:cs="Times New Roman"/>
                  <w:i/>
                  <w:sz w:val="21"/>
                  <w:szCs w:val="21"/>
                </w:rPr>
              </m:ctrlPr>
            </m:naryPr>
            <m:sub>
              <m:r>
                <w:rPr>
                  <w:rFonts w:ascii="Cambria Math" w:hAnsi="Cambria Math" w:cs="Times New Roman"/>
                  <w:sz w:val="21"/>
                  <w:szCs w:val="21"/>
                </w:rPr>
                <m:t>0</m:t>
              </m:r>
            </m:sub>
            <m:sup>
              <m:r>
                <w:rPr>
                  <w:rFonts w:ascii="Cambria Math" w:hAnsi="Cambria Math" w:cs="Times New Roman"/>
                  <w:sz w:val="21"/>
                  <w:szCs w:val="21"/>
                </w:rPr>
                <m:t>a</m:t>
              </m:r>
            </m:sup>
            <m:e>
              <m:r>
                <w:rPr>
                  <w:rFonts w:ascii="Cambria Math" w:hAnsi="Cambria Math" w:cs="Times New Roman"/>
                  <w:sz w:val="21"/>
                  <w:szCs w:val="21"/>
                </w:rPr>
                <m:t>f</m:t>
              </m:r>
              <m:d>
                <m:dPr>
                  <m:ctrlPr>
                    <w:rPr>
                      <w:rFonts w:ascii="Cambria Math" w:hAnsi="Cambria Math" w:cs="Times New Roman"/>
                      <w:i/>
                      <w:sz w:val="21"/>
                      <w:szCs w:val="21"/>
                    </w:rPr>
                  </m:ctrlPr>
                </m:dPr>
                <m:e>
                  <m:r>
                    <w:rPr>
                      <w:rFonts w:ascii="Cambria Math" w:hAnsi="Cambria Math" w:cs="Times New Roman"/>
                      <w:sz w:val="21"/>
                      <w:szCs w:val="21"/>
                    </w:rPr>
                    <m:t>q</m:t>
                  </m:r>
                </m:e>
              </m:d>
              <m:r>
                <w:rPr>
                  <w:rFonts w:ascii="Cambria Math" w:hAnsi="Cambria Math" w:cs="Times New Roman"/>
                  <w:sz w:val="21"/>
                  <w:szCs w:val="21"/>
                </w:rPr>
                <m:t>dQ</m:t>
              </m:r>
            </m:e>
          </m:nary>
        </m:oMath>
      </m:oMathPara>
    </w:p>
    <w:p w14:paraId="53638417" w14:textId="77777777" w:rsidR="007E2B6C" w:rsidRPr="007E2B6C" w:rsidRDefault="007E2B6C" w:rsidP="007E2B6C">
      <w:pPr>
        <w:spacing w:after="0" w:line="240" w:lineRule="auto"/>
        <w:ind w:left="993"/>
        <w:jc w:val="both"/>
        <w:rPr>
          <w:rFonts w:ascii="Cambria" w:hAnsi="Cambria" w:cs="Times New Roman"/>
          <w:sz w:val="21"/>
          <w:szCs w:val="21"/>
        </w:rPr>
      </w:pPr>
      <w:proofErr w:type="gramStart"/>
      <w:r w:rsidRPr="007E2B6C">
        <w:rPr>
          <w:rFonts w:ascii="Cambria" w:hAnsi="Cambria" w:cs="Times New Roman"/>
          <w:sz w:val="21"/>
          <w:szCs w:val="21"/>
        </w:rPr>
        <w:t>Where :</w:t>
      </w:r>
      <w:proofErr w:type="gramEnd"/>
    </w:p>
    <w:p w14:paraId="2BCF42D2" w14:textId="77777777" w:rsidR="007E2B6C" w:rsidRPr="007E2B6C" w:rsidRDefault="007E2B6C" w:rsidP="007E2B6C">
      <w:pPr>
        <w:spacing w:after="0" w:line="240" w:lineRule="auto"/>
        <w:ind w:left="993"/>
        <w:jc w:val="both"/>
        <w:rPr>
          <w:rFonts w:ascii="Cambria" w:hAnsi="Cambria" w:cs="Times New Roman"/>
          <w:sz w:val="21"/>
          <w:szCs w:val="21"/>
        </w:rPr>
      </w:pPr>
      <w:r w:rsidRPr="007E2B6C">
        <w:rPr>
          <w:rFonts w:ascii="Cambria" w:hAnsi="Cambria" w:cs="Times New Roman"/>
          <w:sz w:val="21"/>
          <w:szCs w:val="21"/>
        </w:rPr>
        <w:t>U</w:t>
      </w:r>
      <w:r w:rsidRPr="007E2B6C">
        <w:rPr>
          <w:rFonts w:ascii="Cambria" w:hAnsi="Cambria" w:cs="Times New Roman"/>
          <w:sz w:val="21"/>
          <w:szCs w:val="21"/>
        </w:rPr>
        <w:tab/>
        <w:t>= Utility (willingness to pay)</w:t>
      </w:r>
    </w:p>
    <w:p w14:paraId="49432B4F" w14:textId="77777777" w:rsidR="007E2B6C" w:rsidRPr="007E2B6C" w:rsidRDefault="007E2B6C" w:rsidP="007E2B6C">
      <w:pPr>
        <w:spacing w:after="0" w:line="240" w:lineRule="auto"/>
        <w:ind w:left="993"/>
        <w:jc w:val="both"/>
        <w:rPr>
          <w:rFonts w:ascii="Cambria" w:hAnsi="Cambria" w:cs="Times New Roman"/>
          <w:sz w:val="21"/>
          <w:szCs w:val="21"/>
        </w:rPr>
      </w:pPr>
      <w:proofErr w:type="gramStart"/>
      <w:r w:rsidRPr="007E2B6C">
        <w:rPr>
          <w:rFonts w:ascii="Cambria" w:hAnsi="Cambria" w:cs="Times New Roman"/>
          <w:sz w:val="21"/>
          <w:szCs w:val="21"/>
        </w:rPr>
        <w:t>F(</w:t>
      </w:r>
      <w:proofErr w:type="gramEnd"/>
      <w:r w:rsidRPr="007E2B6C">
        <w:rPr>
          <w:rFonts w:ascii="Cambria" w:hAnsi="Cambria" w:cs="Times New Roman"/>
          <w:sz w:val="21"/>
          <w:szCs w:val="21"/>
        </w:rPr>
        <w:t>q)</w:t>
      </w:r>
      <w:r w:rsidRPr="007E2B6C">
        <w:rPr>
          <w:rFonts w:ascii="Cambria" w:hAnsi="Cambria" w:cs="Times New Roman"/>
          <w:sz w:val="21"/>
          <w:szCs w:val="21"/>
        </w:rPr>
        <w:tab/>
        <w:t>= Request function</w:t>
      </w:r>
    </w:p>
    <w:p w14:paraId="30E1584E" w14:textId="77777777" w:rsidR="007E2B6C" w:rsidRPr="007E2B6C" w:rsidRDefault="007E2B6C" w:rsidP="007E2B6C">
      <w:pPr>
        <w:spacing w:after="0" w:line="240" w:lineRule="auto"/>
        <w:ind w:left="993"/>
        <w:jc w:val="both"/>
        <w:rPr>
          <w:rFonts w:ascii="Cambria" w:hAnsi="Cambria" w:cs="Times New Roman"/>
          <w:sz w:val="21"/>
          <w:szCs w:val="21"/>
        </w:rPr>
      </w:pPr>
      <w:r w:rsidRPr="007E2B6C">
        <w:rPr>
          <w:rFonts w:ascii="Cambria" w:hAnsi="Cambria" w:cs="Times New Roman"/>
          <w:sz w:val="21"/>
          <w:szCs w:val="21"/>
        </w:rPr>
        <w:t>a</w:t>
      </w:r>
      <w:r w:rsidRPr="007E2B6C">
        <w:rPr>
          <w:rFonts w:ascii="Cambria" w:hAnsi="Cambria" w:cs="Times New Roman"/>
          <w:sz w:val="21"/>
          <w:szCs w:val="21"/>
        </w:rPr>
        <w:tab/>
        <w:t>= Highest cost incurred</w:t>
      </w:r>
    </w:p>
    <w:p w14:paraId="500583AC" w14:textId="77777777" w:rsidR="007E2B6C" w:rsidRPr="007E2B6C" w:rsidRDefault="007E2B6C" w:rsidP="007E2B6C">
      <w:pPr>
        <w:spacing w:after="0" w:line="240" w:lineRule="auto"/>
        <w:ind w:left="993"/>
        <w:jc w:val="both"/>
        <w:rPr>
          <w:rFonts w:ascii="Cambria" w:hAnsi="Cambria" w:cs="Times New Roman"/>
          <w:sz w:val="21"/>
          <w:szCs w:val="21"/>
        </w:rPr>
      </w:pPr>
      <w:r w:rsidRPr="007E2B6C">
        <w:rPr>
          <w:rFonts w:ascii="Cambria" w:hAnsi="Cambria" w:cs="Times New Roman"/>
          <w:sz w:val="21"/>
          <w:szCs w:val="21"/>
        </w:rPr>
        <w:t>o</w:t>
      </w:r>
      <w:r w:rsidRPr="007E2B6C">
        <w:rPr>
          <w:rFonts w:ascii="Cambria" w:hAnsi="Cambria" w:cs="Times New Roman"/>
          <w:sz w:val="21"/>
          <w:szCs w:val="21"/>
        </w:rPr>
        <w:tab/>
        <w:t>= Lowest cost incurred</w:t>
      </w:r>
    </w:p>
    <w:p w14:paraId="4309520A" w14:textId="77777777" w:rsidR="007E2B6C" w:rsidRDefault="007E2B6C" w:rsidP="00D97972">
      <w:pPr>
        <w:spacing w:after="0" w:line="278" w:lineRule="auto"/>
        <w:ind w:firstLine="567"/>
        <w:jc w:val="both"/>
        <w:rPr>
          <w:rFonts w:ascii="Cambria" w:eastAsia="Cambria" w:hAnsi="Cambria" w:cs="Cambria"/>
          <w:color w:val="000000"/>
          <w:sz w:val="21"/>
          <w:szCs w:val="21"/>
        </w:rPr>
      </w:pPr>
    </w:p>
    <w:p w14:paraId="6B90FF7A" w14:textId="77777777" w:rsidR="00D97972" w:rsidRDefault="00D97972" w:rsidP="00D97972">
      <w:pPr>
        <w:spacing w:after="0" w:line="278" w:lineRule="auto"/>
        <w:ind w:firstLine="567"/>
        <w:jc w:val="both"/>
        <w:rPr>
          <w:rFonts w:ascii="Cambria" w:eastAsia="Cambria" w:hAnsi="Cambria" w:cs="Cambria"/>
          <w:color w:val="000000"/>
          <w:sz w:val="21"/>
          <w:szCs w:val="21"/>
        </w:rPr>
      </w:pPr>
      <w:r>
        <w:rPr>
          <w:rFonts w:ascii="Cambria" w:eastAsia="Cambria" w:hAnsi="Cambria" w:cs="Cambria"/>
          <w:color w:val="000000"/>
          <w:sz w:val="21"/>
          <w:szCs w:val="21"/>
        </w:rPr>
        <w:t>As a method of qualitative research approaches, this method was chosen because, as Bogdan and Bikien (1982) said, this research focused on one setting or object. To be precise, this research focused on the process of talqin dhikr as a method of da'wah in the TQN of the Suryalaya Islamic Boarding School (hereinafter referred to as TQN PP. Suryalaya).</w:t>
      </w:r>
    </w:p>
    <w:p w14:paraId="573BBF9F" w14:textId="77777777" w:rsidR="00D97972" w:rsidRDefault="00D97972" w:rsidP="00D97972">
      <w:pPr>
        <w:pStyle w:val="07HEADA"/>
        <w:rPr>
          <w:rFonts w:eastAsia="Cambria"/>
        </w:rPr>
      </w:pPr>
      <w:r>
        <w:rPr>
          <w:rFonts w:eastAsia="Cambria"/>
        </w:rPr>
        <w:lastRenderedPageBreak/>
        <w:t>RESULTS AND DISCUSSION</w:t>
      </w:r>
    </w:p>
    <w:p w14:paraId="2A332429" w14:textId="77777777" w:rsidR="00D97972" w:rsidRDefault="00D97972" w:rsidP="00D97972">
      <w:pPr>
        <w:spacing w:after="0" w:line="278" w:lineRule="auto"/>
        <w:ind w:firstLine="567"/>
        <w:jc w:val="both"/>
        <w:rPr>
          <w:rFonts w:ascii="Cambria" w:eastAsia="Cambria" w:hAnsi="Cambria" w:cs="Cambria"/>
          <w:color w:val="000000"/>
          <w:sz w:val="21"/>
          <w:szCs w:val="21"/>
        </w:rPr>
      </w:pPr>
      <w:r>
        <w:rPr>
          <w:rFonts w:ascii="Cambria" w:eastAsia="Cambria" w:hAnsi="Cambria" w:cs="Cambria"/>
          <w:color w:val="000000"/>
          <w:sz w:val="21"/>
          <w:szCs w:val="21"/>
        </w:rPr>
        <w:t>This section consists of the results of research and how they are discussed. The results obtained from research must be supported by adequate data. The results of the study must be the answers to the problem and the research objectives stated earlier in the introduction.</w:t>
      </w:r>
    </w:p>
    <w:p w14:paraId="6700B9D3" w14:textId="77777777" w:rsidR="007E2B6C" w:rsidRDefault="007E2B6C" w:rsidP="00D97972">
      <w:pPr>
        <w:spacing w:after="0" w:line="278" w:lineRule="auto"/>
        <w:ind w:firstLine="567"/>
        <w:jc w:val="both"/>
        <w:rPr>
          <w:rFonts w:ascii="Cambria" w:eastAsia="Cambria" w:hAnsi="Cambria" w:cs="Cambria"/>
          <w:color w:val="000000"/>
          <w:sz w:val="21"/>
          <w:szCs w:val="21"/>
        </w:rPr>
      </w:pPr>
    </w:p>
    <w:p w14:paraId="600F99E7" w14:textId="77777777" w:rsidR="007E2B6C" w:rsidRPr="007E2B6C" w:rsidRDefault="007E2B6C" w:rsidP="007E2B6C">
      <w:pPr>
        <w:spacing w:after="0" w:line="240" w:lineRule="auto"/>
        <w:jc w:val="both"/>
        <w:rPr>
          <w:rFonts w:ascii="Cambria" w:hAnsi="Cambria" w:cs="Times New Roman"/>
          <w:b/>
          <w:i/>
          <w:sz w:val="21"/>
          <w:szCs w:val="21"/>
        </w:rPr>
      </w:pPr>
      <w:r w:rsidRPr="007E2B6C">
        <w:rPr>
          <w:rFonts w:ascii="Cambria" w:hAnsi="Cambria" w:cs="Times New Roman"/>
          <w:b/>
          <w:i/>
          <w:sz w:val="21"/>
          <w:szCs w:val="21"/>
        </w:rPr>
        <w:t>Identification of Potential Nusaniwe peninsula tourism objects</w:t>
      </w:r>
    </w:p>
    <w:p w14:paraId="51902C9A" w14:textId="77777777" w:rsidR="007E2B6C" w:rsidRPr="007E2B6C" w:rsidRDefault="007E2B6C" w:rsidP="007E2B6C">
      <w:pPr>
        <w:ind w:firstLine="567"/>
        <w:jc w:val="both"/>
        <w:rPr>
          <w:rFonts w:ascii="Cambria" w:hAnsi="Cambria" w:cs="Times New Roman"/>
          <w:sz w:val="21"/>
          <w:szCs w:val="21"/>
        </w:rPr>
      </w:pPr>
      <w:r w:rsidRPr="007E2B6C">
        <w:rPr>
          <w:rFonts w:ascii="Cambria" w:hAnsi="Cambria" w:cs="Times New Roman"/>
          <w:sz w:val="21"/>
          <w:szCs w:val="21"/>
        </w:rPr>
        <w:t xml:space="preserve">Data from the Ambon City Tourism Office for tourist objects on the Nusaniwe peninsula, especially for Amahusu </w:t>
      </w:r>
      <w:r w:rsidRPr="007E2B6C">
        <w:rPr>
          <w:rFonts w:ascii="Cambria" w:hAnsi="Cambria" w:cs="Times New Roman"/>
          <w:i/>
          <w:iCs/>
          <w:sz w:val="21"/>
          <w:szCs w:val="21"/>
        </w:rPr>
        <w:t>negeri</w:t>
      </w:r>
      <w:r w:rsidRPr="007E2B6C">
        <w:rPr>
          <w:rFonts w:ascii="Cambria" w:hAnsi="Cambria" w:cs="Times New Roman"/>
          <w:sz w:val="21"/>
          <w:szCs w:val="21"/>
        </w:rPr>
        <w:t xml:space="preserve">, Nusaniwe </w:t>
      </w:r>
      <w:r w:rsidRPr="007E2B6C">
        <w:rPr>
          <w:rFonts w:ascii="Cambria" w:hAnsi="Cambria" w:cs="Times New Roman"/>
          <w:i/>
          <w:iCs/>
          <w:sz w:val="21"/>
          <w:szCs w:val="21"/>
        </w:rPr>
        <w:t>negeri</w:t>
      </w:r>
      <w:r w:rsidRPr="007E2B6C">
        <w:rPr>
          <w:rFonts w:ascii="Cambria" w:hAnsi="Cambria" w:cs="Times New Roman"/>
          <w:sz w:val="21"/>
          <w:szCs w:val="21"/>
        </w:rPr>
        <w:t xml:space="preserve">, Seilale </w:t>
      </w:r>
      <w:r w:rsidRPr="007E2B6C">
        <w:rPr>
          <w:rFonts w:ascii="Cambria" w:hAnsi="Cambria" w:cs="Times New Roman"/>
          <w:i/>
          <w:iCs/>
          <w:sz w:val="21"/>
          <w:szCs w:val="21"/>
        </w:rPr>
        <w:t>negeri</w:t>
      </w:r>
      <w:r w:rsidRPr="007E2B6C">
        <w:rPr>
          <w:rFonts w:ascii="Cambria" w:hAnsi="Cambria" w:cs="Times New Roman"/>
          <w:sz w:val="21"/>
          <w:szCs w:val="21"/>
        </w:rPr>
        <w:t xml:space="preserve">, and Latuhalat </w:t>
      </w:r>
      <w:r w:rsidRPr="007E2B6C">
        <w:rPr>
          <w:rFonts w:ascii="Cambria" w:hAnsi="Cambria" w:cs="Times New Roman"/>
          <w:i/>
          <w:iCs/>
          <w:sz w:val="21"/>
          <w:szCs w:val="21"/>
        </w:rPr>
        <w:t>negeri</w:t>
      </w:r>
      <w:r w:rsidRPr="007E2B6C">
        <w:rPr>
          <w:rFonts w:ascii="Cambria" w:hAnsi="Cambria" w:cs="Times New Roman"/>
          <w:sz w:val="21"/>
          <w:szCs w:val="21"/>
        </w:rPr>
        <w:t xml:space="preserve"> are as follows:</w:t>
      </w:r>
    </w:p>
    <w:p w14:paraId="1AFD96BB" w14:textId="58C6677E" w:rsidR="007E2B6C" w:rsidRPr="007E2B6C" w:rsidRDefault="00DE53D7" w:rsidP="00DE53D7">
      <w:pPr>
        <w:spacing w:after="0" w:line="240" w:lineRule="auto"/>
        <w:jc w:val="center"/>
        <w:rPr>
          <w:rFonts w:ascii="Cambria" w:hAnsi="Cambria" w:cs="Times New Roman"/>
          <w:sz w:val="21"/>
          <w:szCs w:val="21"/>
        </w:rPr>
      </w:pPr>
      <w:proofErr w:type="gramStart"/>
      <w:r>
        <w:rPr>
          <w:rFonts w:ascii="Cambria" w:hAnsi="Cambria" w:cs="Times New Roman"/>
          <w:sz w:val="21"/>
          <w:szCs w:val="21"/>
        </w:rPr>
        <w:t>Table 3.</w:t>
      </w:r>
      <w:proofErr w:type="gramEnd"/>
      <w:r w:rsidR="007E2B6C" w:rsidRPr="007E2B6C">
        <w:rPr>
          <w:rFonts w:ascii="Cambria" w:hAnsi="Cambria" w:cs="Times New Roman"/>
          <w:sz w:val="21"/>
          <w:szCs w:val="21"/>
        </w:rPr>
        <w:t xml:space="preserve"> Existing tourist attractions on the Nusaniwe peninsula</w:t>
      </w:r>
    </w:p>
    <w:tbl>
      <w:tblPr>
        <w:tblW w:w="9072" w:type="dxa"/>
        <w:tblInd w:w="108" w:type="dxa"/>
        <w:tblBorders>
          <w:top w:val="single" w:sz="4" w:space="0" w:color="auto"/>
          <w:bottom w:val="single" w:sz="4" w:space="0" w:color="auto"/>
          <w:insideH w:val="single" w:sz="4" w:space="0" w:color="000000"/>
        </w:tblBorders>
        <w:tblLayout w:type="fixed"/>
        <w:tblLook w:val="0400" w:firstRow="0" w:lastRow="0" w:firstColumn="0" w:lastColumn="0" w:noHBand="0" w:noVBand="1"/>
      </w:tblPr>
      <w:tblGrid>
        <w:gridCol w:w="1967"/>
        <w:gridCol w:w="3845"/>
        <w:gridCol w:w="3260"/>
      </w:tblGrid>
      <w:tr w:rsidR="007E2B6C" w:rsidRPr="007E2B6C" w14:paraId="565652E7" w14:textId="77777777" w:rsidTr="00DE53D7">
        <w:trPr>
          <w:trHeight w:val="206"/>
          <w:tblHeader/>
        </w:trPr>
        <w:tc>
          <w:tcPr>
            <w:tcW w:w="9072" w:type="dxa"/>
            <w:gridSpan w:val="3"/>
            <w:shd w:val="clear" w:color="auto" w:fill="auto"/>
            <w:vAlign w:val="center"/>
          </w:tcPr>
          <w:p w14:paraId="0D8C3191"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Attractions</w:t>
            </w:r>
          </w:p>
        </w:tc>
      </w:tr>
      <w:tr w:rsidR="007E2B6C" w:rsidRPr="007E2B6C" w14:paraId="2411FA83" w14:textId="77777777" w:rsidTr="00DE53D7">
        <w:trPr>
          <w:trHeight w:val="237"/>
          <w:tblHeader/>
        </w:trPr>
        <w:tc>
          <w:tcPr>
            <w:tcW w:w="1967" w:type="dxa"/>
            <w:shd w:val="clear" w:color="auto" w:fill="auto"/>
            <w:vAlign w:val="center"/>
          </w:tcPr>
          <w:p w14:paraId="48B74FD8"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Location</w:t>
            </w:r>
          </w:p>
        </w:tc>
        <w:tc>
          <w:tcPr>
            <w:tcW w:w="3845" w:type="dxa"/>
            <w:shd w:val="clear" w:color="auto" w:fill="auto"/>
            <w:vAlign w:val="center"/>
          </w:tcPr>
          <w:p w14:paraId="3B7EE8D6"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Name</w:t>
            </w:r>
          </w:p>
        </w:tc>
        <w:tc>
          <w:tcPr>
            <w:tcW w:w="3260" w:type="dxa"/>
            <w:shd w:val="clear" w:color="auto" w:fill="auto"/>
            <w:vAlign w:val="center"/>
          </w:tcPr>
          <w:p w14:paraId="0EB72BA4"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Type</w:t>
            </w:r>
          </w:p>
        </w:tc>
      </w:tr>
      <w:tr w:rsidR="007E2B6C" w:rsidRPr="007E2B6C" w14:paraId="6F8D4DA9" w14:textId="77777777" w:rsidTr="00DE53D7">
        <w:tc>
          <w:tcPr>
            <w:tcW w:w="1967" w:type="dxa"/>
            <w:shd w:val="clear" w:color="auto" w:fill="auto"/>
          </w:tcPr>
          <w:p w14:paraId="60C43573"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 xml:space="preserve">Amahusu </w:t>
            </w:r>
            <w:r w:rsidRPr="007E2B6C">
              <w:rPr>
                <w:rFonts w:ascii="Cambria" w:hAnsi="Cambria" w:cs="Times New Roman"/>
                <w:i/>
                <w:iCs/>
                <w:sz w:val="21"/>
                <w:szCs w:val="21"/>
              </w:rPr>
              <w:t>Negeri</w:t>
            </w:r>
            <w:r w:rsidRPr="007E2B6C">
              <w:rPr>
                <w:rFonts w:ascii="Cambria" w:hAnsi="Cambria" w:cs="Times New Roman"/>
                <w:sz w:val="21"/>
                <w:szCs w:val="21"/>
              </w:rPr>
              <w:t xml:space="preserve"> </w:t>
            </w:r>
          </w:p>
        </w:tc>
        <w:tc>
          <w:tcPr>
            <w:tcW w:w="3845" w:type="dxa"/>
            <w:shd w:val="clear" w:color="auto" w:fill="auto"/>
          </w:tcPr>
          <w:p w14:paraId="62437004" w14:textId="77777777" w:rsidR="007E2B6C" w:rsidRPr="007E2B6C" w:rsidRDefault="007E2B6C" w:rsidP="007E2B6C">
            <w:pPr>
              <w:numPr>
                <w:ilvl w:val="0"/>
                <w:numId w:val="29"/>
              </w:numPr>
              <w:pBdr>
                <w:top w:val="nil"/>
                <w:left w:val="nil"/>
                <w:bottom w:val="nil"/>
                <w:right w:val="nil"/>
                <w:between w:val="nil"/>
              </w:pBdr>
              <w:spacing w:after="0" w:line="240" w:lineRule="auto"/>
              <w:ind w:left="318" w:hanging="284"/>
              <w:rPr>
                <w:rFonts w:ascii="Cambria" w:hAnsi="Cambria" w:cs="Times New Roman"/>
                <w:color w:val="000000"/>
                <w:sz w:val="21"/>
                <w:szCs w:val="21"/>
              </w:rPr>
            </w:pPr>
            <w:r w:rsidRPr="007E2B6C">
              <w:rPr>
                <w:rFonts w:ascii="Cambria" w:hAnsi="Cambria" w:cs="Times New Roman"/>
                <w:color w:val="000000"/>
                <w:sz w:val="21"/>
                <w:szCs w:val="21"/>
              </w:rPr>
              <w:t>Amahusu Beach</w:t>
            </w:r>
          </w:p>
          <w:p w14:paraId="502D313A" w14:textId="77777777" w:rsidR="007E2B6C" w:rsidRPr="007E2B6C" w:rsidRDefault="007E2B6C" w:rsidP="007E2B6C">
            <w:pPr>
              <w:numPr>
                <w:ilvl w:val="0"/>
                <w:numId w:val="29"/>
              </w:numPr>
              <w:pBdr>
                <w:top w:val="nil"/>
                <w:left w:val="nil"/>
                <w:bottom w:val="nil"/>
                <w:right w:val="nil"/>
                <w:between w:val="nil"/>
              </w:pBdr>
              <w:spacing w:after="0" w:line="240" w:lineRule="auto"/>
              <w:ind w:left="318" w:hanging="284"/>
              <w:rPr>
                <w:rFonts w:ascii="Cambria" w:hAnsi="Cambria" w:cs="Times New Roman"/>
                <w:color w:val="000000"/>
                <w:sz w:val="21"/>
                <w:szCs w:val="21"/>
              </w:rPr>
            </w:pPr>
            <w:r w:rsidRPr="007E2B6C">
              <w:rPr>
                <w:rFonts w:ascii="Cambria" w:hAnsi="Cambria" w:cs="Times New Roman"/>
                <w:color w:val="000000"/>
                <w:sz w:val="21"/>
                <w:szCs w:val="21"/>
              </w:rPr>
              <w:t>Amahusu Marine park</w:t>
            </w:r>
          </w:p>
          <w:p w14:paraId="70C66DDC" w14:textId="77777777" w:rsidR="007E2B6C" w:rsidRPr="007E2B6C" w:rsidRDefault="007E2B6C" w:rsidP="007E2B6C">
            <w:pPr>
              <w:numPr>
                <w:ilvl w:val="0"/>
                <w:numId w:val="29"/>
              </w:numPr>
              <w:pBdr>
                <w:top w:val="nil"/>
                <w:left w:val="nil"/>
                <w:bottom w:val="nil"/>
                <w:right w:val="nil"/>
                <w:between w:val="nil"/>
              </w:pBdr>
              <w:spacing w:after="0" w:line="240" w:lineRule="auto"/>
              <w:ind w:left="318" w:hanging="284"/>
              <w:rPr>
                <w:rFonts w:ascii="Cambria" w:hAnsi="Cambria" w:cs="Times New Roman"/>
                <w:color w:val="000000"/>
                <w:sz w:val="21"/>
                <w:szCs w:val="21"/>
              </w:rPr>
            </w:pPr>
            <w:r w:rsidRPr="007E2B6C">
              <w:rPr>
                <w:rFonts w:ascii="Cambria" w:hAnsi="Cambria" w:cs="Times New Roman"/>
                <w:color w:val="000000"/>
                <w:sz w:val="21"/>
                <w:szCs w:val="21"/>
              </w:rPr>
              <w:t xml:space="preserve">Batu Capeu Beach </w:t>
            </w:r>
          </w:p>
          <w:p w14:paraId="0771916D" w14:textId="77777777" w:rsidR="007E2B6C" w:rsidRPr="007E2B6C" w:rsidRDefault="007E2B6C" w:rsidP="007E2B6C">
            <w:pPr>
              <w:numPr>
                <w:ilvl w:val="0"/>
                <w:numId w:val="29"/>
              </w:numPr>
              <w:pBdr>
                <w:top w:val="nil"/>
                <w:left w:val="nil"/>
                <w:bottom w:val="nil"/>
                <w:right w:val="nil"/>
                <w:between w:val="nil"/>
              </w:pBdr>
              <w:spacing w:after="0" w:line="240" w:lineRule="auto"/>
              <w:ind w:left="318" w:hanging="284"/>
              <w:rPr>
                <w:rFonts w:ascii="Cambria" w:hAnsi="Cambria" w:cs="Times New Roman"/>
                <w:color w:val="000000"/>
                <w:sz w:val="21"/>
                <w:szCs w:val="21"/>
              </w:rPr>
            </w:pPr>
            <w:r w:rsidRPr="007E2B6C">
              <w:rPr>
                <w:rFonts w:ascii="Cambria" w:hAnsi="Cambria" w:cs="Times New Roman"/>
                <w:color w:val="000000"/>
                <w:sz w:val="21"/>
                <w:szCs w:val="21"/>
              </w:rPr>
              <w:t xml:space="preserve">Batu Capeu </w:t>
            </w:r>
            <w:r w:rsidRPr="007E2B6C">
              <w:rPr>
                <w:rFonts w:ascii="Cambria" w:hAnsi="Cambria" w:cs="Times New Roman"/>
                <w:sz w:val="21"/>
                <w:szCs w:val="21"/>
              </w:rPr>
              <w:t>Marine Park</w:t>
            </w:r>
          </w:p>
          <w:p w14:paraId="2AE4C9DB" w14:textId="77777777" w:rsidR="007E2B6C" w:rsidRPr="007E2B6C" w:rsidRDefault="007E2B6C" w:rsidP="007E2B6C">
            <w:pPr>
              <w:numPr>
                <w:ilvl w:val="0"/>
                <w:numId w:val="29"/>
              </w:numPr>
              <w:pBdr>
                <w:top w:val="nil"/>
                <w:left w:val="nil"/>
                <w:bottom w:val="nil"/>
                <w:right w:val="nil"/>
                <w:between w:val="nil"/>
              </w:pBdr>
              <w:spacing w:after="0" w:line="240" w:lineRule="auto"/>
              <w:ind w:left="318" w:hanging="284"/>
              <w:rPr>
                <w:rFonts w:ascii="Cambria" w:hAnsi="Cambria" w:cs="Times New Roman"/>
                <w:color w:val="000000"/>
                <w:sz w:val="21"/>
                <w:szCs w:val="21"/>
              </w:rPr>
            </w:pPr>
            <w:r w:rsidRPr="007E2B6C">
              <w:rPr>
                <w:rFonts w:ascii="Cambria" w:hAnsi="Cambria" w:cs="Times New Roman"/>
                <w:color w:val="000000"/>
                <w:sz w:val="21"/>
                <w:szCs w:val="21"/>
              </w:rPr>
              <w:t>Darwin – Ambon</w:t>
            </w:r>
          </w:p>
          <w:p w14:paraId="2620A66F" w14:textId="77777777" w:rsidR="007E2B6C" w:rsidRPr="007E2B6C" w:rsidRDefault="007E2B6C" w:rsidP="007E2B6C">
            <w:pPr>
              <w:numPr>
                <w:ilvl w:val="0"/>
                <w:numId w:val="29"/>
              </w:numPr>
              <w:pBdr>
                <w:top w:val="nil"/>
                <w:left w:val="nil"/>
                <w:bottom w:val="nil"/>
                <w:right w:val="nil"/>
                <w:between w:val="nil"/>
              </w:pBdr>
              <w:spacing w:after="0" w:line="240" w:lineRule="auto"/>
              <w:ind w:left="318" w:hanging="284"/>
              <w:rPr>
                <w:rFonts w:ascii="Cambria" w:hAnsi="Cambria" w:cs="Times New Roman"/>
                <w:color w:val="000000"/>
                <w:sz w:val="21"/>
                <w:szCs w:val="21"/>
              </w:rPr>
            </w:pPr>
            <w:r w:rsidRPr="007E2B6C">
              <w:rPr>
                <w:rFonts w:ascii="Cambria" w:hAnsi="Cambria" w:cs="Times New Roman"/>
                <w:color w:val="000000"/>
                <w:sz w:val="21"/>
                <w:szCs w:val="21"/>
              </w:rPr>
              <w:t>Inauguration of King</w:t>
            </w:r>
          </w:p>
        </w:tc>
        <w:tc>
          <w:tcPr>
            <w:tcW w:w="3260" w:type="dxa"/>
            <w:shd w:val="clear" w:color="auto" w:fill="auto"/>
          </w:tcPr>
          <w:p w14:paraId="4D9DBBED"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Beach</w:t>
            </w:r>
          </w:p>
          <w:p w14:paraId="373F5781"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Marine Park</w:t>
            </w:r>
          </w:p>
          <w:p w14:paraId="140CB2A1"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Beach</w:t>
            </w:r>
          </w:p>
          <w:p w14:paraId="462D77E5"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Marine Park Marine sports</w:t>
            </w:r>
          </w:p>
          <w:p w14:paraId="595D68E0"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Indigenous</w:t>
            </w:r>
          </w:p>
        </w:tc>
      </w:tr>
      <w:tr w:rsidR="007E2B6C" w:rsidRPr="007E2B6C" w14:paraId="1B4ACC65" w14:textId="77777777" w:rsidTr="00DE53D7">
        <w:tc>
          <w:tcPr>
            <w:tcW w:w="1967" w:type="dxa"/>
            <w:shd w:val="clear" w:color="auto" w:fill="auto"/>
          </w:tcPr>
          <w:p w14:paraId="1AE94901"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 xml:space="preserve">Nusaniwe </w:t>
            </w:r>
            <w:r w:rsidRPr="007E2B6C">
              <w:rPr>
                <w:rFonts w:ascii="Cambria" w:hAnsi="Cambria" w:cs="Times New Roman"/>
                <w:i/>
                <w:iCs/>
                <w:sz w:val="21"/>
                <w:szCs w:val="21"/>
              </w:rPr>
              <w:t>Negeri</w:t>
            </w:r>
          </w:p>
        </w:tc>
        <w:tc>
          <w:tcPr>
            <w:tcW w:w="3845" w:type="dxa"/>
            <w:shd w:val="clear" w:color="auto" w:fill="auto"/>
          </w:tcPr>
          <w:p w14:paraId="02A2618A" w14:textId="77777777" w:rsidR="007E2B6C" w:rsidRPr="007E2B6C" w:rsidRDefault="007E2B6C" w:rsidP="007E2B6C">
            <w:pPr>
              <w:numPr>
                <w:ilvl w:val="0"/>
                <w:numId w:val="28"/>
              </w:numPr>
              <w:pBdr>
                <w:top w:val="nil"/>
                <w:left w:val="nil"/>
                <w:bottom w:val="nil"/>
                <w:right w:val="nil"/>
                <w:between w:val="nil"/>
              </w:pBdr>
              <w:spacing w:after="0" w:line="240" w:lineRule="auto"/>
              <w:ind w:left="317" w:hanging="284"/>
              <w:rPr>
                <w:rFonts w:ascii="Cambria" w:hAnsi="Cambria" w:cs="Times New Roman"/>
                <w:color w:val="000000"/>
                <w:sz w:val="21"/>
                <w:szCs w:val="21"/>
              </w:rPr>
            </w:pPr>
            <w:r w:rsidRPr="007E2B6C">
              <w:rPr>
                <w:rFonts w:ascii="Cambria" w:hAnsi="Cambria" w:cs="Times New Roman"/>
                <w:color w:val="000000"/>
                <w:sz w:val="21"/>
                <w:szCs w:val="21"/>
              </w:rPr>
              <w:t>Airlouw Beach – City Gate</w:t>
            </w:r>
          </w:p>
          <w:p w14:paraId="2A84AB20" w14:textId="77777777" w:rsidR="007E2B6C" w:rsidRPr="007E2B6C" w:rsidRDefault="007E2B6C" w:rsidP="007E2B6C">
            <w:pPr>
              <w:numPr>
                <w:ilvl w:val="0"/>
                <w:numId w:val="28"/>
              </w:numPr>
              <w:pBdr>
                <w:top w:val="nil"/>
                <w:left w:val="nil"/>
                <w:bottom w:val="nil"/>
                <w:right w:val="nil"/>
                <w:between w:val="nil"/>
              </w:pBdr>
              <w:spacing w:after="0" w:line="240" w:lineRule="auto"/>
              <w:ind w:left="317" w:hanging="284"/>
              <w:rPr>
                <w:rFonts w:ascii="Cambria" w:hAnsi="Cambria" w:cs="Times New Roman"/>
                <w:color w:val="000000"/>
                <w:sz w:val="21"/>
                <w:szCs w:val="21"/>
              </w:rPr>
            </w:pPr>
            <w:r w:rsidRPr="007E2B6C">
              <w:rPr>
                <w:rFonts w:ascii="Cambria" w:hAnsi="Cambria" w:cs="Times New Roman"/>
                <w:color w:val="000000"/>
                <w:sz w:val="21"/>
                <w:szCs w:val="21"/>
              </w:rPr>
              <w:t xml:space="preserve">Erie </w:t>
            </w:r>
            <w:r w:rsidRPr="007E2B6C">
              <w:rPr>
                <w:rFonts w:ascii="Cambria" w:hAnsi="Cambria" w:cs="Times New Roman"/>
                <w:sz w:val="21"/>
                <w:szCs w:val="21"/>
              </w:rPr>
              <w:t>Marine Park</w:t>
            </w:r>
          </w:p>
          <w:p w14:paraId="3EA5A2C0" w14:textId="77777777" w:rsidR="007E2B6C" w:rsidRPr="007E2B6C" w:rsidRDefault="007E2B6C" w:rsidP="007E2B6C">
            <w:pPr>
              <w:numPr>
                <w:ilvl w:val="0"/>
                <w:numId w:val="28"/>
              </w:numPr>
              <w:pBdr>
                <w:top w:val="nil"/>
                <w:left w:val="nil"/>
                <w:bottom w:val="nil"/>
                <w:right w:val="nil"/>
                <w:between w:val="nil"/>
              </w:pBdr>
              <w:spacing w:after="0" w:line="240" w:lineRule="auto"/>
              <w:ind w:left="317" w:hanging="284"/>
              <w:rPr>
                <w:rFonts w:ascii="Cambria" w:hAnsi="Cambria" w:cs="Times New Roman"/>
                <w:color w:val="000000"/>
                <w:sz w:val="21"/>
                <w:szCs w:val="21"/>
              </w:rPr>
            </w:pPr>
            <w:r w:rsidRPr="007E2B6C">
              <w:rPr>
                <w:rFonts w:ascii="Cambria" w:hAnsi="Cambria" w:cs="Times New Roman"/>
                <w:color w:val="000000"/>
                <w:sz w:val="21"/>
                <w:szCs w:val="21"/>
              </w:rPr>
              <w:t>Airlouw Marine Park</w:t>
            </w:r>
          </w:p>
          <w:p w14:paraId="73616C19" w14:textId="77777777" w:rsidR="007E2B6C" w:rsidRPr="007E2B6C" w:rsidRDefault="007E2B6C" w:rsidP="007E2B6C">
            <w:pPr>
              <w:numPr>
                <w:ilvl w:val="0"/>
                <w:numId w:val="28"/>
              </w:numPr>
              <w:pBdr>
                <w:top w:val="nil"/>
                <w:left w:val="nil"/>
                <w:bottom w:val="nil"/>
                <w:right w:val="nil"/>
                <w:between w:val="nil"/>
              </w:pBdr>
              <w:spacing w:after="0" w:line="240" w:lineRule="auto"/>
              <w:ind w:left="317" w:hanging="284"/>
              <w:rPr>
                <w:rFonts w:ascii="Cambria" w:hAnsi="Cambria" w:cs="Times New Roman"/>
                <w:color w:val="000000"/>
                <w:sz w:val="21"/>
                <w:szCs w:val="21"/>
              </w:rPr>
            </w:pPr>
            <w:r w:rsidRPr="007E2B6C">
              <w:rPr>
                <w:rFonts w:ascii="Cambria" w:hAnsi="Cambria" w:cs="Times New Roman"/>
                <w:color w:val="000000"/>
                <w:sz w:val="21"/>
                <w:szCs w:val="21"/>
              </w:rPr>
              <w:t xml:space="preserve">Felawatu Beach </w:t>
            </w:r>
          </w:p>
          <w:p w14:paraId="7B7CFECD" w14:textId="77777777" w:rsidR="007E2B6C" w:rsidRPr="007E2B6C" w:rsidRDefault="007E2B6C" w:rsidP="007E2B6C">
            <w:pPr>
              <w:numPr>
                <w:ilvl w:val="0"/>
                <w:numId w:val="28"/>
              </w:numPr>
              <w:pBdr>
                <w:top w:val="nil"/>
                <w:left w:val="nil"/>
                <w:bottom w:val="nil"/>
                <w:right w:val="nil"/>
                <w:between w:val="nil"/>
              </w:pBdr>
              <w:spacing w:after="0" w:line="240" w:lineRule="auto"/>
              <w:ind w:left="317" w:hanging="284"/>
              <w:rPr>
                <w:rFonts w:ascii="Cambria" w:hAnsi="Cambria" w:cs="Times New Roman"/>
                <w:color w:val="000000"/>
                <w:sz w:val="21"/>
                <w:szCs w:val="21"/>
              </w:rPr>
            </w:pPr>
            <w:r w:rsidRPr="007E2B6C">
              <w:rPr>
                <w:rFonts w:ascii="Cambria" w:hAnsi="Cambria" w:cs="Times New Roman"/>
                <w:color w:val="000000"/>
                <w:sz w:val="21"/>
                <w:szCs w:val="21"/>
              </w:rPr>
              <w:t xml:space="preserve">Inauguration of King </w:t>
            </w:r>
          </w:p>
        </w:tc>
        <w:tc>
          <w:tcPr>
            <w:tcW w:w="3260" w:type="dxa"/>
            <w:shd w:val="clear" w:color="auto" w:fill="auto"/>
          </w:tcPr>
          <w:p w14:paraId="05480B1E"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Beach</w:t>
            </w:r>
          </w:p>
          <w:p w14:paraId="37DF2F21"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Marine Park Marine Park</w:t>
            </w:r>
          </w:p>
          <w:p w14:paraId="081FC56E"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Beach</w:t>
            </w:r>
          </w:p>
          <w:p w14:paraId="45E5C887"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Indigenous</w:t>
            </w:r>
          </w:p>
        </w:tc>
      </w:tr>
      <w:tr w:rsidR="007E2B6C" w:rsidRPr="007E2B6C" w14:paraId="13A596AA" w14:textId="77777777" w:rsidTr="00DE53D7">
        <w:tc>
          <w:tcPr>
            <w:tcW w:w="1967" w:type="dxa"/>
            <w:shd w:val="clear" w:color="auto" w:fill="auto"/>
          </w:tcPr>
          <w:p w14:paraId="1F900101"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 xml:space="preserve">Seilale </w:t>
            </w:r>
            <w:r w:rsidRPr="007E2B6C">
              <w:rPr>
                <w:rFonts w:ascii="Cambria" w:hAnsi="Cambria" w:cs="Times New Roman"/>
                <w:i/>
                <w:iCs/>
                <w:sz w:val="21"/>
                <w:szCs w:val="21"/>
              </w:rPr>
              <w:t>Negeri</w:t>
            </w:r>
          </w:p>
        </w:tc>
        <w:tc>
          <w:tcPr>
            <w:tcW w:w="3845" w:type="dxa"/>
            <w:shd w:val="clear" w:color="auto" w:fill="auto"/>
          </w:tcPr>
          <w:p w14:paraId="728353AF" w14:textId="77777777" w:rsidR="007E2B6C" w:rsidRPr="007E2B6C" w:rsidRDefault="007E2B6C" w:rsidP="007E2B6C">
            <w:pPr>
              <w:numPr>
                <w:ilvl w:val="0"/>
                <w:numId w:val="30"/>
              </w:numPr>
              <w:pBdr>
                <w:top w:val="nil"/>
                <w:left w:val="nil"/>
                <w:bottom w:val="nil"/>
                <w:right w:val="nil"/>
                <w:between w:val="nil"/>
              </w:pBdr>
              <w:spacing w:after="0" w:line="240" w:lineRule="auto"/>
              <w:ind w:left="317" w:hanging="284"/>
              <w:jc w:val="both"/>
              <w:rPr>
                <w:rFonts w:ascii="Cambria" w:hAnsi="Cambria" w:cs="Times New Roman"/>
                <w:color w:val="000000"/>
                <w:sz w:val="21"/>
                <w:szCs w:val="21"/>
              </w:rPr>
            </w:pPr>
            <w:r w:rsidRPr="007E2B6C">
              <w:rPr>
                <w:rFonts w:ascii="Cambria" w:hAnsi="Cambria" w:cs="Times New Roman"/>
                <w:color w:val="000000"/>
                <w:sz w:val="21"/>
                <w:szCs w:val="21"/>
              </w:rPr>
              <w:t xml:space="preserve">Seilale </w:t>
            </w:r>
            <w:r w:rsidRPr="007E2B6C">
              <w:rPr>
                <w:rFonts w:ascii="Cambria" w:hAnsi="Cambria" w:cs="Times New Roman"/>
                <w:sz w:val="21"/>
                <w:szCs w:val="21"/>
              </w:rPr>
              <w:t>Marine Park</w:t>
            </w:r>
          </w:p>
        </w:tc>
        <w:tc>
          <w:tcPr>
            <w:tcW w:w="3260" w:type="dxa"/>
            <w:shd w:val="clear" w:color="auto" w:fill="auto"/>
          </w:tcPr>
          <w:p w14:paraId="332E55FD"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Marine Park</w:t>
            </w:r>
          </w:p>
        </w:tc>
      </w:tr>
      <w:tr w:rsidR="007E2B6C" w:rsidRPr="007E2B6C" w14:paraId="4C61387C" w14:textId="77777777" w:rsidTr="00DE53D7">
        <w:tc>
          <w:tcPr>
            <w:tcW w:w="1967" w:type="dxa"/>
            <w:shd w:val="clear" w:color="auto" w:fill="auto"/>
          </w:tcPr>
          <w:p w14:paraId="5291C3BC"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 xml:space="preserve">Latuhalat </w:t>
            </w:r>
            <w:r w:rsidRPr="007E2B6C">
              <w:rPr>
                <w:rFonts w:ascii="Cambria" w:hAnsi="Cambria" w:cs="Times New Roman"/>
                <w:i/>
                <w:iCs/>
                <w:sz w:val="21"/>
                <w:szCs w:val="21"/>
              </w:rPr>
              <w:t>Negeri</w:t>
            </w:r>
          </w:p>
        </w:tc>
        <w:tc>
          <w:tcPr>
            <w:tcW w:w="3845" w:type="dxa"/>
            <w:shd w:val="clear" w:color="auto" w:fill="auto"/>
          </w:tcPr>
          <w:p w14:paraId="3D0EE42E" w14:textId="77777777" w:rsidR="007E2B6C" w:rsidRPr="007E2B6C" w:rsidRDefault="007E2B6C" w:rsidP="007E2B6C">
            <w:pPr>
              <w:numPr>
                <w:ilvl w:val="0"/>
                <w:numId w:val="31"/>
              </w:numPr>
              <w:pBdr>
                <w:top w:val="nil"/>
                <w:left w:val="nil"/>
                <w:bottom w:val="nil"/>
                <w:right w:val="nil"/>
                <w:between w:val="nil"/>
              </w:pBdr>
              <w:spacing w:after="0" w:line="240" w:lineRule="auto"/>
              <w:ind w:left="317" w:hanging="284"/>
              <w:jc w:val="both"/>
              <w:rPr>
                <w:rFonts w:ascii="Cambria" w:hAnsi="Cambria" w:cs="Times New Roman"/>
                <w:color w:val="000000"/>
                <w:sz w:val="21"/>
                <w:szCs w:val="21"/>
              </w:rPr>
            </w:pPr>
            <w:r w:rsidRPr="007E2B6C">
              <w:rPr>
                <w:rFonts w:ascii="Cambria" w:hAnsi="Cambria" w:cs="Times New Roman"/>
                <w:color w:val="000000"/>
                <w:sz w:val="21"/>
                <w:szCs w:val="21"/>
              </w:rPr>
              <w:t>Namalatu Beach</w:t>
            </w:r>
          </w:p>
          <w:p w14:paraId="7F548D3A" w14:textId="77777777" w:rsidR="007E2B6C" w:rsidRPr="007E2B6C" w:rsidRDefault="007E2B6C" w:rsidP="007E2B6C">
            <w:pPr>
              <w:numPr>
                <w:ilvl w:val="0"/>
                <w:numId w:val="31"/>
              </w:numPr>
              <w:pBdr>
                <w:top w:val="nil"/>
                <w:left w:val="nil"/>
                <w:bottom w:val="nil"/>
                <w:right w:val="nil"/>
                <w:between w:val="nil"/>
              </w:pBdr>
              <w:spacing w:after="0" w:line="240" w:lineRule="auto"/>
              <w:ind w:left="317" w:hanging="284"/>
              <w:jc w:val="both"/>
              <w:rPr>
                <w:rFonts w:ascii="Cambria" w:hAnsi="Cambria" w:cs="Times New Roman"/>
                <w:color w:val="000000"/>
                <w:sz w:val="21"/>
                <w:szCs w:val="21"/>
              </w:rPr>
            </w:pPr>
            <w:r w:rsidRPr="007E2B6C">
              <w:rPr>
                <w:rFonts w:ascii="Cambria" w:hAnsi="Cambria" w:cs="Times New Roman"/>
                <w:color w:val="000000"/>
                <w:sz w:val="21"/>
                <w:szCs w:val="21"/>
              </w:rPr>
              <w:t>Collins Beach</w:t>
            </w:r>
          </w:p>
          <w:p w14:paraId="69BAE613" w14:textId="77777777" w:rsidR="007E2B6C" w:rsidRPr="007E2B6C" w:rsidRDefault="007E2B6C" w:rsidP="007E2B6C">
            <w:pPr>
              <w:numPr>
                <w:ilvl w:val="0"/>
                <w:numId w:val="31"/>
              </w:numPr>
              <w:pBdr>
                <w:top w:val="nil"/>
                <w:left w:val="nil"/>
                <w:bottom w:val="nil"/>
                <w:right w:val="nil"/>
                <w:between w:val="nil"/>
              </w:pBdr>
              <w:spacing w:after="0" w:line="240" w:lineRule="auto"/>
              <w:ind w:left="317" w:hanging="284"/>
              <w:jc w:val="both"/>
              <w:rPr>
                <w:rFonts w:ascii="Cambria" w:hAnsi="Cambria" w:cs="Times New Roman"/>
                <w:color w:val="000000"/>
                <w:sz w:val="21"/>
                <w:szCs w:val="21"/>
              </w:rPr>
            </w:pPr>
            <w:r w:rsidRPr="007E2B6C">
              <w:rPr>
                <w:rFonts w:ascii="Cambria" w:hAnsi="Cambria" w:cs="Times New Roman"/>
                <w:color w:val="000000"/>
                <w:sz w:val="21"/>
                <w:szCs w:val="21"/>
              </w:rPr>
              <w:t>Santai Beach</w:t>
            </w:r>
          </w:p>
          <w:p w14:paraId="4219586B" w14:textId="77777777" w:rsidR="007E2B6C" w:rsidRPr="007E2B6C" w:rsidRDefault="007E2B6C" w:rsidP="007E2B6C">
            <w:pPr>
              <w:numPr>
                <w:ilvl w:val="0"/>
                <w:numId w:val="31"/>
              </w:numPr>
              <w:pBdr>
                <w:top w:val="nil"/>
                <w:left w:val="nil"/>
                <w:bottom w:val="nil"/>
                <w:right w:val="nil"/>
                <w:between w:val="nil"/>
              </w:pBdr>
              <w:spacing w:after="0" w:line="240" w:lineRule="auto"/>
              <w:ind w:left="317" w:hanging="284"/>
              <w:jc w:val="both"/>
              <w:rPr>
                <w:rFonts w:ascii="Cambria" w:hAnsi="Cambria" w:cs="Times New Roman"/>
                <w:color w:val="000000"/>
                <w:sz w:val="21"/>
                <w:szCs w:val="21"/>
              </w:rPr>
            </w:pPr>
            <w:r w:rsidRPr="007E2B6C">
              <w:rPr>
                <w:rFonts w:ascii="Cambria" w:hAnsi="Cambria" w:cs="Times New Roman"/>
                <w:color w:val="000000"/>
                <w:sz w:val="21"/>
                <w:szCs w:val="21"/>
              </w:rPr>
              <w:t xml:space="preserve">Namalatu </w:t>
            </w:r>
            <w:r w:rsidRPr="007E2B6C">
              <w:rPr>
                <w:rFonts w:ascii="Cambria" w:hAnsi="Cambria" w:cs="Times New Roman"/>
                <w:sz w:val="21"/>
                <w:szCs w:val="21"/>
              </w:rPr>
              <w:t>Marine Park</w:t>
            </w:r>
          </w:p>
          <w:p w14:paraId="6161E1D4" w14:textId="77777777" w:rsidR="007E2B6C" w:rsidRPr="007E2B6C" w:rsidRDefault="007E2B6C" w:rsidP="007E2B6C">
            <w:pPr>
              <w:numPr>
                <w:ilvl w:val="0"/>
                <w:numId w:val="31"/>
              </w:numPr>
              <w:pBdr>
                <w:top w:val="nil"/>
                <w:left w:val="nil"/>
                <w:bottom w:val="nil"/>
                <w:right w:val="nil"/>
                <w:between w:val="nil"/>
              </w:pBdr>
              <w:spacing w:after="0" w:line="240" w:lineRule="auto"/>
              <w:ind w:left="317" w:hanging="284"/>
              <w:jc w:val="both"/>
              <w:rPr>
                <w:rFonts w:ascii="Cambria" w:hAnsi="Cambria" w:cs="Times New Roman"/>
                <w:color w:val="000000"/>
                <w:sz w:val="21"/>
                <w:szCs w:val="21"/>
              </w:rPr>
            </w:pPr>
            <w:r w:rsidRPr="007E2B6C">
              <w:rPr>
                <w:rFonts w:ascii="Cambria" w:hAnsi="Cambria" w:cs="Times New Roman"/>
                <w:color w:val="000000"/>
                <w:sz w:val="21"/>
                <w:szCs w:val="21"/>
              </w:rPr>
              <w:t>Park Latuhalat Marine Park</w:t>
            </w:r>
          </w:p>
          <w:p w14:paraId="03215D82" w14:textId="77777777" w:rsidR="007E2B6C" w:rsidRPr="007E2B6C" w:rsidRDefault="007E2B6C" w:rsidP="007E2B6C">
            <w:pPr>
              <w:numPr>
                <w:ilvl w:val="0"/>
                <w:numId w:val="31"/>
              </w:numPr>
              <w:pBdr>
                <w:top w:val="nil"/>
                <w:left w:val="nil"/>
                <w:bottom w:val="nil"/>
                <w:right w:val="nil"/>
                <w:between w:val="nil"/>
              </w:pBdr>
              <w:spacing w:after="0" w:line="240" w:lineRule="auto"/>
              <w:ind w:left="317" w:hanging="284"/>
              <w:jc w:val="both"/>
              <w:rPr>
                <w:rFonts w:ascii="Cambria" w:hAnsi="Cambria" w:cs="Times New Roman"/>
                <w:color w:val="000000"/>
                <w:sz w:val="21"/>
                <w:szCs w:val="21"/>
              </w:rPr>
            </w:pPr>
            <w:r w:rsidRPr="007E2B6C">
              <w:rPr>
                <w:rFonts w:ascii="Cambria" w:hAnsi="Cambria" w:cs="Times New Roman"/>
                <w:color w:val="000000"/>
                <w:sz w:val="21"/>
                <w:szCs w:val="21"/>
              </w:rPr>
              <w:t xml:space="preserve">Tanjung Batu Konde </w:t>
            </w:r>
          </w:p>
          <w:p w14:paraId="320CEF63" w14:textId="77777777" w:rsidR="007E2B6C" w:rsidRPr="007E2B6C" w:rsidRDefault="007E2B6C" w:rsidP="007E2B6C">
            <w:pPr>
              <w:numPr>
                <w:ilvl w:val="0"/>
                <w:numId w:val="31"/>
              </w:numPr>
              <w:pBdr>
                <w:top w:val="nil"/>
                <w:left w:val="nil"/>
                <w:bottom w:val="nil"/>
                <w:right w:val="nil"/>
                <w:between w:val="nil"/>
              </w:pBdr>
              <w:spacing w:after="0" w:line="240" w:lineRule="auto"/>
              <w:ind w:left="317" w:hanging="284"/>
              <w:jc w:val="both"/>
              <w:rPr>
                <w:rFonts w:ascii="Cambria" w:hAnsi="Cambria" w:cs="Times New Roman"/>
                <w:color w:val="000000"/>
                <w:sz w:val="21"/>
                <w:szCs w:val="21"/>
              </w:rPr>
            </w:pPr>
            <w:r w:rsidRPr="007E2B6C">
              <w:rPr>
                <w:rFonts w:ascii="Cambria" w:hAnsi="Cambria" w:cs="Times New Roman"/>
                <w:color w:val="000000"/>
                <w:sz w:val="21"/>
                <w:szCs w:val="21"/>
              </w:rPr>
              <w:t xml:space="preserve">Inauguration of King </w:t>
            </w:r>
          </w:p>
        </w:tc>
        <w:tc>
          <w:tcPr>
            <w:tcW w:w="3260" w:type="dxa"/>
            <w:shd w:val="clear" w:color="auto" w:fill="auto"/>
          </w:tcPr>
          <w:p w14:paraId="3548746C"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Beach</w:t>
            </w:r>
          </w:p>
          <w:p w14:paraId="37A71A58"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Beach</w:t>
            </w:r>
          </w:p>
          <w:p w14:paraId="20AA63E8"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Beach</w:t>
            </w:r>
          </w:p>
          <w:p w14:paraId="43C78F20"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Marine Park</w:t>
            </w:r>
          </w:p>
          <w:p w14:paraId="59CAA247"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Marine Park</w:t>
            </w:r>
          </w:p>
          <w:p w14:paraId="4DC06DF6"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Marine Park *)</w:t>
            </w:r>
          </w:p>
          <w:p w14:paraId="6A474CFB"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Indigenous</w:t>
            </w:r>
          </w:p>
        </w:tc>
      </w:tr>
    </w:tbl>
    <w:p w14:paraId="48C0DE30" w14:textId="77777777" w:rsidR="007E2B6C" w:rsidRPr="007E2B6C" w:rsidRDefault="007E2B6C" w:rsidP="007E2B6C">
      <w:pPr>
        <w:spacing w:after="0" w:line="240" w:lineRule="auto"/>
        <w:rPr>
          <w:rFonts w:ascii="Cambria" w:hAnsi="Cambria" w:cs="Times New Roman"/>
          <w:sz w:val="21"/>
          <w:szCs w:val="21"/>
        </w:rPr>
      </w:pPr>
      <w:proofErr w:type="gramStart"/>
      <w:r w:rsidRPr="007E2B6C">
        <w:rPr>
          <w:rFonts w:ascii="Cambria" w:hAnsi="Cambria" w:cs="Times New Roman"/>
          <w:sz w:val="21"/>
          <w:szCs w:val="21"/>
        </w:rPr>
        <w:t>Remarks :</w:t>
      </w:r>
      <w:proofErr w:type="gramEnd"/>
      <w:r w:rsidRPr="007E2B6C">
        <w:rPr>
          <w:rFonts w:ascii="Cambria" w:hAnsi="Cambria" w:cs="Times New Roman"/>
          <w:sz w:val="21"/>
          <w:szCs w:val="21"/>
        </w:rPr>
        <w:t xml:space="preserve"> *) Not yet developed</w:t>
      </w:r>
    </w:p>
    <w:p w14:paraId="2A18BBEB" w14:textId="77777777" w:rsidR="007E2B6C" w:rsidRPr="007E2B6C" w:rsidRDefault="007E2B6C" w:rsidP="007E2B6C">
      <w:pPr>
        <w:spacing w:after="0" w:line="240" w:lineRule="auto"/>
        <w:rPr>
          <w:rFonts w:ascii="Cambria" w:hAnsi="Cambria" w:cs="Times New Roman"/>
          <w:sz w:val="21"/>
          <w:szCs w:val="21"/>
        </w:rPr>
      </w:pPr>
    </w:p>
    <w:p w14:paraId="11EDF01B" w14:textId="77777777" w:rsidR="007E2B6C" w:rsidRPr="007E2B6C" w:rsidRDefault="007E2B6C" w:rsidP="007E2B6C">
      <w:pPr>
        <w:spacing w:after="0" w:line="240" w:lineRule="auto"/>
        <w:rPr>
          <w:rFonts w:ascii="Cambria" w:hAnsi="Cambria" w:cs="Times New Roman"/>
          <w:b/>
          <w:sz w:val="21"/>
          <w:szCs w:val="21"/>
        </w:rPr>
      </w:pPr>
    </w:p>
    <w:p w14:paraId="7020E517" w14:textId="77777777" w:rsidR="007E2B6C" w:rsidRPr="007E2B6C" w:rsidRDefault="007E2B6C" w:rsidP="007E2B6C">
      <w:pPr>
        <w:spacing w:after="0" w:line="240" w:lineRule="auto"/>
        <w:rPr>
          <w:rFonts w:ascii="Cambria" w:hAnsi="Cambria" w:cs="Times New Roman"/>
          <w:b/>
          <w:i/>
          <w:sz w:val="21"/>
          <w:szCs w:val="21"/>
        </w:rPr>
      </w:pPr>
      <w:r w:rsidRPr="007E2B6C">
        <w:rPr>
          <w:rFonts w:ascii="Cambria" w:hAnsi="Cambria" w:cs="Times New Roman"/>
          <w:b/>
          <w:i/>
          <w:sz w:val="21"/>
          <w:szCs w:val="21"/>
        </w:rPr>
        <w:t>Nature Tourism in Amahusu</w:t>
      </w:r>
    </w:p>
    <w:p w14:paraId="3901A6C8" w14:textId="77777777" w:rsidR="007E2B6C" w:rsidRPr="007E2B6C" w:rsidRDefault="007E2B6C" w:rsidP="007E2B6C">
      <w:pPr>
        <w:spacing w:after="0" w:line="240" w:lineRule="auto"/>
        <w:ind w:firstLine="720"/>
        <w:jc w:val="both"/>
        <w:rPr>
          <w:rFonts w:ascii="Cambria" w:hAnsi="Cambria" w:cs="Times New Roman"/>
          <w:sz w:val="21"/>
          <w:szCs w:val="21"/>
          <w:lang w:val="en-ID"/>
        </w:rPr>
      </w:pPr>
      <w:r w:rsidRPr="007E2B6C">
        <w:rPr>
          <w:rFonts w:ascii="Cambria" w:hAnsi="Cambria" w:cs="Times New Roman"/>
          <w:sz w:val="21"/>
          <w:szCs w:val="21"/>
          <w:lang w:val="en-ID"/>
        </w:rPr>
        <w:t xml:space="preserve">The Amahusu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is one of five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in the Nusaniwe sub-district, Ambon city and is located in the center of the Nusaniwe sub-district. This area is located in coastal areas and hilly areas with a distance to the capital city ± 25 minutes and approximately 8 km. The total area of </w:t>
      </w:r>
      <w:r w:rsidRPr="007E2B6C">
        <w:rPr>
          <w:rFonts w:ascii="Cambria" w:hAnsi="Cambria"/>
          <w:sz w:val="21"/>
          <w:szCs w:val="21"/>
          <w:lang w:val="en-ID"/>
        </w:rPr>
        <w:t>​​</w:t>
      </w:r>
      <w:r w:rsidRPr="007E2B6C">
        <w:rPr>
          <w:rFonts w:ascii="Cambria" w:hAnsi="Cambria" w:cs="Times New Roman"/>
          <w:sz w:val="21"/>
          <w:szCs w:val="21"/>
          <w:lang w:val="en-ID"/>
        </w:rPr>
        <w:t xml:space="preserve">Amahusu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with its geographical location, is in the lowlands and the coast, with an altitude of 120 meters above sea level, with a total area of </w:t>
      </w:r>
      <w:r w:rsidRPr="007E2B6C">
        <w:rPr>
          <w:rFonts w:ascii="Cambria" w:hAnsi="Cambria"/>
          <w:sz w:val="21"/>
          <w:szCs w:val="21"/>
          <w:lang w:val="en-ID"/>
        </w:rPr>
        <w:t>​​</w:t>
      </w:r>
      <w:r w:rsidRPr="007E2B6C">
        <w:rPr>
          <w:rFonts w:ascii="Cambria" w:hAnsi="Cambria" w:cs="Verdana"/>
          <w:sz w:val="21"/>
          <w:szCs w:val="21"/>
          <w:lang w:val="en-ID"/>
        </w:rPr>
        <w:t>±</w:t>
      </w:r>
      <w:r w:rsidRPr="007E2B6C">
        <w:rPr>
          <w:rFonts w:ascii="Cambria" w:hAnsi="Cambria" w:cs="Times New Roman"/>
          <w:sz w:val="21"/>
          <w:szCs w:val="21"/>
          <w:lang w:val="en-ID"/>
        </w:rPr>
        <w:t xml:space="preserve"> 838.90 ha.</w:t>
      </w:r>
    </w:p>
    <w:p w14:paraId="0F681110" w14:textId="77777777" w:rsidR="007E2B6C" w:rsidRDefault="007E2B6C" w:rsidP="007E2B6C">
      <w:pPr>
        <w:spacing w:after="0" w:line="240" w:lineRule="auto"/>
        <w:ind w:firstLine="720"/>
        <w:jc w:val="both"/>
        <w:rPr>
          <w:rFonts w:ascii="Cambria" w:hAnsi="Cambria" w:cs="Times New Roman"/>
          <w:sz w:val="21"/>
          <w:szCs w:val="21"/>
        </w:rPr>
      </w:pPr>
      <w:r w:rsidRPr="007E2B6C">
        <w:rPr>
          <w:rFonts w:ascii="Cambria" w:hAnsi="Cambria" w:cs="Times New Roman"/>
          <w:sz w:val="21"/>
          <w:szCs w:val="21"/>
          <w:lang w:val="en-ID"/>
        </w:rPr>
        <w:t xml:space="preserve">Amahusu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or the so-called traditional village, is located in the west ±, 8 km from the centre of Ambon city. This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has existed since the XIII century and is led by the head of the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Government (king), who is elected or appointed based on the descendants of the house of command. The origin of the inhabitants of the Amahusu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according to stories from generation to generation, comes from the islands of Seram, Java, Papua, and Banda Neira</w:t>
      </w:r>
      <w:r w:rsidRPr="007E2B6C">
        <w:rPr>
          <w:rFonts w:ascii="Cambria" w:hAnsi="Cambria" w:cs="Times New Roman"/>
          <w:sz w:val="21"/>
          <w:szCs w:val="21"/>
        </w:rPr>
        <w:t>.</w:t>
      </w:r>
    </w:p>
    <w:p w14:paraId="1C5C7E49" w14:textId="77777777" w:rsidR="00B06175" w:rsidRDefault="00B06175" w:rsidP="007E2B6C">
      <w:pPr>
        <w:spacing w:after="0" w:line="240" w:lineRule="auto"/>
        <w:ind w:firstLine="720"/>
        <w:jc w:val="both"/>
        <w:rPr>
          <w:rFonts w:ascii="Cambria" w:hAnsi="Cambria" w:cs="Times New Roman"/>
          <w:sz w:val="21"/>
          <w:szCs w:val="21"/>
        </w:rPr>
      </w:pPr>
    </w:p>
    <w:p w14:paraId="236585F2" w14:textId="77777777" w:rsidR="00B06175" w:rsidRPr="007E2B6C" w:rsidRDefault="00B06175" w:rsidP="007E2B6C">
      <w:pPr>
        <w:spacing w:after="0" w:line="240" w:lineRule="auto"/>
        <w:ind w:firstLine="720"/>
        <w:jc w:val="both"/>
        <w:rPr>
          <w:rFonts w:ascii="Cambria" w:hAnsi="Cambria" w:cs="Times New Roman"/>
          <w:sz w:val="21"/>
          <w:szCs w:val="21"/>
          <w:lang w:val="en-ID"/>
        </w:rPr>
      </w:pPr>
    </w:p>
    <w:p w14:paraId="26635474" w14:textId="77777777" w:rsidR="007E2B6C" w:rsidRPr="007E2B6C" w:rsidRDefault="007E2B6C" w:rsidP="007E2B6C">
      <w:pPr>
        <w:spacing w:after="0" w:line="240" w:lineRule="auto"/>
        <w:jc w:val="both"/>
        <w:rPr>
          <w:rFonts w:ascii="Cambria" w:hAnsi="Cambria" w:cs="Times New Roman"/>
          <w:b/>
          <w:sz w:val="21"/>
          <w:szCs w:val="21"/>
        </w:rPr>
      </w:pPr>
    </w:p>
    <w:p w14:paraId="4BAB9E1D" w14:textId="77777777" w:rsidR="007E2B6C" w:rsidRPr="007E2B6C" w:rsidRDefault="007E2B6C" w:rsidP="007E2B6C">
      <w:pPr>
        <w:spacing w:after="0" w:line="240" w:lineRule="auto"/>
        <w:jc w:val="both"/>
        <w:rPr>
          <w:rFonts w:ascii="Cambria" w:hAnsi="Cambria" w:cs="Times New Roman"/>
          <w:b/>
          <w:i/>
          <w:sz w:val="21"/>
          <w:szCs w:val="21"/>
        </w:rPr>
      </w:pPr>
      <w:r w:rsidRPr="007E2B6C">
        <w:rPr>
          <w:rFonts w:ascii="Cambria" w:hAnsi="Cambria" w:cs="Times New Roman"/>
          <w:b/>
          <w:i/>
          <w:sz w:val="21"/>
          <w:szCs w:val="21"/>
        </w:rPr>
        <w:lastRenderedPageBreak/>
        <w:t>Tourism potential of beach</w:t>
      </w:r>
    </w:p>
    <w:p w14:paraId="11DD8C50" w14:textId="77777777" w:rsidR="007E2B6C" w:rsidRPr="007E2B6C" w:rsidRDefault="007E2B6C" w:rsidP="007E2B6C">
      <w:pPr>
        <w:pStyle w:val="ListParagraph"/>
        <w:numPr>
          <w:ilvl w:val="0"/>
          <w:numId w:val="35"/>
        </w:numPr>
        <w:pBdr>
          <w:top w:val="nil"/>
          <w:left w:val="nil"/>
          <w:bottom w:val="nil"/>
          <w:right w:val="nil"/>
          <w:between w:val="nil"/>
        </w:pBdr>
        <w:tabs>
          <w:tab w:val="left" w:pos="284"/>
        </w:tabs>
        <w:spacing w:after="0" w:line="240" w:lineRule="auto"/>
        <w:ind w:hanging="3905"/>
        <w:contextualSpacing/>
        <w:rPr>
          <w:rFonts w:ascii="Cambria" w:hAnsi="Cambria"/>
          <w:b/>
          <w:i/>
          <w:color w:val="000000"/>
          <w:sz w:val="21"/>
          <w:szCs w:val="21"/>
        </w:rPr>
      </w:pPr>
      <w:r w:rsidRPr="007E2B6C">
        <w:rPr>
          <w:rFonts w:ascii="Cambria" w:hAnsi="Cambria"/>
          <w:b/>
          <w:i/>
          <w:color w:val="000000"/>
          <w:sz w:val="21"/>
          <w:szCs w:val="21"/>
        </w:rPr>
        <w:t>Batu Capeu Beach (Batu Topi)</w:t>
      </w:r>
    </w:p>
    <w:p w14:paraId="7B5CA15D"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 xml:space="preserve">On the entrance to Amahusu </w:t>
      </w:r>
      <w:r w:rsidRPr="007E2B6C">
        <w:rPr>
          <w:rFonts w:ascii="Cambria" w:hAnsi="Cambria"/>
          <w:i/>
          <w:iCs/>
          <w:color w:val="0E101A"/>
          <w:sz w:val="21"/>
          <w:szCs w:val="21"/>
        </w:rPr>
        <w:t>negeri</w:t>
      </w:r>
      <w:r w:rsidRPr="007E2B6C">
        <w:rPr>
          <w:rFonts w:ascii="Cambria" w:hAnsi="Cambria"/>
          <w:color w:val="0E101A"/>
          <w:sz w:val="21"/>
          <w:szCs w:val="21"/>
        </w:rPr>
        <w:t xml:space="preserve"> on the beach, a large rock makes this beach have its characteristics: a rock resembling a typical Portuguese capeu or hat. On top of the rock, some plants cover the capeu (hat). Stone models like this are rarely found elsewhere. Therefore, this beach is better known as Batu Capeu beach. Batu Capeu is surrounded by coral sand beaches with panoramic views of Ambon Bay. This beach has calm waves and clear seawater, and visitors can enjoy a panoramic view of the sunset on the sea off Tanjung Alang. There is a myth about the formation of the Capeu Stone. Once a girl from Soya </w:t>
      </w:r>
      <w:r w:rsidRPr="007E2B6C">
        <w:rPr>
          <w:rFonts w:ascii="Cambria" w:hAnsi="Cambria"/>
          <w:i/>
          <w:iCs/>
          <w:color w:val="0E101A"/>
          <w:sz w:val="21"/>
          <w:szCs w:val="21"/>
        </w:rPr>
        <w:t>negeri</w:t>
      </w:r>
      <w:r w:rsidRPr="007E2B6C">
        <w:rPr>
          <w:rFonts w:ascii="Cambria" w:hAnsi="Cambria"/>
          <w:color w:val="0E101A"/>
          <w:sz w:val="21"/>
          <w:szCs w:val="21"/>
        </w:rPr>
        <w:t xml:space="preserve"> ran away from her house and had time to cross this beach by using a horse. While on the way, the hat the girl was wearing fell, but when she was about to pick it up, it turned into a stone.</w:t>
      </w:r>
    </w:p>
    <w:p w14:paraId="2BA777DB"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The location of tourist attraction is located opposite the Siwalima Museum. The accessibility of this location is also very easy from the city center. You can use public transportation to Amahusu and Latuhalat for Rp. 3.500, - (Amahusu) and the price is Rp. 5.000</w:t>
      </w:r>
      <w:proofErr w:type="gramStart"/>
      <w:r w:rsidRPr="007E2B6C">
        <w:rPr>
          <w:rFonts w:ascii="Cambria" w:hAnsi="Cambria"/>
          <w:color w:val="0E101A"/>
          <w:sz w:val="21"/>
          <w:szCs w:val="21"/>
        </w:rPr>
        <w:t>,-</w:t>
      </w:r>
      <w:proofErr w:type="gramEnd"/>
      <w:r w:rsidRPr="007E2B6C">
        <w:rPr>
          <w:rFonts w:ascii="Cambria" w:hAnsi="Cambria"/>
          <w:color w:val="0E101A"/>
          <w:sz w:val="21"/>
          <w:szCs w:val="21"/>
        </w:rPr>
        <w:t xml:space="preserve"> (Latuhalat). However, the supporting infrastructure for this ODTW is inadequate.</w:t>
      </w:r>
    </w:p>
    <w:p w14:paraId="52ADC4D4"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6F64E2A9" w14:textId="77777777" w:rsidR="007E2B6C" w:rsidRPr="007E2B6C" w:rsidRDefault="007E2B6C" w:rsidP="007E2B6C">
      <w:pPr>
        <w:pStyle w:val="NormalWeb"/>
        <w:numPr>
          <w:ilvl w:val="0"/>
          <w:numId w:val="35"/>
        </w:numPr>
        <w:spacing w:before="0" w:beforeAutospacing="0" w:after="0" w:afterAutospacing="0"/>
        <w:ind w:left="284" w:hanging="284"/>
        <w:jc w:val="both"/>
        <w:rPr>
          <w:rFonts w:ascii="Cambria" w:hAnsi="Cambria"/>
          <w:i/>
          <w:color w:val="0E101A"/>
          <w:sz w:val="21"/>
          <w:szCs w:val="21"/>
        </w:rPr>
      </w:pPr>
      <w:r w:rsidRPr="007E2B6C">
        <w:rPr>
          <w:rStyle w:val="Strong"/>
          <w:rFonts w:ascii="Cambria" w:hAnsi="Cambria"/>
          <w:i/>
          <w:color w:val="0E101A"/>
          <w:sz w:val="21"/>
          <w:szCs w:val="21"/>
        </w:rPr>
        <w:t>Batu Lubang</w:t>
      </w:r>
    </w:p>
    <w:p w14:paraId="0C5871F2"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Another potential in Amahusu </w:t>
      </w:r>
      <w:r w:rsidRPr="007E2B6C">
        <w:rPr>
          <w:rStyle w:val="Emphasis"/>
          <w:rFonts w:ascii="Cambria" w:hAnsi="Cambria"/>
          <w:color w:val="0E101A"/>
          <w:sz w:val="21"/>
          <w:szCs w:val="21"/>
        </w:rPr>
        <w:t>Negeri</w:t>
      </w:r>
      <w:r w:rsidRPr="007E2B6C">
        <w:rPr>
          <w:rFonts w:ascii="Cambria" w:hAnsi="Cambria"/>
          <w:color w:val="0E101A"/>
          <w:sz w:val="21"/>
          <w:szCs w:val="21"/>
        </w:rPr>
        <w:t> is Batu Lubang Beach. It is located not far from Batu Capeu beach. Visitors can go directly to Batu Lubang beach by descending nearly 100 steps. This tourist attraction has undergone a few changes since the conflict ended in Ambon City, namely constructing stairs to get to Batu Lubang beach, which Ambon City Tourism and Culture Office built. In addition to offering a place to swim, this tourist attraction also has a unique Goa. In addition, just like Batu Capeu, visitors can also enjoy the beautiful sunset.</w:t>
      </w:r>
    </w:p>
    <w:p w14:paraId="381810D4"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Visitors who want to visit this location are only charged a cleaning fee of Rp. 5,000, - up to Rp. 10,000, - which can be directly given to the coast guard. Access to this location is also the same as Batu Capeu beach, where visitors can use two-wheeled or four-wheeled vehicles or public transportation to Amahusu or Latuhalat at Rp. 3.500, for Amahusu and Rp. 5.000</w:t>
      </w:r>
      <w:proofErr w:type="gramStart"/>
      <w:r w:rsidRPr="007E2B6C">
        <w:rPr>
          <w:rFonts w:ascii="Cambria" w:hAnsi="Cambria"/>
          <w:color w:val="0E101A"/>
          <w:sz w:val="21"/>
          <w:szCs w:val="21"/>
        </w:rPr>
        <w:t>,-</w:t>
      </w:r>
      <w:proofErr w:type="gramEnd"/>
      <w:r w:rsidRPr="007E2B6C">
        <w:rPr>
          <w:rFonts w:ascii="Cambria" w:hAnsi="Cambria"/>
          <w:color w:val="0E101A"/>
          <w:sz w:val="21"/>
          <w:szCs w:val="21"/>
        </w:rPr>
        <w:t xml:space="preserve"> for Latuhalat.</w:t>
      </w:r>
    </w:p>
    <w:p w14:paraId="0E4A6C89"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58327D3D" w14:textId="77777777" w:rsidR="007E2B6C" w:rsidRPr="007E2B6C" w:rsidRDefault="007E2B6C" w:rsidP="007E2B6C">
      <w:pPr>
        <w:pStyle w:val="NormalWeb"/>
        <w:numPr>
          <w:ilvl w:val="0"/>
          <w:numId w:val="35"/>
        </w:numPr>
        <w:spacing w:before="0" w:beforeAutospacing="0" w:after="0" w:afterAutospacing="0"/>
        <w:ind w:left="284" w:hanging="284"/>
        <w:jc w:val="both"/>
        <w:rPr>
          <w:rFonts w:ascii="Cambria" w:hAnsi="Cambria"/>
          <w:i/>
          <w:color w:val="0E101A"/>
          <w:sz w:val="21"/>
          <w:szCs w:val="21"/>
        </w:rPr>
      </w:pPr>
      <w:r w:rsidRPr="007E2B6C">
        <w:rPr>
          <w:rStyle w:val="Strong"/>
          <w:rFonts w:ascii="Cambria" w:hAnsi="Cambria"/>
          <w:i/>
          <w:color w:val="0E101A"/>
          <w:sz w:val="21"/>
          <w:szCs w:val="21"/>
        </w:rPr>
        <w:t>Tourism at Waititei Beach or Tirta</w:t>
      </w:r>
    </w:p>
    <w:p w14:paraId="23FB7337"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Beach Waititei Beach is located next to the Tirta Kencana Hotel and finishes the Darwin – Ambon Yacht Race regatta activity in July, which is </w:t>
      </w:r>
      <w:proofErr w:type="gramStart"/>
      <w:r w:rsidRPr="007E2B6C">
        <w:rPr>
          <w:rFonts w:ascii="Cambria" w:hAnsi="Cambria"/>
          <w:color w:val="0E101A"/>
          <w:sz w:val="21"/>
          <w:szCs w:val="21"/>
        </w:rPr>
        <w:t>a collaboration</w:t>
      </w:r>
      <w:proofErr w:type="gramEnd"/>
      <w:r w:rsidRPr="007E2B6C">
        <w:rPr>
          <w:rFonts w:ascii="Cambria" w:hAnsi="Cambria"/>
          <w:color w:val="0E101A"/>
          <w:sz w:val="21"/>
          <w:szCs w:val="21"/>
        </w:rPr>
        <w:t xml:space="preserve"> between the Ambon city government and the Northern Territory (Darwin-Australia). Waititei Beach is also one of the places where the bay party is held to welcome the birth of the city of Ambon in September, one of which is the manggurebe boat that starts on this Waititei beach. In addition to the two events always held every year along this beach, visitors will also be spoiled with natural views in the afternoon, namely the sunset. A bridge made of wood has been built like a pier where sailing ships from Darwin to Ambon can rest. However, local people and visitors can also fish on the pier. This situation allows Waititei beach to become one of the attractions of special interest (ecotourism) where in addition to enjoying the natural scenery with the background of the Leihitu peninsula mountains, a place to swim, a place to exercise in the form of mini soccer balls, culinary tourism and agrotourism, visitors can also fish on the Waititei beach. </w:t>
      </w:r>
    </w:p>
    <w:p w14:paraId="007FC799" w14:textId="77777777" w:rsidR="007E2B6C" w:rsidRPr="007E2B6C" w:rsidRDefault="007E2B6C" w:rsidP="007E2B6C">
      <w:pPr>
        <w:pStyle w:val="NormalWeb"/>
        <w:spacing w:before="0" w:beforeAutospacing="0" w:after="0" w:afterAutospacing="0"/>
        <w:jc w:val="both"/>
        <w:rPr>
          <w:rStyle w:val="Strong"/>
          <w:rFonts w:ascii="Cambria" w:hAnsi="Cambria"/>
          <w:color w:val="0E101A"/>
          <w:sz w:val="21"/>
          <w:szCs w:val="21"/>
        </w:rPr>
      </w:pPr>
    </w:p>
    <w:p w14:paraId="4118D80D"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Style w:val="Strong"/>
          <w:rFonts w:ascii="Cambria" w:hAnsi="Cambria"/>
          <w:color w:val="0E101A"/>
          <w:sz w:val="21"/>
          <w:szCs w:val="21"/>
        </w:rPr>
        <w:t xml:space="preserve">Nusaniwe </w:t>
      </w:r>
      <w:r w:rsidRPr="007E2B6C">
        <w:rPr>
          <w:rStyle w:val="Strong"/>
          <w:rFonts w:ascii="Cambria" w:hAnsi="Cambria"/>
          <w:i/>
          <w:iCs/>
          <w:color w:val="0E101A"/>
          <w:sz w:val="21"/>
          <w:szCs w:val="21"/>
        </w:rPr>
        <w:t>Negeri</w:t>
      </w:r>
      <w:r w:rsidRPr="007E2B6C">
        <w:rPr>
          <w:rStyle w:val="Strong"/>
          <w:rFonts w:ascii="Cambria" w:hAnsi="Cambria"/>
          <w:color w:val="0E101A"/>
          <w:sz w:val="21"/>
          <w:szCs w:val="21"/>
        </w:rPr>
        <w:t> </w:t>
      </w:r>
    </w:p>
    <w:p w14:paraId="71254FA6"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Nusaniwe </w:t>
      </w:r>
      <w:r w:rsidRPr="007E2B6C">
        <w:rPr>
          <w:rFonts w:ascii="Cambria" w:hAnsi="Cambria"/>
          <w:i/>
          <w:iCs/>
          <w:color w:val="0E101A"/>
          <w:sz w:val="21"/>
          <w:szCs w:val="21"/>
        </w:rPr>
        <w:t>Negeri</w:t>
      </w:r>
      <w:r w:rsidRPr="007E2B6C">
        <w:rPr>
          <w:rFonts w:ascii="Cambria" w:hAnsi="Cambria"/>
          <w:color w:val="0E101A"/>
          <w:sz w:val="21"/>
          <w:szCs w:val="21"/>
        </w:rPr>
        <w:t xml:space="preserve"> is also one of the Indigenous </w:t>
      </w:r>
      <w:r w:rsidRPr="007E2B6C">
        <w:rPr>
          <w:rFonts w:ascii="Cambria" w:hAnsi="Cambria"/>
          <w:i/>
          <w:iCs/>
          <w:color w:val="0E101A"/>
          <w:sz w:val="21"/>
          <w:szCs w:val="21"/>
        </w:rPr>
        <w:t>Negeri</w:t>
      </w:r>
      <w:r w:rsidRPr="007E2B6C">
        <w:rPr>
          <w:rFonts w:ascii="Cambria" w:hAnsi="Cambria"/>
          <w:color w:val="0E101A"/>
          <w:sz w:val="21"/>
          <w:szCs w:val="21"/>
        </w:rPr>
        <w:t xml:space="preserve"> in Ambon City with some global beach tourism potential and the potential for the community's cultural history that can be used as tourist objects.</w:t>
      </w:r>
    </w:p>
    <w:p w14:paraId="3F6D924F"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Style w:val="Strong"/>
          <w:rFonts w:ascii="Cambria" w:hAnsi="Cambria"/>
          <w:color w:val="0E101A"/>
          <w:sz w:val="21"/>
          <w:szCs w:val="21"/>
        </w:rPr>
        <w:t>a. Natural Scenery</w:t>
      </w:r>
    </w:p>
    <w:p w14:paraId="6992B60A"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Beautiful scenery can be enjoyed in the area of </w:t>
      </w:r>
      <w:r w:rsidRPr="007E2B6C">
        <w:rPr>
          <w:rFonts w:ascii="Cambria" w:hAnsi="Cambria" w:cs="Arial"/>
          <w:color w:val="0E101A"/>
          <w:sz w:val="21"/>
          <w:szCs w:val="21"/>
        </w:rPr>
        <w:t>​​​​</w:t>
      </w:r>
      <w:r w:rsidRPr="007E2B6C">
        <w:rPr>
          <w:rFonts w:ascii="Cambria" w:hAnsi="Cambria"/>
          <w:color w:val="0E101A"/>
          <w:sz w:val="21"/>
          <w:szCs w:val="21"/>
        </w:rPr>
        <w:t xml:space="preserve">Mount Dua, with the tourist location "Taman Lapang Tree Cinta." Visitors will immediately enjoy the beauty of the Banda Sea and Nusaniwe </w:t>
      </w:r>
      <w:r w:rsidRPr="007E2B6C">
        <w:rPr>
          <w:rFonts w:ascii="Cambria" w:hAnsi="Cambria"/>
          <w:i/>
          <w:iCs/>
          <w:color w:val="0E101A"/>
          <w:sz w:val="21"/>
          <w:szCs w:val="21"/>
        </w:rPr>
        <w:t>Negeri</w:t>
      </w:r>
      <w:r w:rsidRPr="007E2B6C">
        <w:rPr>
          <w:rFonts w:ascii="Cambria" w:hAnsi="Cambria"/>
          <w:color w:val="0E101A"/>
          <w:sz w:val="21"/>
          <w:szCs w:val="21"/>
        </w:rPr>
        <w:t xml:space="preserve">, Airlouw hamlet, Latuhalat </w:t>
      </w:r>
      <w:r w:rsidRPr="007E2B6C">
        <w:rPr>
          <w:rFonts w:ascii="Cambria" w:hAnsi="Cambria"/>
          <w:i/>
          <w:iCs/>
          <w:color w:val="0E101A"/>
          <w:sz w:val="21"/>
          <w:szCs w:val="21"/>
        </w:rPr>
        <w:t>Negeri</w:t>
      </w:r>
      <w:r w:rsidRPr="007E2B6C">
        <w:rPr>
          <w:rFonts w:ascii="Cambria" w:hAnsi="Cambria"/>
          <w:color w:val="0E101A"/>
          <w:sz w:val="21"/>
          <w:szCs w:val="21"/>
        </w:rPr>
        <w:t xml:space="preserve">, and Pintu Kota Beach. The wider community knows this tourist attraction, both by word of mouth and on social media such as Instagram, </w:t>
      </w:r>
      <w:r w:rsidRPr="007E2B6C">
        <w:rPr>
          <w:rFonts w:ascii="Cambria" w:hAnsi="Cambria"/>
          <w:color w:val="0E101A"/>
          <w:sz w:val="21"/>
          <w:szCs w:val="21"/>
        </w:rPr>
        <w:lastRenderedPageBreak/>
        <w:t>Twitter, and Facebook. Visitors will usually make this place to rest, sit, take photographs, and occasionally become a place of worship for Christians.</w:t>
      </w:r>
    </w:p>
    <w:p w14:paraId="3C5E9991" w14:textId="77777777" w:rsidR="007E2B6C" w:rsidRPr="007E2B6C" w:rsidRDefault="007E2B6C" w:rsidP="007E2B6C">
      <w:pPr>
        <w:pStyle w:val="NormalWeb"/>
        <w:spacing w:before="0" w:beforeAutospacing="0" w:after="0" w:afterAutospacing="0"/>
        <w:jc w:val="both"/>
        <w:rPr>
          <w:rStyle w:val="Emphasis"/>
          <w:rFonts w:ascii="Cambria" w:hAnsi="Cambria"/>
          <w:color w:val="0E101A"/>
          <w:sz w:val="21"/>
          <w:szCs w:val="21"/>
        </w:rPr>
      </w:pPr>
      <w:r w:rsidRPr="007E2B6C">
        <w:rPr>
          <w:rFonts w:ascii="Cambria" w:hAnsi="Cambria"/>
          <w:color w:val="0E101A"/>
          <w:sz w:val="21"/>
          <w:szCs w:val="21"/>
        </w:rPr>
        <w:t xml:space="preserve">This tourist attraction offers a calm and cool location, with panoramic views of the Latuhalat </w:t>
      </w:r>
      <w:r w:rsidRPr="007E2B6C">
        <w:rPr>
          <w:rFonts w:ascii="Cambria" w:hAnsi="Cambria"/>
          <w:i/>
          <w:iCs/>
          <w:color w:val="0E101A"/>
          <w:sz w:val="21"/>
          <w:szCs w:val="21"/>
        </w:rPr>
        <w:t>Negeri</w:t>
      </w:r>
      <w:r w:rsidRPr="007E2B6C">
        <w:rPr>
          <w:rFonts w:ascii="Cambria" w:hAnsi="Cambria"/>
          <w:color w:val="0E101A"/>
          <w:sz w:val="21"/>
          <w:szCs w:val="21"/>
        </w:rPr>
        <w:t xml:space="preserve"> and Airlouw hamlet, the Banda Sea, and the sunrise</w:t>
      </w:r>
      <w:r w:rsidRPr="007E2B6C">
        <w:rPr>
          <w:rStyle w:val="Emphasis"/>
          <w:rFonts w:ascii="Cambria" w:hAnsi="Cambria"/>
          <w:color w:val="0E101A"/>
          <w:sz w:val="21"/>
          <w:szCs w:val="21"/>
        </w:rPr>
        <w:t>. V</w:t>
      </w:r>
      <w:r w:rsidRPr="007E2B6C">
        <w:rPr>
          <w:rFonts w:ascii="Cambria" w:hAnsi="Cambria"/>
          <w:color w:val="0E101A"/>
          <w:sz w:val="21"/>
          <w:szCs w:val="21"/>
        </w:rPr>
        <w:t>isitors are only charged Rp. 2,000 - for vehicle parking fees to enter this location. Access to the Tree of Love location can also use two-wheeled vehicles. The owner of this Lapoci land is the Soplantila family. Next, visitors can go directly to the location of Mount Dua to enjoy the beautiful natural scenery of Ambon Bay and the beautiful sunset.</w:t>
      </w:r>
    </w:p>
    <w:p w14:paraId="143613CA"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79A1E420"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Style w:val="Strong"/>
          <w:rFonts w:ascii="Cambria" w:hAnsi="Cambria"/>
          <w:color w:val="0E101A"/>
          <w:sz w:val="21"/>
          <w:szCs w:val="21"/>
        </w:rPr>
        <w:t>b. Fruit Potential (Agrotourism)</w:t>
      </w:r>
    </w:p>
    <w:p w14:paraId="52B9A539"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Nusaniwe </w:t>
      </w:r>
      <w:r w:rsidRPr="007E2B6C">
        <w:rPr>
          <w:rFonts w:ascii="Cambria" w:hAnsi="Cambria"/>
          <w:i/>
          <w:iCs/>
          <w:color w:val="0E101A"/>
          <w:sz w:val="21"/>
          <w:szCs w:val="21"/>
        </w:rPr>
        <w:t>negeri</w:t>
      </w:r>
      <w:r w:rsidRPr="007E2B6C">
        <w:rPr>
          <w:rFonts w:ascii="Cambria" w:hAnsi="Cambria"/>
          <w:color w:val="0E101A"/>
          <w:sz w:val="21"/>
          <w:szCs w:val="21"/>
        </w:rPr>
        <w:t xml:space="preserve"> has a very large fruit potential because most of the families in this </w:t>
      </w:r>
      <w:r w:rsidRPr="007E2B6C">
        <w:rPr>
          <w:rFonts w:ascii="Cambria" w:hAnsi="Cambria"/>
          <w:i/>
          <w:iCs/>
          <w:color w:val="0E101A"/>
          <w:sz w:val="21"/>
          <w:szCs w:val="21"/>
        </w:rPr>
        <w:t>negeri</w:t>
      </w:r>
      <w:r w:rsidRPr="007E2B6C">
        <w:rPr>
          <w:rFonts w:ascii="Cambria" w:hAnsi="Cambria"/>
          <w:color w:val="0E101A"/>
          <w:sz w:val="21"/>
          <w:szCs w:val="21"/>
        </w:rPr>
        <w:t xml:space="preserve"> have hamlets. The potential fruits owned by this </w:t>
      </w:r>
      <w:r w:rsidRPr="007E2B6C">
        <w:rPr>
          <w:rFonts w:ascii="Cambria" w:hAnsi="Cambria"/>
          <w:i/>
          <w:iCs/>
          <w:color w:val="0E101A"/>
          <w:sz w:val="21"/>
          <w:szCs w:val="21"/>
        </w:rPr>
        <w:t>negeri</w:t>
      </w:r>
      <w:r w:rsidRPr="007E2B6C">
        <w:rPr>
          <w:rFonts w:ascii="Cambria" w:hAnsi="Cambria"/>
          <w:color w:val="0E101A"/>
          <w:sz w:val="21"/>
          <w:szCs w:val="21"/>
        </w:rPr>
        <w:t xml:space="preserve"> are coconut</w:t>
      </w:r>
      <w:r w:rsidRPr="007E2B6C">
        <w:rPr>
          <w:rStyle w:val="Emphasis"/>
          <w:rFonts w:ascii="Cambria" w:hAnsi="Cambria"/>
          <w:color w:val="0E101A"/>
          <w:sz w:val="21"/>
          <w:szCs w:val="21"/>
        </w:rPr>
        <w:t>, </w:t>
      </w:r>
      <w:r w:rsidRPr="007E2B6C">
        <w:rPr>
          <w:rFonts w:ascii="Cambria" w:hAnsi="Cambria"/>
          <w:color w:val="0E101A"/>
          <w:sz w:val="21"/>
          <w:szCs w:val="21"/>
        </w:rPr>
        <w:t>rambutan, and durian</w:t>
      </w:r>
      <w:r w:rsidRPr="007E2B6C">
        <w:rPr>
          <w:rStyle w:val="Emphasis"/>
          <w:rFonts w:ascii="Cambria" w:hAnsi="Cambria"/>
          <w:color w:val="0E101A"/>
          <w:sz w:val="21"/>
          <w:szCs w:val="21"/>
        </w:rPr>
        <w:t>. </w:t>
      </w:r>
      <w:r w:rsidRPr="007E2B6C">
        <w:rPr>
          <w:rFonts w:ascii="Cambria" w:hAnsi="Cambria"/>
          <w:color w:val="0E101A"/>
          <w:sz w:val="21"/>
          <w:szCs w:val="21"/>
        </w:rPr>
        <w:t xml:space="preserve">Most of the production of these fruits is only for consumption then, if there is excess, it will be sold. With the potential owned in Nusaniwe </w:t>
      </w:r>
      <w:r w:rsidRPr="007E2B6C">
        <w:rPr>
          <w:rFonts w:ascii="Cambria" w:hAnsi="Cambria"/>
          <w:i/>
          <w:iCs/>
          <w:color w:val="0E101A"/>
          <w:sz w:val="21"/>
          <w:szCs w:val="21"/>
        </w:rPr>
        <w:t>negeri</w:t>
      </w:r>
      <w:r w:rsidRPr="007E2B6C">
        <w:rPr>
          <w:rFonts w:ascii="Cambria" w:hAnsi="Cambria"/>
          <w:color w:val="0E101A"/>
          <w:sz w:val="21"/>
          <w:szCs w:val="21"/>
        </w:rPr>
        <w:t>, it can be used as a potential Agrotourism object that can increase people's income.</w:t>
      </w:r>
    </w:p>
    <w:p w14:paraId="0023F33C"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p>
    <w:p w14:paraId="7E36F98B"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Style w:val="Strong"/>
          <w:rFonts w:ascii="Cambria" w:hAnsi="Cambria"/>
          <w:color w:val="0E101A"/>
          <w:sz w:val="21"/>
          <w:szCs w:val="21"/>
        </w:rPr>
        <w:t>c. The Coastal and Maritime Tourism Potential</w:t>
      </w:r>
    </w:p>
    <w:p w14:paraId="1E1044E8"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 xml:space="preserve">Nusaniwe </w:t>
      </w:r>
      <w:r w:rsidRPr="007E2B6C">
        <w:rPr>
          <w:rFonts w:ascii="Cambria" w:hAnsi="Cambria"/>
          <w:i/>
          <w:iCs/>
          <w:color w:val="0E101A"/>
          <w:sz w:val="21"/>
          <w:szCs w:val="21"/>
        </w:rPr>
        <w:t>Negeri</w:t>
      </w:r>
      <w:r w:rsidRPr="007E2B6C">
        <w:rPr>
          <w:rFonts w:ascii="Cambria" w:hAnsi="Cambria"/>
          <w:color w:val="0E101A"/>
          <w:sz w:val="21"/>
          <w:szCs w:val="21"/>
        </w:rPr>
        <w:t xml:space="preserve"> is also famous for its world-famous tourist objects, Pintu Kota and Felawatu. Then, a beautiful marine park is used as a research location for foreign tourists.</w:t>
      </w:r>
    </w:p>
    <w:p w14:paraId="71304049"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631F1FB6"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Style w:val="Strong"/>
          <w:rFonts w:ascii="Cambria" w:hAnsi="Cambria"/>
          <w:color w:val="0E101A"/>
          <w:sz w:val="21"/>
          <w:szCs w:val="21"/>
        </w:rPr>
        <w:t>Bethesda Beach/Bethesda Garden</w:t>
      </w:r>
    </w:p>
    <w:p w14:paraId="3C10783D"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One of the beach attractions in Nusaniwe, which is close to the City Gate, is Bethesda Beach. This location is still located in the Nusaniwe </w:t>
      </w:r>
      <w:r w:rsidRPr="007E2B6C">
        <w:rPr>
          <w:rStyle w:val="Emphasis"/>
          <w:rFonts w:ascii="Cambria" w:hAnsi="Cambria"/>
          <w:color w:val="0E101A"/>
          <w:sz w:val="21"/>
          <w:szCs w:val="21"/>
        </w:rPr>
        <w:t>Negeri</w:t>
      </w:r>
      <w:r w:rsidRPr="007E2B6C">
        <w:rPr>
          <w:rFonts w:ascii="Cambria" w:hAnsi="Cambria"/>
          <w:color w:val="0E101A"/>
          <w:sz w:val="21"/>
          <w:szCs w:val="21"/>
        </w:rPr>
        <w:t>, Airlouw hamlet. This tourist location is better known as Bethesda Garden. Visitors can enjoy beautiful sea views from the huts or gazebos provided by the manager and the beautiful sunrise</w:t>
      </w:r>
      <w:r w:rsidRPr="007E2B6C">
        <w:rPr>
          <w:rStyle w:val="Emphasis"/>
          <w:rFonts w:ascii="Cambria" w:hAnsi="Cambria"/>
          <w:color w:val="0E101A"/>
          <w:sz w:val="21"/>
          <w:szCs w:val="21"/>
        </w:rPr>
        <w:t>.</w:t>
      </w:r>
      <w:r w:rsidRPr="007E2B6C">
        <w:rPr>
          <w:rFonts w:ascii="Cambria" w:hAnsi="Cambria"/>
          <w:color w:val="0E101A"/>
          <w:sz w:val="21"/>
          <w:szCs w:val="21"/>
        </w:rPr>
        <w:t> The facilities provided also consist of toilets, food stalls and buildings that can be used for meetings or other official events, and a parking lot. Entrance tickets to this location also vary, namely for two-wheeled vehicles Rp. 5,000 and four-wheeled vehicles Rp. 10,000. From the Bethesda beach location, visitors can also go directly to the City Gate but have to pay Rp. 2,000 for an entrance ticket to the Pintu Kota location. The Bethesda Beach tourist location is managed by the Church, namely the GPM Nusaniwe Airlouw Congregation. Access to this location can use two-wheeled or four-wheeled vehicles for Rp. 5,000.</w:t>
      </w:r>
    </w:p>
    <w:p w14:paraId="5EE17DF2" w14:textId="77777777" w:rsidR="007E2B6C" w:rsidRPr="007E2B6C" w:rsidRDefault="007E2B6C" w:rsidP="007E2B6C">
      <w:pPr>
        <w:pStyle w:val="NormalWeb"/>
        <w:spacing w:before="0" w:beforeAutospacing="0" w:after="0" w:afterAutospacing="0"/>
        <w:jc w:val="both"/>
        <w:rPr>
          <w:rStyle w:val="Strong"/>
          <w:rFonts w:ascii="Cambria" w:hAnsi="Cambria"/>
          <w:color w:val="0E101A"/>
          <w:sz w:val="21"/>
          <w:szCs w:val="21"/>
        </w:rPr>
      </w:pPr>
    </w:p>
    <w:p w14:paraId="04668BFA" w14:textId="77777777" w:rsidR="007E2B6C" w:rsidRPr="007E2B6C" w:rsidRDefault="007E2B6C" w:rsidP="007E2B6C">
      <w:pPr>
        <w:pStyle w:val="NormalWeb"/>
        <w:spacing w:before="0" w:beforeAutospacing="0" w:after="0" w:afterAutospacing="0"/>
        <w:jc w:val="both"/>
        <w:rPr>
          <w:rFonts w:ascii="Cambria" w:hAnsi="Cambria"/>
          <w:i/>
          <w:color w:val="0E101A"/>
          <w:sz w:val="21"/>
          <w:szCs w:val="21"/>
        </w:rPr>
      </w:pPr>
      <w:r w:rsidRPr="007E2B6C">
        <w:rPr>
          <w:rStyle w:val="Strong"/>
          <w:rFonts w:ascii="Cambria" w:hAnsi="Cambria"/>
          <w:i/>
          <w:color w:val="0E101A"/>
          <w:sz w:val="21"/>
          <w:szCs w:val="21"/>
        </w:rPr>
        <w:t>Pintu Kota</w:t>
      </w:r>
    </w:p>
    <w:p w14:paraId="6D149882"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This tourist area is one of the world's most popular tourist destinations. This location is directly adjacent to Bethesda Beach. It is located in the Airlouw hamlet and adjacent to the hamlet of Seri </w:t>
      </w:r>
      <w:r w:rsidRPr="007E2B6C">
        <w:rPr>
          <w:rFonts w:ascii="Cambria" w:hAnsi="Cambria"/>
          <w:i/>
          <w:iCs/>
          <w:color w:val="0E101A"/>
          <w:sz w:val="21"/>
          <w:szCs w:val="21"/>
        </w:rPr>
        <w:t>Negeri</w:t>
      </w:r>
      <w:r w:rsidRPr="007E2B6C">
        <w:rPr>
          <w:rFonts w:ascii="Cambria" w:hAnsi="Cambria"/>
          <w:color w:val="0E101A"/>
          <w:sz w:val="21"/>
          <w:szCs w:val="21"/>
        </w:rPr>
        <w:t xml:space="preserve"> Urimesing. The Tumanserry family manages this location. The door of this city is a rock. It is a large door shaped like a door consisting of large stones. When the water recedes, visitors can walk to the middle of the door.</w:t>
      </w:r>
    </w:p>
    <w:p w14:paraId="4A2BB740"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According to history, it is told that there is a well-located above the City Gate, namely the Sarani Well. The purpose of this well is that if a ship is about to enter Ambon city for the first time, it must be doused with water from the well. Interestingly, Pintu Kota's visitors can enjoy the beautiful sunrise with its nuances that can only be described when felt alone. According to information obtained from visitors to tourist sites who carry out snorkeling activities, another potential possessed by Pintu Kota is the marine ecosystem, namely some attractive-looking fish that can be found at a depth of about 10 – 20m, including </w:t>
      </w:r>
      <w:r w:rsidRPr="007E2B6C">
        <w:rPr>
          <w:rStyle w:val="Emphasis"/>
          <w:rFonts w:ascii="Cambria" w:hAnsi="Cambria"/>
          <w:color w:val="0E101A"/>
          <w:sz w:val="21"/>
          <w:szCs w:val="21"/>
        </w:rPr>
        <w:t>Napoleon Wrasse</w:t>
      </w:r>
      <w:r w:rsidRPr="007E2B6C">
        <w:rPr>
          <w:rFonts w:ascii="Cambria" w:hAnsi="Cambria"/>
          <w:color w:val="0E101A"/>
          <w:sz w:val="21"/>
          <w:szCs w:val="21"/>
        </w:rPr>
        <w:t>, a type of protected reef fish, </w:t>
      </w:r>
      <w:r w:rsidRPr="007E2B6C">
        <w:rPr>
          <w:rStyle w:val="Emphasis"/>
          <w:rFonts w:ascii="Cambria" w:hAnsi="Cambria"/>
          <w:color w:val="0E101A"/>
          <w:sz w:val="21"/>
          <w:szCs w:val="21"/>
        </w:rPr>
        <w:t>Jackfish, </w:t>
      </w:r>
      <w:r w:rsidRPr="007E2B6C">
        <w:rPr>
          <w:rFonts w:ascii="Cambria" w:hAnsi="Cambria"/>
          <w:color w:val="0E101A"/>
          <w:sz w:val="21"/>
          <w:szCs w:val="21"/>
        </w:rPr>
        <w:t>including a</w:t>
      </w:r>
      <w:proofErr w:type="gramStart"/>
      <w:r w:rsidRPr="007E2B6C">
        <w:rPr>
          <w:rFonts w:ascii="Cambria" w:hAnsi="Cambria"/>
          <w:color w:val="0E101A"/>
          <w:sz w:val="21"/>
          <w:szCs w:val="21"/>
        </w:rPr>
        <w:t>  </w:t>
      </w:r>
      <w:r w:rsidRPr="007E2B6C">
        <w:rPr>
          <w:rStyle w:val="Emphasis"/>
          <w:rFonts w:ascii="Cambria" w:hAnsi="Cambria"/>
          <w:color w:val="0E101A"/>
          <w:sz w:val="21"/>
          <w:szCs w:val="21"/>
        </w:rPr>
        <w:t>Surgeon</w:t>
      </w:r>
      <w:proofErr w:type="gramEnd"/>
      <w:r w:rsidRPr="007E2B6C">
        <w:rPr>
          <w:rFonts w:ascii="Cambria" w:hAnsi="Cambria"/>
          <w:color w:val="0E101A"/>
          <w:sz w:val="21"/>
          <w:szCs w:val="21"/>
        </w:rPr>
        <w:t>, and a group of </w:t>
      </w:r>
      <w:r w:rsidRPr="007E2B6C">
        <w:rPr>
          <w:rStyle w:val="Emphasis"/>
          <w:rFonts w:ascii="Cambria" w:hAnsi="Cambria"/>
          <w:color w:val="0E101A"/>
          <w:sz w:val="21"/>
          <w:szCs w:val="21"/>
        </w:rPr>
        <w:t>Fusiliers </w:t>
      </w:r>
      <w:r w:rsidRPr="007E2B6C">
        <w:rPr>
          <w:rFonts w:ascii="Cambria" w:hAnsi="Cambria"/>
          <w:color w:val="0E101A"/>
          <w:sz w:val="21"/>
          <w:szCs w:val="21"/>
        </w:rPr>
        <w:t>and sharks around this location. There is also a natural underwater cave about 100 m wide; 300m long.</w:t>
      </w:r>
    </w:p>
    <w:p w14:paraId="0A21EE0A"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The Ambon City Government has built several huts, which are temporary resting places for visitors, but their condition has been damaged. The facilities available at this location are food stalls built by the manager. Visitors who want to stay overnight can directly contact the manager. Visitors can also use two-wheeled or four-wheeled vehicles (private vehicles) to get to this </w:t>
      </w:r>
      <w:r w:rsidRPr="007E2B6C">
        <w:rPr>
          <w:rFonts w:ascii="Cambria" w:hAnsi="Cambria"/>
          <w:color w:val="0E101A"/>
          <w:sz w:val="21"/>
          <w:szCs w:val="21"/>
        </w:rPr>
        <w:lastRenderedPageBreak/>
        <w:t>location. The entrance ticket is also different, namely for two wheels Rp. 10,000, - while for four wheels it is Rp. 20,000, - </w:t>
      </w:r>
    </w:p>
    <w:p w14:paraId="52B5BCAA" w14:textId="77777777" w:rsidR="007E2B6C" w:rsidRPr="007E2B6C" w:rsidRDefault="007E2B6C" w:rsidP="007E2B6C">
      <w:pPr>
        <w:pStyle w:val="NormalWeb"/>
        <w:spacing w:before="0" w:beforeAutospacing="0" w:after="0" w:afterAutospacing="0"/>
        <w:jc w:val="both"/>
        <w:rPr>
          <w:rStyle w:val="Strong"/>
          <w:rFonts w:ascii="Cambria" w:hAnsi="Cambria"/>
          <w:color w:val="0E101A"/>
          <w:sz w:val="21"/>
          <w:szCs w:val="21"/>
        </w:rPr>
      </w:pPr>
    </w:p>
    <w:p w14:paraId="2113A718" w14:textId="77777777" w:rsidR="007E2B6C" w:rsidRPr="007E2B6C" w:rsidRDefault="007E2B6C" w:rsidP="007E2B6C">
      <w:pPr>
        <w:pStyle w:val="NormalWeb"/>
        <w:spacing w:before="0" w:beforeAutospacing="0" w:after="0" w:afterAutospacing="0"/>
        <w:jc w:val="both"/>
        <w:rPr>
          <w:rFonts w:ascii="Cambria" w:hAnsi="Cambria"/>
          <w:i/>
          <w:color w:val="0E101A"/>
          <w:sz w:val="21"/>
          <w:szCs w:val="21"/>
        </w:rPr>
      </w:pPr>
      <w:r w:rsidRPr="007E2B6C">
        <w:rPr>
          <w:rStyle w:val="Strong"/>
          <w:rFonts w:ascii="Cambria" w:hAnsi="Cambria"/>
          <w:i/>
          <w:color w:val="0E101A"/>
          <w:sz w:val="21"/>
          <w:szCs w:val="21"/>
        </w:rPr>
        <w:t>Felawatu Beach</w:t>
      </w:r>
    </w:p>
    <w:p w14:paraId="09FDF553"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One of the privately managed beach tourist destinations is Felawatu Beach. It is a private beach tourism object that can be reached by two wheels or four wheels about thirty minutes from Ambon city. The tourist attraction offers a beach with a calm atmosphere and natural coolness because it blends with the hills. This beach location is often used as a meeting place for seminars and even a garden party venue for wedding parties. In addition, the attraction in this location is in the form of fishing and swimming sports. The existing facilities and infrastructure are quite complete. The only thing missing are restaurants and souvenir shops. Currently, the conditions are very different because almost no more visitors come.</w:t>
      </w:r>
    </w:p>
    <w:p w14:paraId="6EB92E11" w14:textId="77777777" w:rsidR="007E2B6C" w:rsidRPr="007E2B6C" w:rsidRDefault="007E2B6C" w:rsidP="007E2B6C">
      <w:pPr>
        <w:pStyle w:val="NormalWeb"/>
        <w:spacing w:before="0" w:beforeAutospacing="0" w:after="0" w:afterAutospacing="0"/>
        <w:jc w:val="both"/>
        <w:rPr>
          <w:rStyle w:val="Strong"/>
          <w:rFonts w:ascii="Cambria" w:hAnsi="Cambria"/>
          <w:color w:val="0E101A"/>
          <w:sz w:val="21"/>
          <w:szCs w:val="21"/>
        </w:rPr>
      </w:pPr>
    </w:p>
    <w:p w14:paraId="512935DD" w14:textId="77777777" w:rsidR="007E2B6C" w:rsidRPr="007E2B6C" w:rsidRDefault="007E2B6C" w:rsidP="007E2B6C">
      <w:pPr>
        <w:pStyle w:val="NormalWeb"/>
        <w:spacing w:before="0" w:beforeAutospacing="0" w:after="0" w:afterAutospacing="0"/>
        <w:jc w:val="both"/>
        <w:rPr>
          <w:rFonts w:ascii="Cambria" w:hAnsi="Cambria"/>
          <w:i/>
          <w:color w:val="0E101A"/>
          <w:sz w:val="21"/>
          <w:szCs w:val="21"/>
        </w:rPr>
      </w:pPr>
      <w:r w:rsidRPr="007E2B6C">
        <w:rPr>
          <w:rStyle w:val="Strong"/>
          <w:rFonts w:ascii="Cambria" w:hAnsi="Cambria"/>
          <w:i/>
          <w:color w:val="0E101A"/>
          <w:sz w:val="21"/>
          <w:szCs w:val="21"/>
        </w:rPr>
        <w:t>Airlouw Marine</w:t>
      </w:r>
    </w:p>
    <w:p w14:paraId="35044A82"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The marine park around the Airlouw hamlet includes a beautiful marine park with various reef fish. Some attractive fish can be found at about 10 – 20 m, including various </w:t>
      </w:r>
      <w:r w:rsidRPr="007E2B6C">
        <w:rPr>
          <w:rStyle w:val="Emphasis"/>
          <w:rFonts w:ascii="Cambria" w:hAnsi="Cambria"/>
          <w:color w:val="0E101A"/>
          <w:sz w:val="21"/>
          <w:szCs w:val="21"/>
        </w:rPr>
        <w:t xml:space="preserve">Napoleon </w:t>
      </w:r>
      <w:proofErr w:type="gramStart"/>
      <w:r w:rsidRPr="007E2B6C">
        <w:rPr>
          <w:rStyle w:val="Emphasis"/>
          <w:rFonts w:ascii="Cambria" w:hAnsi="Cambria"/>
          <w:color w:val="0E101A"/>
          <w:sz w:val="21"/>
          <w:szCs w:val="21"/>
        </w:rPr>
        <w:t>wrasse</w:t>
      </w:r>
      <w:proofErr w:type="gramEnd"/>
      <w:r w:rsidRPr="007E2B6C">
        <w:rPr>
          <w:rStyle w:val="Emphasis"/>
          <w:rFonts w:ascii="Cambria" w:hAnsi="Cambria"/>
          <w:color w:val="0E101A"/>
          <w:sz w:val="21"/>
          <w:szCs w:val="21"/>
        </w:rPr>
        <w:t>, </w:t>
      </w:r>
      <w:r w:rsidRPr="007E2B6C">
        <w:rPr>
          <w:rFonts w:ascii="Cambria" w:hAnsi="Cambria"/>
          <w:color w:val="0E101A"/>
          <w:sz w:val="21"/>
          <w:szCs w:val="21"/>
        </w:rPr>
        <w:t>one of the protected reef fish, </w:t>
      </w:r>
      <w:r w:rsidRPr="007E2B6C">
        <w:rPr>
          <w:rStyle w:val="Emphasis"/>
          <w:rFonts w:ascii="Cambria" w:hAnsi="Cambria"/>
          <w:color w:val="0E101A"/>
          <w:sz w:val="21"/>
          <w:szCs w:val="21"/>
        </w:rPr>
        <w:t>Jackfish, Surgeon </w:t>
      </w:r>
      <w:r w:rsidRPr="007E2B6C">
        <w:rPr>
          <w:rFonts w:ascii="Cambria" w:hAnsi="Cambria"/>
          <w:color w:val="0E101A"/>
          <w:sz w:val="21"/>
          <w:szCs w:val="21"/>
        </w:rPr>
        <w:t>and </w:t>
      </w:r>
      <w:r w:rsidRPr="007E2B6C">
        <w:rPr>
          <w:rStyle w:val="Emphasis"/>
          <w:rFonts w:ascii="Cambria" w:hAnsi="Cambria"/>
          <w:color w:val="0E101A"/>
          <w:sz w:val="21"/>
          <w:szCs w:val="21"/>
        </w:rPr>
        <w:t>Fusilliers, </w:t>
      </w:r>
      <w:r w:rsidRPr="007E2B6C">
        <w:rPr>
          <w:rFonts w:ascii="Cambria" w:hAnsi="Cambria"/>
          <w:color w:val="0E101A"/>
          <w:sz w:val="21"/>
          <w:szCs w:val="21"/>
        </w:rPr>
        <w:t>and sharks. Tourist visits to marine parks around this location are still minimal because the supporting facilities are not yet available. </w:t>
      </w:r>
    </w:p>
    <w:p w14:paraId="00AB344C" w14:textId="77777777" w:rsidR="007E2B6C" w:rsidRPr="007E2B6C" w:rsidRDefault="007E2B6C" w:rsidP="007E2B6C">
      <w:pPr>
        <w:pStyle w:val="NormalWeb"/>
        <w:spacing w:before="0" w:beforeAutospacing="0" w:after="0" w:afterAutospacing="0"/>
        <w:jc w:val="both"/>
        <w:rPr>
          <w:rStyle w:val="Strong"/>
          <w:rFonts w:ascii="Cambria" w:hAnsi="Cambria"/>
          <w:color w:val="0E101A"/>
          <w:sz w:val="21"/>
          <w:szCs w:val="21"/>
        </w:rPr>
      </w:pPr>
    </w:p>
    <w:p w14:paraId="4301FDA2" w14:textId="77777777" w:rsidR="007E2B6C" w:rsidRPr="007E2B6C" w:rsidRDefault="007E2B6C" w:rsidP="007E2B6C">
      <w:pPr>
        <w:pStyle w:val="NormalWeb"/>
        <w:spacing w:before="0" w:beforeAutospacing="0" w:after="0" w:afterAutospacing="0"/>
        <w:jc w:val="both"/>
        <w:rPr>
          <w:rFonts w:ascii="Cambria" w:hAnsi="Cambria"/>
          <w:i/>
          <w:color w:val="0E101A"/>
          <w:sz w:val="21"/>
          <w:szCs w:val="21"/>
        </w:rPr>
      </w:pPr>
      <w:r w:rsidRPr="007E2B6C">
        <w:rPr>
          <w:rStyle w:val="Strong"/>
          <w:rFonts w:ascii="Cambria" w:hAnsi="Cambria"/>
          <w:i/>
          <w:color w:val="0E101A"/>
          <w:sz w:val="21"/>
          <w:szCs w:val="21"/>
        </w:rPr>
        <w:t>Erie Marine Park</w:t>
      </w:r>
    </w:p>
    <w:p w14:paraId="3E6C0845"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 xml:space="preserve"> Park Erie </w:t>
      </w:r>
      <w:proofErr w:type="gramStart"/>
      <w:r w:rsidRPr="007E2B6C">
        <w:rPr>
          <w:rFonts w:ascii="Cambria" w:hAnsi="Cambria"/>
          <w:color w:val="0E101A"/>
          <w:sz w:val="21"/>
          <w:szCs w:val="21"/>
        </w:rPr>
        <w:t>marine park</w:t>
      </w:r>
      <w:proofErr w:type="gramEnd"/>
      <w:r w:rsidRPr="007E2B6C">
        <w:rPr>
          <w:rFonts w:ascii="Cambria" w:hAnsi="Cambria"/>
          <w:color w:val="0E101A"/>
          <w:sz w:val="21"/>
          <w:szCs w:val="21"/>
        </w:rPr>
        <w:t xml:space="preserve"> is located in Nusaniwe </w:t>
      </w:r>
      <w:r w:rsidRPr="007E2B6C">
        <w:rPr>
          <w:rFonts w:ascii="Cambria" w:hAnsi="Cambria"/>
          <w:i/>
          <w:iCs/>
          <w:color w:val="0E101A"/>
          <w:sz w:val="21"/>
          <w:szCs w:val="21"/>
        </w:rPr>
        <w:t>negeri</w:t>
      </w:r>
      <w:r w:rsidRPr="007E2B6C">
        <w:rPr>
          <w:rFonts w:ascii="Cambria" w:hAnsi="Cambria"/>
          <w:color w:val="0E101A"/>
          <w:sz w:val="21"/>
          <w:szCs w:val="21"/>
        </w:rPr>
        <w:t xml:space="preserve">, precisely opposite Nusaniwe </w:t>
      </w:r>
      <w:r w:rsidRPr="007E2B6C">
        <w:rPr>
          <w:rFonts w:ascii="Cambria" w:hAnsi="Cambria"/>
          <w:i/>
          <w:iCs/>
          <w:color w:val="0E101A"/>
          <w:sz w:val="21"/>
          <w:szCs w:val="21"/>
        </w:rPr>
        <w:t>Negeri</w:t>
      </w:r>
      <w:r w:rsidRPr="007E2B6C">
        <w:rPr>
          <w:rFonts w:ascii="Cambria" w:hAnsi="Cambria"/>
          <w:color w:val="0E101A"/>
          <w:sz w:val="21"/>
          <w:szCs w:val="21"/>
        </w:rPr>
        <w:t>, with its position open to ocean currents from Ambon Bay. The tourist attraction offered a very attractive marine park at a depth of about 10 m, where you will find various types of colourful reef fish.</w:t>
      </w:r>
    </w:p>
    <w:p w14:paraId="51860AE5" w14:textId="77777777" w:rsidR="007E2B6C" w:rsidRPr="007E2B6C" w:rsidRDefault="007E2B6C" w:rsidP="007E2B6C">
      <w:pPr>
        <w:pStyle w:val="NormalWeb"/>
        <w:spacing w:before="0" w:beforeAutospacing="0" w:after="0" w:afterAutospacing="0"/>
        <w:jc w:val="both"/>
        <w:rPr>
          <w:rStyle w:val="Strong"/>
          <w:rFonts w:ascii="Cambria" w:hAnsi="Cambria"/>
          <w:color w:val="0E101A"/>
          <w:sz w:val="21"/>
          <w:szCs w:val="21"/>
        </w:rPr>
      </w:pPr>
    </w:p>
    <w:p w14:paraId="1E5CC624" w14:textId="77777777" w:rsidR="007E2B6C" w:rsidRPr="007E2B6C" w:rsidRDefault="007E2B6C" w:rsidP="007E2B6C">
      <w:pPr>
        <w:pStyle w:val="NormalWeb"/>
        <w:spacing w:before="0" w:beforeAutospacing="0" w:after="0" w:afterAutospacing="0"/>
        <w:jc w:val="both"/>
        <w:rPr>
          <w:rFonts w:ascii="Cambria" w:hAnsi="Cambria"/>
          <w:i/>
          <w:color w:val="0E101A"/>
          <w:sz w:val="21"/>
          <w:szCs w:val="21"/>
        </w:rPr>
      </w:pPr>
      <w:r w:rsidRPr="007E2B6C">
        <w:rPr>
          <w:rStyle w:val="Strong"/>
          <w:rFonts w:ascii="Cambria" w:hAnsi="Cambria"/>
          <w:i/>
          <w:color w:val="0E101A"/>
          <w:sz w:val="21"/>
          <w:szCs w:val="21"/>
        </w:rPr>
        <w:t>Mountain Tourism </w:t>
      </w:r>
    </w:p>
    <w:p w14:paraId="682A0979"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One of the locations that can be used as a tourist attraction is Laponot waterfall. Indeed, there are very few people who know its existence. Indeed, the waterfall in this location is not like a traditional waterfall. However, the cliff walls are filled with moss, making this location a little different. The source of water consumed by the community is the Laponot waterfall. This location offers adventure tourism. Access to this location is only about 20 minutes from the highway.</w:t>
      </w:r>
    </w:p>
    <w:p w14:paraId="2FBA6237"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1C56AA1B" w14:textId="77777777" w:rsidR="007E2B6C" w:rsidRPr="007E2B6C" w:rsidRDefault="007E2B6C" w:rsidP="007E2B6C">
      <w:pPr>
        <w:pStyle w:val="NormalWeb"/>
        <w:spacing w:before="0" w:beforeAutospacing="0" w:after="0" w:afterAutospacing="0"/>
        <w:jc w:val="both"/>
        <w:rPr>
          <w:rFonts w:ascii="Cambria" w:hAnsi="Cambria"/>
          <w:i/>
          <w:color w:val="0E101A"/>
          <w:sz w:val="21"/>
          <w:szCs w:val="21"/>
        </w:rPr>
      </w:pPr>
      <w:r w:rsidRPr="007E2B6C">
        <w:rPr>
          <w:rStyle w:val="Strong"/>
          <w:rFonts w:ascii="Cambria" w:hAnsi="Cambria"/>
          <w:i/>
          <w:color w:val="0E101A"/>
          <w:sz w:val="21"/>
          <w:szCs w:val="21"/>
        </w:rPr>
        <w:t xml:space="preserve">Latuhalat </w:t>
      </w:r>
      <w:r w:rsidRPr="007E2B6C">
        <w:rPr>
          <w:rStyle w:val="Strong"/>
          <w:rFonts w:ascii="Cambria" w:hAnsi="Cambria"/>
          <w:i/>
          <w:iCs/>
          <w:color w:val="0E101A"/>
          <w:sz w:val="21"/>
          <w:szCs w:val="21"/>
        </w:rPr>
        <w:t>Negeri</w:t>
      </w:r>
    </w:p>
    <w:p w14:paraId="43C88448"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Latuhalat </w:t>
      </w:r>
      <w:r w:rsidRPr="007E2B6C">
        <w:rPr>
          <w:rFonts w:ascii="Cambria" w:hAnsi="Cambria"/>
          <w:i/>
          <w:iCs/>
          <w:color w:val="0E101A"/>
          <w:sz w:val="21"/>
          <w:szCs w:val="21"/>
        </w:rPr>
        <w:t>Negeri</w:t>
      </w:r>
      <w:r w:rsidRPr="007E2B6C">
        <w:rPr>
          <w:rFonts w:ascii="Cambria" w:hAnsi="Cambria"/>
          <w:color w:val="0E101A"/>
          <w:sz w:val="21"/>
          <w:szCs w:val="21"/>
        </w:rPr>
        <w:t xml:space="preserve"> also has the charm of beach tourism and cultural history tourism that is not inferior to Amahusu </w:t>
      </w:r>
      <w:r w:rsidRPr="007E2B6C">
        <w:rPr>
          <w:rFonts w:ascii="Cambria" w:hAnsi="Cambria"/>
          <w:i/>
          <w:iCs/>
          <w:color w:val="0E101A"/>
          <w:sz w:val="21"/>
          <w:szCs w:val="21"/>
        </w:rPr>
        <w:t>Negeri</w:t>
      </w:r>
      <w:r w:rsidRPr="007E2B6C">
        <w:rPr>
          <w:rFonts w:ascii="Cambria" w:hAnsi="Cambria"/>
          <w:color w:val="0E101A"/>
          <w:sz w:val="21"/>
          <w:szCs w:val="21"/>
        </w:rPr>
        <w:t xml:space="preserve"> and Nusaniwe </w:t>
      </w:r>
      <w:r w:rsidRPr="007E2B6C">
        <w:rPr>
          <w:rFonts w:ascii="Cambria" w:hAnsi="Cambria"/>
          <w:i/>
          <w:iCs/>
          <w:color w:val="0E101A"/>
          <w:sz w:val="21"/>
          <w:szCs w:val="21"/>
        </w:rPr>
        <w:t>Negeri</w:t>
      </w:r>
      <w:r w:rsidRPr="007E2B6C">
        <w:rPr>
          <w:rFonts w:ascii="Cambria" w:hAnsi="Cambria"/>
          <w:sz w:val="21"/>
          <w:szCs w:val="21"/>
        </w:rPr>
        <w:t>.</w:t>
      </w:r>
    </w:p>
    <w:p w14:paraId="7E879A04" w14:textId="77777777" w:rsidR="007E2B6C" w:rsidRPr="007E2B6C" w:rsidRDefault="007E2B6C" w:rsidP="007E2B6C">
      <w:pPr>
        <w:spacing w:after="0" w:line="240" w:lineRule="auto"/>
        <w:jc w:val="both"/>
        <w:rPr>
          <w:rFonts w:ascii="Cambria" w:hAnsi="Cambria" w:cs="Times New Roman"/>
          <w:b/>
          <w:sz w:val="21"/>
          <w:szCs w:val="21"/>
        </w:rPr>
      </w:pPr>
    </w:p>
    <w:p w14:paraId="332C7FD1" w14:textId="77777777" w:rsidR="007E2B6C" w:rsidRPr="007E2B6C" w:rsidRDefault="007E2B6C" w:rsidP="007E2B6C">
      <w:pPr>
        <w:spacing w:after="0" w:line="240" w:lineRule="auto"/>
        <w:jc w:val="both"/>
        <w:rPr>
          <w:rFonts w:ascii="Cambria" w:hAnsi="Cambria" w:cs="Times New Roman"/>
          <w:b/>
          <w:i/>
          <w:sz w:val="21"/>
          <w:szCs w:val="21"/>
        </w:rPr>
      </w:pPr>
      <w:r w:rsidRPr="007E2B6C">
        <w:rPr>
          <w:rFonts w:ascii="Cambria" w:hAnsi="Cambria" w:cs="Times New Roman"/>
          <w:b/>
          <w:i/>
          <w:sz w:val="21"/>
          <w:szCs w:val="21"/>
        </w:rPr>
        <w:t>Coastal and Marine Tourism</w:t>
      </w:r>
    </w:p>
    <w:p w14:paraId="4D305236" w14:textId="77777777" w:rsidR="007E2B6C" w:rsidRPr="007E2B6C" w:rsidRDefault="007E2B6C" w:rsidP="007E2B6C">
      <w:pPr>
        <w:numPr>
          <w:ilvl w:val="1"/>
          <w:numId w:val="33"/>
        </w:numPr>
        <w:pBdr>
          <w:top w:val="nil"/>
          <w:left w:val="nil"/>
          <w:bottom w:val="nil"/>
          <w:right w:val="nil"/>
          <w:between w:val="nil"/>
        </w:pBdr>
        <w:tabs>
          <w:tab w:val="left" w:pos="284"/>
        </w:tabs>
        <w:spacing w:after="0" w:line="240" w:lineRule="auto"/>
        <w:ind w:left="426" w:hanging="426"/>
        <w:jc w:val="both"/>
        <w:rPr>
          <w:rFonts w:ascii="Cambria" w:hAnsi="Cambria" w:cs="Times New Roman"/>
          <w:b/>
          <w:i/>
          <w:color w:val="000000"/>
          <w:sz w:val="21"/>
          <w:szCs w:val="21"/>
        </w:rPr>
      </w:pPr>
      <w:r w:rsidRPr="007E2B6C">
        <w:rPr>
          <w:rFonts w:ascii="Cambria" w:hAnsi="Cambria" w:cs="Times New Roman"/>
          <w:b/>
          <w:i/>
          <w:color w:val="000000"/>
          <w:sz w:val="21"/>
          <w:szCs w:val="21"/>
        </w:rPr>
        <w:t>Santai Beach</w:t>
      </w:r>
    </w:p>
    <w:p w14:paraId="51CEC0ED"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Santai Beach is located on the southern coast of Tanjung Nusaniwe. This beach is an ideal natural tourist attraction for swimming, water sports, and sunbathing. This tourist location is managed personally by Hendro Hidayat Saputra. The main attraction of this tour is the white sand with a rocky beach. The facilities available at this location are quite complete, but these facilities look outdated due to a lack of maintenance.</w:t>
      </w:r>
    </w:p>
    <w:p w14:paraId="03CC1FBD"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Visitors can use two-wheeled and four-wheeled vehicles about 20-30 minutes from the city center to reach this location. The entrance ticket is only Rp. 2,500 for visitors who come, both using two wheels and four wheels. The advantage of this location is that it provides life insurance for visitors.</w:t>
      </w:r>
    </w:p>
    <w:p w14:paraId="1C84D628"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p>
    <w:p w14:paraId="2F18807E" w14:textId="77777777" w:rsidR="007E2B6C" w:rsidRPr="007E2B6C" w:rsidRDefault="007E2B6C" w:rsidP="007E2B6C">
      <w:pPr>
        <w:pStyle w:val="NormalWeb"/>
        <w:numPr>
          <w:ilvl w:val="0"/>
          <w:numId w:val="33"/>
        </w:numPr>
        <w:spacing w:before="0" w:beforeAutospacing="0" w:after="0" w:afterAutospacing="0"/>
        <w:ind w:left="284" w:hanging="284"/>
        <w:jc w:val="both"/>
        <w:rPr>
          <w:rFonts w:ascii="Cambria" w:hAnsi="Cambria"/>
          <w:i/>
          <w:color w:val="0E101A"/>
          <w:sz w:val="21"/>
          <w:szCs w:val="21"/>
        </w:rPr>
      </w:pPr>
      <w:r w:rsidRPr="007E2B6C">
        <w:rPr>
          <w:rStyle w:val="Strong"/>
          <w:rFonts w:ascii="Cambria" w:hAnsi="Cambria"/>
          <w:i/>
          <w:color w:val="0E101A"/>
          <w:sz w:val="21"/>
          <w:szCs w:val="21"/>
        </w:rPr>
        <w:t>Namalatu Beach</w:t>
      </w:r>
    </w:p>
    <w:p w14:paraId="5A0631F2"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Like Santai Beach, Namalatu Beach is also located on the southern coast of Tanjung Nusaniwe, with various tourist attractions on offer. They are starting from beach tourism and </w:t>
      </w:r>
      <w:r w:rsidRPr="007E2B6C">
        <w:rPr>
          <w:rFonts w:ascii="Cambria" w:hAnsi="Cambria"/>
          <w:color w:val="0E101A"/>
          <w:sz w:val="21"/>
          <w:szCs w:val="21"/>
        </w:rPr>
        <w:lastRenderedPageBreak/>
        <w:t>marine tourism. The ODTW offered is the same as Pantai Santai, namely swimming, water sports, and sunbathing. Visitors who visit this location can use four-wheeled or two-wheeled vehicles with a distance of 15 km with a travel time of 25-30 minutes from the city center. This location has experienced very good management since the Maluku Provincial Tourism Office handled it. The facilities available are also quite complete, consisting of trash cans, toilets, simple restaurants, and lodging.</w:t>
      </w:r>
    </w:p>
    <w:p w14:paraId="3AB6F864"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Visitors can also rent snorkeling equipment to see underwater life. Snorkeling is usually the most interesting for tourists from abroad. In addition, visitors can walk on the expanse of coral when the water recedes to see a variety of ornamental fish that are so beautiful and colorful. Several types of fish found are </w:t>
      </w:r>
      <w:r w:rsidRPr="007E2B6C">
        <w:rPr>
          <w:rStyle w:val="Emphasis"/>
          <w:rFonts w:ascii="Cambria" w:hAnsi="Cambria"/>
          <w:color w:val="0E101A"/>
          <w:sz w:val="21"/>
          <w:szCs w:val="21"/>
        </w:rPr>
        <w:t>Nudybranc, Signal Goby, Anemone, Frog Fish, Clown Fish, </w:t>
      </w:r>
      <w:r w:rsidRPr="007E2B6C">
        <w:rPr>
          <w:rFonts w:ascii="Cambria" w:hAnsi="Cambria"/>
          <w:color w:val="0E101A"/>
          <w:sz w:val="21"/>
          <w:szCs w:val="21"/>
        </w:rPr>
        <w:t>and many more.</w:t>
      </w:r>
    </w:p>
    <w:p w14:paraId="1863E840"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The entry tickets are Rp. 3000 for two-wheeled vehicles and Rp. 5000 for four wheels. For the visitors themselves, the entry tickets are Rp. 2000 for children and Rp. 3000 for adults. Then, there is also a ticket for food vendors and kiosk tenants Rp. 2,500, and a ticket for using rinse water is Rp. 1000. One of the historical relics of ancient parents, namely Batu Bicara, is used until now during the Inauguration of the King of Latuhalat </w:t>
      </w:r>
      <w:r w:rsidRPr="007E2B6C">
        <w:rPr>
          <w:rFonts w:ascii="Cambria" w:hAnsi="Cambria"/>
          <w:i/>
          <w:iCs/>
          <w:color w:val="0E101A"/>
          <w:sz w:val="21"/>
          <w:szCs w:val="21"/>
        </w:rPr>
        <w:t>Negeri</w:t>
      </w:r>
      <w:r w:rsidRPr="007E2B6C">
        <w:rPr>
          <w:rFonts w:ascii="Cambria" w:hAnsi="Cambria"/>
          <w:color w:val="0E101A"/>
          <w:sz w:val="21"/>
          <w:szCs w:val="21"/>
        </w:rPr>
        <w:t>. However, the management did not make an inscription about the historical heritage site.</w:t>
      </w:r>
    </w:p>
    <w:p w14:paraId="4BD1A382"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p>
    <w:p w14:paraId="447A9E46" w14:textId="77777777" w:rsidR="007E2B6C" w:rsidRPr="007E2B6C" w:rsidRDefault="007E2B6C" w:rsidP="007E2B6C">
      <w:pPr>
        <w:pStyle w:val="NormalWeb"/>
        <w:numPr>
          <w:ilvl w:val="0"/>
          <w:numId w:val="33"/>
        </w:numPr>
        <w:spacing w:before="0" w:beforeAutospacing="0" w:after="0" w:afterAutospacing="0"/>
        <w:ind w:left="284" w:hanging="284"/>
        <w:jc w:val="both"/>
        <w:rPr>
          <w:rFonts w:ascii="Cambria" w:hAnsi="Cambria"/>
          <w:i/>
          <w:color w:val="0E101A"/>
          <w:sz w:val="21"/>
          <w:szCs w:val="21"/>
        </w:rPr>
      </w:pPr>
      <w:r w:rsidRPr="007E2B6C">
        <w:rPr>
          <w:rStyle w:val="Strong"/>
          <w:rFonts w:ascii="Cambria" w:hAnsi="Cambria"/>
          <w:i/>
          <w:color w:val="0E101A"/>
          <w:sz w:val="21"/>
          <w:szCs w:val="21"/>
        </w:rPr>
        <w:t>Collins Beach</w:t>
      </w:r>
    </w:p>
    <w:p w14:paraId="2F16BA6C" w14:textId="77777777" w:rsidR="007E2B6C" w:rsidRPr="007E2B6C" w:rsidRDefault="007E2B6C" w:rsidP="007E2B6C">
      <w:pPr>
        <w:pStyle w:val="NormalWeb"/>
        <w:spacing w:before="0" w:beforeAutospacing="0" w:after="0" w:afterAutospacing="0"/>
        <w:ind w:left="66" w:firstLine="654"/>
        <w:jc w:val="both"/>
        <w:rPr>
          <w:rFonts w:ascii="Cambria" w:hAnsi="Cambria"/>
          <w:color w:val="0E101A"/>
          <w:sz w:val="21"/>
          <w:szCs w:val="21"/>
        </w:rPr>
      </w:pPr>
      <w:r w:rsidRPr="007E2B6C">
        <w:rPr>
          <w:rFonts w:ascii="Cambria" w:hAnsi="Cambria"/>
          <w:color w:val="0E101A"/>
          <w:sz w:val="21"/>
          <w:szCs w:val="21"/>
        </w:rPr>
        <w:t xml:space="preserve">Collins Beach is one of the beaches located in Latuhalat </w:t>
      </w:r>
      <w:r w:rsidRPr="007E2B6C">
        <w:rPr>
          <w:rFonts w:ascii="Cambria" w:hAnsi="Cambria"/>
          <w:i/>
          <w:iCs/>
          <w:color w:val="0E101A"/>
          <w:sz w:val="21"/>
          <w:szCs w:val="21"/>
        </w:rPr>
        <w:t>Negeri</w:t>
      </w:r>
      <w:r w:rsidRPr="007E2B6C">
        <w:rPr>
          <w:rFonts w:ascii="Cambria" w:hAnsi="Cambria"/>
          <w:color w:val="0E101A"/>
          <w:sz w:val="21"/>
          <w:szCs w:val="21"/>
        </w:rPr>
        <w:t>. The Tourist attraction offered is the same as Santai Beach and Namalatu Beach, namely swimming, water sports, sunbathing, and when the water is low, visitors can walk on the reef to see various types of reefs fish. In contrast to Santai Beach and Namalatu, Collins Beach is one of the resorts consisting of small cottages that offer beautiful beaches in Ambon city. Therefore, visitors, especially foreign tourists, often take advantage of the facilities available in this area. In addition, Collins Beach is usually used for wedding receptions and meetings, and discussions.</w:t>
      </w:r>
    </w:p>
    <w:p w14:paraId="15FA96A8" w14:textId="77777777" w:rsidR="007E2B6C" w:rsidRPr="007E2B6C" w:rsidRDefault="007E2B6C" w:rsidP="007E2B6C">
      <w:pPr>
        <w:pStyle w:val="NormalWeb"/>
        <w:numPr>
          <w:ilvl w:val="0"/>
          <w:numId w:val="33"/>
        </w:numPr>
        <w:spacing w:before="0" w:beforeAutospacing="0" w:after="0" w:afterAutospacing="0"/>
        <w:ind w:left="426" w:hanging="426"/>
        <w:jc w:val="both"/>
        <w:rPr>
          <w:rFonts w:ascii="Cambria" w:hAnsi="Cambria"/>
          <w:i/>
          <w:color w:val="0E101A"/>
          <w:sz w:val="21"/>
          <w:szCs w:val="21"/>
        </w:rPr>
      </w:pPr>
      <w:r w:rsidRPr="007E2B6C">
        <w:rPr>
          <w:rStyle w:val="Strong"/>
          <w:rFonts w:ascii="Cambria" w:hAnsi="Cambria"/>
          <w:i/>
          <w:color w:val="0E101A"/>
          <w:sz w:val="21"/>
          <w:szCs w:val="21"/>
        </w:rPr>
        <w:t>Sumber Jaya Beach</w:t>
      </w:r>
    </w:p>
    <w:p w14:paraId="49726134" w14:textId="77777777" w:rsidR="007E2B6C" w:rsidRPr="007E2B6C" w:rsidRDefault="007E2B6C" w:rsidP="007E2B6C">
      <w:pPr>
        <w:pStyle w:val="NormalWeb"/>
        <w:spacing w:before="0" w:beforeAutospacing="0" w:after="0" w:afterAutospacing="0"/>
        <w:ind w:left="66" w:firstLine="654"/>
        <w:jc w:val="both"/>
        <w:rPr>
          <w:rFonts w:ascii="Cambria" w:hAnsi="Cambria"/>
          <w:color w:val="0E101A"/>
          <w:sz w:val="21"/>
          <w:szCs w:val="21"/>
        </w:rPr>
      </w:pPr>
      <w:r w:rsidRPr="007E2B6C">
        <w:rPr>
          <w:rFonts w:ascii="Cambria" w:hAnsi="Cambria"/>
          <w:color w:val="0E101A"/>
          <w:sz w:val="21"/>
          <w:szCs w:val="21"/>
        </w:rPr>
        <w:t>Sumber Jaya Beach is adjacent to Tanjung Batu Konde Beach. This beach also has a swimming pool with good water circulation because it is directly from the seawater. This beach used to have huts around the swimming pool. However, because there is no management, everything has been damaged. What remains is only the swimming pool. Visitors come to this location only to enjoy the beauty of the beach, which is very shady and cool. In addition, the tourist attraction offered at this beach is swimming, enjoying the coolness of a calm and shady beach, and being able walking along the pool slope to enjoy types of reef fish.</w:t>
      </w:r>
    </w:p>
    <w:p w14:paraId="4407EE3E"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7F4B9F01" w14:textId="77777777" w:rsidR="007E2B6C" w:rsidRPr="007E2B6C" w:rsidRDefault="007E2B6C" w:rsidP="007E2B6C">
      <w:pPr>
        <w:pStyle w:val="NormalWeb"/>
        <w:numPr>
          <w:ilvl w:val="0"/>
          <w:numId w:val="33"/>
        </w:numPr>
        <w:spacing w:before="0" w:beforeAutospacing="0" w:after="0" w:afterAutospacing="0"/>
        <w:ind w:left="426" w:hanging="426"/>
        <w:jc w:val="both"/>
        <w:rPr>
          <w:rFonts w:ascii="Cambria" w:hAnsi="Cambria"/>
          <w:i/>
          <w:color w:val="0E101A"/>
          <w:sz w:val="21"/>
          <w:szCs w:val="21"/>
        </w:rPr>
      </w:pPr>
      <w:r w:rsidRPr="007E2B6C">
        <w:rPr>
          <w:rStyle w:val="Strong"/>
          <w:rFonts w:ascii="Cambria" w:hAnsi="Cambria"/>
          <w:i/>
          <w:color w:val="0E101A"/>
          <w:sz w:val="21"/>
          <w:szCs w:val="21"/>
        </w:rPr>
        <w:t>Tanjung Batu Konde Beach</w:t>
      </w:r>
    </w:p>
    <w:p w14:paraId="131FEB71"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Tanjung Batu Konde Beach is located at the far end of Latuhalat </w:t>
      </w:r>
      <w:r w:rsidRPr="007E2B6C">
        <w:rPr>
          <w:rFonts w:ascii="Cambria" w:hAnsi="Cambria"/>
          <w:i/>
          <w:iCs/>
          <w:color w:val="0E101A"/>
          <w:sz w:val="21"/>
          <w:szCs w:val="21"/>
        </w:rPr>
        <w:t>Negeri</w:t>
      </w:r>
      <w:r w:rsidRPr="007E2B6C">
        <w:rPr>
          <w:rFonts w:ascii="Cambria" w:hAnsi="Cambria"/>
          <w:color w:val="0E101A"/>
          <w:sz w:val="21"/>
          <w:szCs w:val="21"/>
        </w:rPr>
        <w:t>. If the tide is low, visitors can walk along the reef along the coast to look at the Banda Sea and Tanjung Alang. The attraction offered is a little different, namely fishing and enjoying the sea view in the afternoon and low tide. In addition, visitors will enjoy the sunset on the western horizon in the afternoon and when the water is receding.</w:t>
      </w:r>
    </w:p>
    <w:p w14:paraId="4A980E1D"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There are only a few huts on the beach. Visitor facilities such as toilets are not available here. Visitors are only charged Rp. 5000 for maintenance costs in the form of environmental cleanliness to enter this location.</w:t>
      </w:r>
    </w:p>
    <w:p w14:paraId="466253FD"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p>
    <w:p w14:paraId="453CE880" w14:textId="77777777" w:rsidR="007E2B6C" w:rsidRPr="007E2B6C" w:rsidRDefault="007E2B6C" w:rsidP="007E2B6C">
      <w:pPr>
        <w:pStyle w:val="NormalWeb"/>
        <w:numPr>
          <w:ilvl w:val="0"/>
          <w:numId w:val="33"/>
        </w:numPr>
        <w:spacing w:before="0" w:beforeAutospacing="0" w:after="0" w:afterAutospacing="0"/>
        <w:ind w:left="426" w:hanging="426"/>
        <w:jc w:val="both"/>
        <w:rPr>
          <w:rFonts w:ascii="Cambria" w:hAnsi="Cambria"/>
          <w:color w:val="0E101A"/>
          <w:sz w:val="21"/>
          <w:szCs w:val="21"/>
        </w:rPr>
      </w:pPr>
      <w:r w:rsidRPr="007E2B6C">
        <w:rPr>
          <w:rStyle w:val="Strong"/>
          <w:rFonts w:ascii="Cambria" w:hAnsi="Cambria"/>
          <w:color w:val="0E101A"/>
          <w:sz w:val="21"/>
          <w:szCs w:val="21"/>
        </w:rPr>
        <w:t>Namalatu Marine Park, Latuhalat</w:t>
      </w:r>
    </w:p>
    <w:p w14:paraId="4CB05D4D"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Namalatu </w:t>
      </w:r>
      <w:proofErr w:type="gramStart"/>
      <w:r w:rsidRPr="007E2B6C">
        <w:rPr>
          <w:rFonts w:ascii="Cambria" w:hAnsi="Cambria"/>
          <w:color w:val="0E101A"/>
          <w:sz w:val="21"/>
          <w:szCs w:val="21"/>
        </w:rPr>
        <w:t>marine park</w:t>
      </w:r>
      <w:proofErr w:type="gramEnd"/>
      <w:r w:rsidRPr="007E2B6C">
        <w:rPr>
          <w:rFonts w:ascii="Cambria" w:hAnsi="Cambria"/>
          <w:color w:val="0E101A"/>
          <w:sz w:val="21"/>
          <w:szCs w:val="21"/>
        </w:rPr>
        <w:t xml:space="preserve"> and Latuhalat marine park are located in the southern part of the Laitimur Peninsula, together with Santai Beach, Collins Beach, and Namalatu Beach. This marine park is very beautiful, with various ornamental fish and coral reefs. The potentials of the Namalatu and Latuhalat marine parks are the </w:t>
      </w:r>
      <w:r w:rsidRPr="007E2B6C">
        <w:rPr>
          <w:rStyle w:val="Emphasis"/>
          <w:rFonts w:ascii="Cambria" w:hAnsi="Cambria"/>
          <w:color w:val="0E101A"/>
          <w:sz w:val="21"/>
          <w:szCs w:val="21"/>
        </w:rPr>
        <w:t>Nudybranc</w:t>
      </w:r>
      <w:r w:rsidRPr="007E2B6C">
        <w:rPr>
          <w:rFonts w:ascii="Cambria" w:hAnsi="Cambria"/>
          <w:color w:val="0E101A"/>
          <w:sz w:val="21"/>
          <w:szCs w:val="21"/>
        </w:rPr>
        <w:t>, </w:t>
      </w:r>
      <w:r w:rsidRPr="007E2B6C">
        <w:rPr>
          <w:rStyle w:val="Emphasis"/>
          <w:rFonts w:ascii="Cambria" w:hAnsi="Cambria"/>
          <w:color w:val="0E101A"/>
          <w:sz w:val="21"/>
          <w:szCs w:val="21"/>
        </w:rPr>
        <w:t>Siganl Goby, Anemone, Frog Fish, and Clown Fish.</w:t>
      </w:r>
    </w:p>
    <w:p w14:paraId="24F834E8"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lastRenderedPageBreak/>
        <w:t>Based on data obtained from the field, information was obtained that visitors who use this marine park are foreign tourists, and usually, this snorkeling activity is not only carried out in the Namalatu and Latuhalat marine parks but also in the Airlouw and Erie marine parks.</w:t>
      </w:r>
    </w:p>
    <w:p w14:paraId="61126B44" w14:textId="77777777" w:rsidR="007E2B6C" w:rsidRPr="007E2B6C" w:rsidRDefault="007E2B6C" w:rsidP="007E2B6C">
      <w:pPr>
        <w:pStyle w:val="NormalWeb"/>
        <w:spacing w:before="0" w:beforeAutospacing="0" w:after="0" w:afterAutospacing="0"/>
        <w:jc w:val="both"/>
        <w:rPr>
          <w:rStyle w:val="Strong"/>
          <w:rFonts w:ascii="Cambria" w:hAnsi="Cambria"/>
          <w:color w:val="0E101A"/>
          <w:sz w:val="21"/>
          <w:szCs w:val="21"/>
        </w:rPr>
      </w:pPr>
    </w:p>
    <w:p w14:paraId="1AA9F861" w14:textId="77777777" w:rsidR="007E2B6C" w:rsidRPr="007E2B6C" w:rsidRDefault="007E2B6C" w:rsidP="007E2B6C">
      <w:pPr>
        <w:pStyle w:val="NormalWeb"/>
        <w:spacing w:before="0" w:beforeAutospacing="0" w:after="0" w:afterAutospacing="0"/>
        <w:jc w:val="both"/>
        <w:rPr>
          <w:rFonts w:ascii="Cambria" w:hAnsi="Cambria"/>
          <w:i/>
          <w:color w:val="0E101A"/>
          <w:sz w:val="21"/>
          <w:szCs w:val="21"/>
        </w:rPr>
      </w:pPr>
      <w:r w:rsidRPr="007E2B6C">
        <w:rPr>
          <w:rStyle w:val="Strong"/>
          <w:rFonts w:ascii="Cambria" w:hAnsi="Cambria"/>
          <w:i/>
          <w:color w:val="0E101A"/>
          <w:sz w:val="21"/>
          <w:szCs w:val="21"/>
        </w:rPr>
        <w:t>Community Cultural History Tourism</w:t>
      </w:r>
    </w:p>
    <w:p w14:paraId="05AA7191"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 xml:space="preserve">The tourism potential of the Nusaniwe peninsula, apart from natural tourism, is also a cultural history tour of the community. It cannot be separated from the countries on the peninsula, which </w:t>
      </w:r>
      <w:proofErr w:type="gramStart"/>
      <w:r w:rsidRPr="007E2B6C">
        <w:rPr>
          <w:rFonts w:ascii="Cambria" w:hAnsi="Cambria"/>
          <w:color w:val="0E101A"/>
          <w:sz w:val="21"/>
          <w:szCs w:val="21"/>
        </w:rPr>
        <w:t>is customary lands</w:t>
      </w:r>
      <w:proofErr w:type="gramEnd"/>
      <w:r w:rsidRPr="007E2B6C">
        <w:rPr>
          <w:rFonts w:ascii="Cambria" w:hAnsi="Cambria"/>
          <w:color w:val="0E101A"/>
          <w:sz w:val="21"/>
          <w:szCs w:val="21"/>
        </w:rPr>
        <w:t>.</w:t>
      </w:r>
    </w:p>
    <w:p w14:paraId="76D3705C"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288A6B77" w14:textId="77777777" w:rsidR="007E2B6C" w:rsidRPr="007E2B6C" w:rsidRDefault="007E2B6C" w:rsidP="007E2B6C">
      <w:pPr>
        <w:pStyle w:val="NormalWeb"/>
        <w:spacing w:before="0" w:beforeAutospacing="0" w:after="0" w:afterAutospacing="0"/>
        <w:jc w:val="both"/>
        <w:rPr>
          <w:rFonts w:ascii="Cambria" w:hAnsi="Cambria"/>
          <w:i/>
          <w:color w:val="0E101A"/>
          <w:sz w:val="21"/>
          <w:szCs w:val="21"/>
        </w:rPr>
      </w:pPr>
      <w:r w:rsidRPr="007E2B6C">
        <w:rPr>
          <w:rStyle w:val="Strong"/>
          <w:rFonts w:ascii="Cambria" w:hAnsi="Cambria"/>
          <w:i/>
          <w:color w:val="0E101A"/>
          <w:sz w:val="21"/>
          <w:szCs w:val="21"/>
        </w:rPr>
        <w:t xml:space="preserve">Amahusu </w:t>
      </w:r>
      <w:r w:rsidRPr="007E2B6C">
        <w:rPr>
          <w:rStyle w:val="Strong"/>
          <w:rFonts w:ascii="Cambria" w:hAnsi="Cambria"/>
          <w:i/>
          <w:iCs/>
          <w:color w:val="0E101A"/>
          <w:sz w:val="21"/>
          <w:szCs w:val="21"/>
        </w:rPr>
        <w:t>Negeri</w:t>
      </w:r>
    </w:p>
    <w:p w14:paraId="6149793D"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 xml:space="preserve">           Residents Amahusu </w:t>
      </w:r>
      <w:r w:rsidRPr="007E2B6C">
        <w:rPr>
          <w:rFonts w:ascii="Cambria" w:hAnsi="Cambria"/>
          <w:i/>
          <w:iCs/>
          <w:color w:val="0E101A"/>
          <w:sz w:val="21"/>
          <w:szCs w:val="21"/>
        </w:rPr>
        <w:t>Negeri</w:t>
      </w:r>
      <w:r w:rsidRPr="007E2B6C">
        <w:rPr>
          <w:rFonts w:ascii="Cambria" w:hAnsi="Cambria"/>
          <w:color w:val="0E101A"/>
          <w:sz w:val="21"/>
          <w:szCs w:val="21"/>
        </w:rPr>
        <w:t xml:space="preserve"> is a friendly and religious </w:t>
      </w:r>
      <w:r w:rsidRPr="007E2B6C">
        <w:rPr>
          <w:rFonts w:ascii="Cambria" w:hAnsi="Cambria"/>
          <w:i/>
          <w:iCs/>
          <w:color w:val="0E101A"/>
          <w:sz w:val="21"/>
          <w:szCs w:val="21"/>
        </w:rPr>
        <w:t>negeri</w:t>
      </w:r>
      <w:r w:rsidRPr="007E2B6C">
        <w:rPr>
          <w:rFonts w:ascii="Cambria" w:hAnsi="Cambria"/>
          <w:color w:val="0E101A"/>
          <w:sz w:val="21"/>
          <w:szCs w:val="21"/>
        </w:rPr>
        <w:t xml:space="preserve"> with an almost entirely Christian population. The community in Amahusu </w:t>
      </w:r>
      <w:r w:rsidRPr="007E2B6C">
        <w:rPr>
          <w:rFonts w:ascii="Cambria" w:hAnsi="Cambria"/>
          <w:i/>
          <w:iCs/>
          <w:color w:val="0E101A"/>
          <w:sz w:val="21"/>
          <w:szCs w:val="21"/>
        </w:rPr>
        <w:t>Negeri</w:t>
      </w:r>
      <w:r w:rsidRPr="007E2B6C">
        <w:rPr>
          <w:rFonts w:ascii="Cambria" w:hAnsi="Cambria"/>
          <w:color w:val="0E101A"/>
          <w:sz w:val="21"/>
          <w:szCs w:val="21"/>
        </w:rPr>
        <w:t xml:space="preserve"> still upholds pre-existing cultural values. One of the cultural customs that are still preserved to this day is the procession of the inauguration of the king of the Amahusu </w:t>
      </w:r>
      <w:r w:rsidRPr="007E2B6C">
        <w:rPr>
          <w:rFonts w:ascii="Cambria" w:hAnsi="Cambria"/>
          <w:i/>
          <w:iCs/>
          <w:color w:val="0E101A"/>
          <w:sz w:val="21"/>
          <w:szCs w:val="21"/>
        </w:rPr>
        <w:t>negeri</w:t>
      </w:r>
      <w:r w:rsidRPr="007E2B6C">
        <w:rPr>
          <w:rFonts w:ascii="Cambria" w:hAnsi="Cambria"/>
          <w:color w:val="0E101A"/>
          <w:sz w:val="21"/>
          <w:szCs w:val="21"/>
        </w:rPr>
        <w:t xml:space="preserve">. Then, the community believed several historical places to be places that still must be maintained and preserved because they are related to the origin of the </w:t>
      </w:r>
      <w:r w:rsidRPr="007E2B6C">
        <w:rPr>
          <w:rFonts w:ascii="Cambria" w:hAnsi="Cambria"/>
          <w:i/>
          <w:iCs/>
          <w:color w:val="0E101A"/>
          <w:sz w:val="21"/>
          <w:szCs w:val="21"/>
        </w:rPr>
        <w:t>negeri</w:t>
      </w:r>
      <w:r w:rsidRPr="007E2B6C">
        <w:rPr>
          <w:rFonts w:ascii="Cambria" w:hAnsi="Cambria"/>
          <w:color w:val="0E101A"/>
          <w:sz w:val="21"/>
          <w:szCs w:val="21"/>
        </w:rPr>
        <w:t xml:space="preserve"> and the clans (</w:t>
      </w:r>
      <w:proofErr w:type="gramStart"/>
      <w:r w:rsidRPr="007E2B6C">
        <w:rPr>
          <w:rFonts w:ascii="Cambria" w:hAnsi="Cambria"/>
          <w:color w:val="0E101A"/>
          <w:sz w:val="21"/>
          <w:szCs w:val="21"/>
        </w:rPr>
        <w:t>Fam</w:t>
      </w:r>
      <w:proofErr w:type="gramEnd"/>
      <w:r w:rsidRPr="007E2B6C">
        <w:rPr>
          <w:rFonts w:ascii="Cambria" w:hAnsi="Cambria"/>
          <w:color w:val="0E101A"/>
          <w:sz w:val="21"/>
          <w:szCs w:val="21"/>
        </w:rPr>
        <w:t xml:space="preserve">) in the area. Amahusu </w:t>
      </w:r>
      <w:r w:rsidRPr="007E2B6C">
        <w:rPr>
          <w:rFonts w:ascii="Cambria" w:hAnsi="Cambria"/>
          <w:i/>
          <w:iCs/>
          <w:color w:val="0E101A"/>
          <w:sz w:val="21"/>
          <w:szCs w:val="21"/>
        </w:rPr>
        <w:t>negeri</w:t>
      </w:r>
      <w:r w:rsidRPr="007E2B6C">
        <w:rPr>
          <w:rFonts w:ascii="Cambria" w:hAnsi="Cambria"/>
          <w:color w:val="0E101A"/>
          <w:sz w:val="21"/>
          <w:szCs w:val="21"/>
        </w:rPr>
        <w:t xml:space="preserve"> can also be used as a potential cultural and historical tourist attraction. </w:t>
      </w:r>
    </w:p>
    <w:p w14:paraId="5ABCFE2A"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Style w:val="Strong"/>
          <w:rFonts w:ascii="Cambria" w:hAnsi="Cambria"/>
          <w:color w:val="0E101A"/>
          <w:sz w:val="21"/>
          <w:szCs w:val="21"/>
        </w:rPr>
        <w:t>a. The Hasu Well and the Sago Tree</w:t>
      </w:r>
    </w:p>
    <w:p w14:paraId="1F6F6568"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It is said that the captain of Soa Nusa and his two dogs walked to monitor or check the boundaries of the land. When they arrived at the border between Amahusu and Urmessing, the two dogs of </w:t>
      </w:r>
      <w:proofErr w:type="gramStart"/>
      <w:r w:rsidRPr="007E2B6C">
        <w:rPr>
          <w:rFonts w:ascii="Cambria" w:hAnsi="Cambria"/>
          <w:color w:val="0E101A"/>
          <w:sz w:val="21"/>
          <w:szCs w:val="21"/>
        </w:rPr>
        <w:t>captain</w:t>
      </w:r>
      <w:proofErr w:type="gramEnd"/>
      <w:r w:rsidRPr="007E2B6C">
        <w:rPr>
          <w:rFonts w:ascii="Cambria" w:hAnsi="Cambria"/>
          <w:color w:val="0E101A"/>
          <w:sz w:val="21"/>
          <w:szCs w:val="21"/>
        </w:rPr>
        <w:t xml:space="preserve"> Soa Nusa were hungry and thirsty. Therefore, the captain gave a signal to his two dogs to dig a pond (a hole). Then, a spring appeared there. Meanwhile, the sago tree came from the rest of the food supplies belonging to </w:t>
      </w:r>
      <w:proofErr w:type="gramStart"/>
      <w:r w:rsidRPr="007E2B6C">
        <w:rPr>
          <w:rFonts w:ascii="Cambria" w:hAnsi="Cambria"/>
          <w:color w:val="0E101A"/>
          <w:sz w:val="21"/>
          <w:szCs w:val="21"/>
        </w:rPr>
        <w:t>captain</w:t>
      </w:r>
      <w:proofErr w:type="gramEnd"/>
      <w:r w:rsidRPr="007E2B6C">
        <w:rPr>
          <w:rFonts w:ascii="Cambria" w:hAnsi="Cambria"/>
          <w:color w:val="0E101A"/>
          <w:sz w:val="21"/>
          <w:szCs w:val="21"/>
        </w:rPr>
        <w:t xml:space="preserve"> Soa Nusa in the form of sago which turned into a sago tree plant and is still standing tall today.</w:t>
      </w:r>
    </w:p>
    <w:p w14:paraId="0F91F996"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 xml:space="preserve">When the 2013 natural disaster occurred in Amahusu </w:t>
      </w:r>
      <w:r w:rsidRPr="007E2B6C">
        <w:rPr>
          <w:rFonts w:ascii="Cambria" w:hAnsi="Cambria"/>
          <w:i/>
          <w:iCs/>
          <w:color w:val="0E101A"/>
          <w:sz w:val="21"/>
          <w:szCs w:val="21"/>
        </w:rPr>
        <w:t>negeri</w:t>
      </w:r>
      <w:r w:rsidRPr="007E2B6C">
        <w:rPr>
          <w:rFonts w:ascii="Cambria" w:hAnsi="Cambria"/>
          <w:color w:val="0E101A"/>
          <w:sz w:val="21"/>
          <w:szCs w:val="21"/>
        </w:rPr>
        <w:t>, this sago tree was lost and no longer exists. However, without realizing it, this sago tree grew back, and until now, it has reached ± 1 meter in height. This well and sago tree is located between the border of Urimesing and Amahusu around Mt. Nona. The existence of these wells and sago trees can be used as tourism potential. Apart from enjoying the natural scenery of Ambon city from Mount Nona, visitors will also see up close the existence of sago trees and Hasu wells as a form of community historical heritage.</w:t>
      </w:r>
    </w:p>
    <w:p w14:paraId="6E20A8CF"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Style w:val="Strong"/>
          <w:rFonts w:ascii="Cambria" w:hAnsi="Cambria"/>
          <w:color w:val="0E101A"/>
          <w:sz w:val="21"/>
          <w:szCs w:val="21"/>
        </w:rPr>
        <w:t>b. Stone Tables in the Old Land</w:t>
      </w:r>
    </w:p>
    <w:p w14:paraId="75F90BAD"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Relics and megalithic traditions are a special sign of an </w:t>
      </w:r>
      <w:r w:rsidRPr="007E2B6C">
        <w:rPr>
          <w:rStyle w:val="Emphasis"/>
          <w:rFonts w:ascii="Cambria" w:hAnsi="Cambria"/>
          <w:color w:val="0E101A"/>
          <w:sz w:val="21"/>
          <w:szCs w:val="21"/>
        </w:rPr>
        <w:t>Old Land</w:t>
      </w:r>
      <w:r w:rsidRPr="007E2B6C">
        <w:rPr>
          <w:rFonts w:ascii="Cambria" w:hAnsi="Cambria"/>
          <w:color w:val="0E101A"/>
          <w:sz w:val="21"/>
          <w:szCs w:val="21"/>
        </w:rPr>
        <w:t>. One of the main ones is the </w:t>
      </w:r>
      <w:r w:rsidRPr="007E2B6C">
        <w:rPr>
          <w:rStyle w:val="Emphasis"/>
          <w:rFonts w:ascii="Cambria" w:hAnsi="Cambria"/>
          <w:color w:val="0E101A"/>
          <w:sz w:val="21"/>
          <w:szCs w:val="21"/>
        </w:rPr>
        <w:t>dolmen</w:t>
      </w:r>
      <w:proofErr w:type="gramStart"/>
      <w:r w:rsidRPr="007E2B6C">
        <w:rPr>
          <w:rStyle w:val="Emphasis"/>
          <w:rFonts w:ascii="Cambria" w:hAnsi="Cambria"/>
          <w:color w:val="0E101A"/>
          <w:sz w:val="21"/>
          <w:szCs w:val="21"/>
        </w:rPr>
        <w:t>  </w:t>
      </w:r>
      <w:r w:rsidRPr="007E2B6C">
        <w:rPr>
          <w:rFonts w:ascii="Cambria" w:hAnsi="Cambria"/>
          <w:color w:val="0E101A"/>
          <w:sz w:val="21"/>
          <w:szCs w:val="21"/>
        </w:rPr>
        <w:t>(</w:t>
      </w:r>
      <w:proofErr w:type="gramEnd"/>
      <w:r w:rsidRPr="007E2B6C">
        <w:rPr>
          <w:rFonts w:ascii="Cambria" w:hAnsi="Cambria"/>
          <w:color w:val="0E101A"/>
          <w:sz w:val="21"/>
          <w:szCs w:val="21"/>
        </w:rPr>
        <w:t xml:space="preserve">table stones), which are almost evenly distributed throughout the Old Land. One of them is in Amahusu </w:t>
      </w:r>
      <w:r w:rsidRPr="007E2B6C">
        <w:rPr>
          <w:rFonts w:ascii="Cambria" w:hAnsi="Cambria"/>
          <w:i/>
          <w:iCs/>
          <w:color w:val="0E101A"/>
          <w:sz w:val="21"/>
          <w:szCs w:val="21"/>
        </w:rPr>
        <w:t>Negeri</w:t>
      </w:r>
      <w:r w:rsidRPr="007E2B6C">
        <w:rPr>
          <w:rFonts w:ascii="Cambria" w:hAnsi="Cambria"/>
          <w:color w:val="0E101A"/>
          <w:sz w:val="21"/>
          <w:szCs w:val="21"/>
        </w:rPr>
        <w:t>. Batu Table is located in the Old </w:t>
      </w:r>
      <w:r w:rsidRPr="007E2B6C">
        <w:rPr>
          <w:rStyle w:val="Emphasis"/>
          <w:rFonts w:ascii="Cambria" w:hAnsi="Cambria"/>
          <w:color w:val="0E101A"/>
          <w:sz w:val="21"/>
          <w:szCs w:val="21"/>
        </w:rPr>
        <w:t>Negeri</w:t>
      </w:r>
      <w:r w:rsidRPr="007E2B6C">
        <w:rPr>
          <w:rFonts w:ascii="Cambria" w:hAnsi="Cambria"/>
          <w:color w:val="0E101A"/>
          <w:sz w:val="21"/>
          <w:szCs w:val="21"/>
        </w:rPr>
        <w:t xml:space="preserve"> and is in the hamlet of one of the families in the Amahusu </w:t>
      </w:r>
      <w:r w:rsidRPr="007E2B6C">
        <w:rPr>
          <w:rFonts w:ascii="Cambria" w:hAnsi="Cambria"/>
          <w:i/>
          <w:iCs/>
          <w:color w:val="0E101A"/>
          <w:sz w:val="21"/>
          <w:szCs w:val="21"/>
        </w:rPr>
        <w:t>Negeri</w:t>
      </w:r>
      <w:r w:rsidRPr="007E2B6C">
        <w:rPr>
          <w:rFonts w:ascii="Cambria" w:hAnsi="Cambria"/>
          <w:color w:val="0E101A"/>
          <w:sz w:val="21"/>
          <w:szCs w:val="21"/>
        </w:rPr>
        <w:t xml:space="preserve">. According to sources </w:t>
      </w:r>
      <w:proofErr w:type="gramStart"/>
      <w:r w:rsidRPr="007E2B6C">
        <w:rPr>
          <w:rFonts w:ascii="Cambria" w:hAnsi="Cambria"/>
          <w:color w:val="0E101A"/>
          <w:sz w:val="21"/>
          <w:szCs w:val="21"/>
        </w:rPr>
        <w:t>who</w:t>
      </w:r>
      <w:proofErr w:type="gramEnd"/>
      <w:r w:rsidRPr="007E2B6C">
        <w:rPr>
          <w:rFonts w:ascii="Cambria" w:hAnsi="Cambria"/>
          <w:color w:val="0E101A"/>
          <w:sz w:val="21"/>
          <w:szCs w:val="21"/>
        </w:rPr>
        <w:t xml:space="preserve"> provided information, it was told that this large stone-shaped table was a place of gathering and worship for the elderly in ancient times.</w:t>
      </w:r>
    </w:p>
    <w:p w14:paraId="6E41DD10"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Suppose </w:t>
      </w:r>
      <w:r w:rsidRPr="007E2B6C">
        <w:rPr>
          <w:rStyle w:val="Emphasis"/>
          <w:rFonts w:ascii="Cambria" w:hAnsi="Cambria"/>
          <w:color w:val="0E101A"/>
          <w:sz w:val="21"/>
          <w:szCs w:val="21"/>
        </w:rPr>
        <w:t>the dolmen </w:t>
      </w:r>
      <w:r w:rsidRPr="007E2B6C">
        <w:rPr>
          <w:rFonts w:ascii="Cambria" w:hAnsi="Cambria"/>
          <w:color w:val="0E101A"/>
          <w:sz w:val="21"/>
          <w:szCs w:val="21"/>
        </w:rPr>
        <w:t>(table stone) is fenced and given an inscription to explain. In that case, it can be used as a cultural-historical heritage of the community that should be preserved, and the rest used as a special interest tourist attraction.</w:t>
      </w:r>
    </w:p>
    <w:p w14:paraId="6FCA9A55"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p>
    <w:p w14:paraId="4A8FA1E5"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Style w:val="Strong"/>
          <w:rFonts w:ascii="Cambria" w:hAnsi="Cambria"/>
          <w:color w:val="0E101A"/>
          <w:sz w:val="21"/>
          <w:szCs w:val="21"/>
        </w:rPr>
        <w:t xml:space="preserve">c. Tourist Attractions (King's Inauguration) with Parang, Salawaku, and Tahuri (Skin </w:t>
      </w:r>
      <w:proofErr w:type="gramStart"/>
      <w:r w:rsidRPr="007E2B6C">
        <w:rPr>
          <w:rStyle w:val="Strong"/>
          <w:rFonts w:ascii="Cambria" w:hAnsi="Cambria"/>
          <w:color w:val="0E101A"/>
          <w:sz w:val="21"/>
          <w:szCs w:val="21"/>
        </w:rPr>
        <w:t>Bia</w:t>
      </w:r>
      <w:proofErr w:type="gramEnd"/>
      <w:r w:rsidRPr="007E2B6C">
        <w:rPr>
          <w:rStyle w:val="Strong"/>
          <w:rFonts w:ascii="Cambria" w:hAnsi="Cambria"/>
          <w:color w:val="0E101A"/>
          <w:sz w:val="21"/>
          <w:szCs w:val="21"/>
        </w:rPr>
        <w:t xml:space="preserve"> / Big Bean)</w:t>
      </w:r>
    </w:p>
    <w:p w14:paraId="0342A124"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The procession of the Inauguration of the King in Amahusu </w:t>
      </w:r>
      <w:r w:rsidRPr="007E2B6C">
        <w:rPr>
          <w:rStyle w:val="Emphasis"/>
          <w:rFonts w:ascii="Cambria" w:hAnsi="Cambria"/>
          <w:color w:val="0E101A"/>
          <w:sz w:val="21"/>
          <w:szCs w:val="21"/>
        </w:rPr>
        <w:t>Negeri</w:t>
      </w:r>
      <w:r w:rsidRPr="007E2B6C">
        <w:rPr>
          <w:rFonts w:ascii="Cambria" w:hAnsi="Cambria"/>
          <w:color w:val="0E101A"/>
          <w:sz w:val="21"/>
          <w:szCs w:val="21"/>
        </w:rPr>
        <w:t> still uses local customs. These weapons of war are stored in the old house of the Mainake family and are approximately 600 years old. Judging from these hundreds of years of war tools, they can be used as historical relics that must be preserved.</w:t>
      </w:r>
    </w:p>
    <w:p w14:paraId="2E2C987A"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7FE25536"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Style w:val="Strong"/>
          <w:rFonts w:ascii="Cambria" w:hAnsi="Cambria"/>
          <w:i/>
          <w:iCs/>
          <w:color w:val="0E101A"/>
          <w:sz w:val="21"/>
          <w:szCs w:val="21"/>
        </w:rPr>
        <w:t>Negeri</w:t>
      </w:r>
      <w:r w:rsidRPr="007E2B6C">
        <w:rPr>
          <w:rStyle w:val="Strong"/>
          <w:rFonts w:ascii="Cambria" w:hAnsi="Cambria"/>
          <w:color w:val="0E101A"/>
          <w:sz w:val="21"/>
          <w:szCs w:val="21"/>
        </w:rPr>
        <w:t xml:space="preserve"> of Latuhalat</w:t>
      </w:r>
    </w:p>
    <w:p w14:paraId="28EC081B"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roofErr w:type="gramStart"/>
      <w:r w:rsidRPr="007E2B6C">
        <w:rPr>
          <w:rStyle w:val="Strong"/>
          <w:rFonts w:ascii="Cambria" w:hAnsi="Cambria"/>
          <w:color w:val="0E101A"/>
          <w:sz w:val="21"/>
          <w:szCs w:val="21"/>
        </w:rPr>
        <w:t>a</w:t>
      </w:r>
      <w:proofErr w:type="gramEnd"/>
      <w:r w:rsidRPr="007E2B6C">
        <w:rPr>
          <w:rStyle w:val="Strong"/>
          <w:rFonts w:ascii="Cambria" w:hAnsi="Cambria"/>
          <w:color w:val="0E101A"/>
          <w:sz w:val="21"/>
          <w:szCs w:val="21"/>
        </w:rPr>
        <w:t>. Batu Bicara</w:t>
      </w:r>
    </w:p>
    <w:p w14:paraId="01FFC7A8"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lastRenderedPageBreak/>
        <w:t xml:space="preserve">Stone is located inside Namalatu beach. According to sources who provided information, it was told that this location used to be a meeting place for the ancestors in Latuhalat </w:t>
      </w:r>
      <w:r w:rsidRPr="007E2B6C">
        <w:rPr>
          <w:rFonts w:ascii="Cambria" w:hAnsi="Cambria"/>
          <w:i/>
          <w:iCs/>
          <w:color w:val="0E101A"/>
          <w:sz w:val="21"/>
          <w:szCs w:val="21"/>
        </w:rPr>
        <w:t>Negeri</w:t>
      </w:r>
      <w:r w:rsidRPr="007E2B6C">
        <w:rPr>
          <w:rFonts w:ascii="Cambria" w:hAnsi="Cambria"/>
          <w:color w:val="0E101A"/>
          <w:sz w:val="21"/>
          <w:szCs w:val="21"/>
        </w:rPr>
        <w:t xml:space="preserve"> to tie a promise between the Risakotta, Tuhusula, and Leasa clans using blood that there would be no another bloodbath in Papala </w:t>
      </w:r>
      <w:r w:rsidRPr="007E2B6C">
        <w:rPr>
          <w:rFonts w:ascii="Cambria" w:hAnsi="Cambria"/>
          <w:i/>
          <w:iCs/>
          <w:color w:val="0E101A"/>
          <w:sz w:val="21"/>
          <w:szCs w:val="21"/>
        </w:rPr>
        <w:t>Negeri</w:t>
      </w:r>
      <w:r w:rsidRPr="007E2B6C">
        <w:rPr>
          <w:rFonts w:ascii="Cambria" w:hAnsi="Cambria"/>
          <w:color w:val="0E101A"/>
          <w:sz w:val="21"/>
          <w:szCs w:val="21"/>
        </w:rPr>
        <w:t xml:space="preserve"> (the name Latuhalat in the past) and this location is used as a part of the King's Inauguration procession in Latuhalat </w:t>
      </w:r>
      <w:r w:rsidRPr="007E2B6C">
        <w:rPr>
          <w:rFonts w:ascii="Cambria" w:hAnsi="Cambria"/>
          <w:i/>
          <w:iCs/>
          <w:color w:val="0E101A"/>
          <w:sz w:val="21"/>
          <w:szCs w:val="21"/>
        </w:rPr>
        <w:t>negeri</w:t>
      </w:r>
      <w:r w:rsidRPr="007E2B6C">
        <w:rPr>
          <w:rFonts w:ascii="Cambria" w:hAnsi="Cambria"/>
          <w:color w:val="0E101A"/>
          <w:sz w:val="21"/>
          <w:szCs w:val="21"/>
        </w:rPr>
        <w:t xml:space="preserve"> until now. The attraction of this location is a large rock that has been renovated into a small building separated from the beach.</w:t>
      </w:r>
    </w:p>
    <w:p w14:paraId="4C9B3552"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79597AF5"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Style w:val="Strong"/>
          <w:rFonts w:ascii="Cambria" w:hAnsi="Cambria"/>
          <w:color w:val="0E101A"/>
          <w:sz w:val="21"/>
          <w:szCs w:val="21"/>
        </w:rPr>
        <w:t>b. Bamboo </w:t>
      </w:r>
    </w:p>
    <w:p w14:paraId="78CEF69F"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This baduri bamboo is, at first glance, only an old bamboo clump. However, this plant gives a sign to the people in Latuhalat </w:t>
      </w:r>
      <w:r w:rsidRPr="007E2B6C">
        <w:rPr>
          <w:rFonts w:ascii="Cambria" w:hAnsi="Cambria"/>
          <w:i/>
          <w:iCs/>
          <w:color w:val="0E101A"/>
          <w:sz w:val="21"/>
          <w:szCs w:val="21"/>
        </w:rPr>
        <w:t>Negeri</w:t>
      </w:r>
      <w:r w:rsidRPr="007E2B6C">
        <w:rPr>
          <w:rFonts w:ascii="Cambria" w:hAnsi="Cambria"/>
          <w:color w:val="0E101A"/>
          <w:sz w:val="21"/>
          <w:szCs w:val="21"/>
        </w:rPr>
        <w:t>, especially to the Risakotta, Tuhusula, and Leasa clans. This plant will break and sound very loud and can be heard by all people in the village of Waimahu. When the bamboo breaks and makes a sound, one of the Risakotta, Tuhusula, or Leasa clans will die. It happened hundreds of years ago and is a sign until now.</w:t>
      </w:r>
    </w:p>
    <w:p w14:paraId="36D82813"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r w:rsidRPr="007E2B6C">
        <w:rPr>
          <w:rFonts w:ascii="Cambria" w:hAnsi="Cambria"/>
          <w:color w:val="0E101A"/>
          <w:sz w:val="21"/>
          <w:szCs w:val="21"/>
        </w:rPr>
        <w:t>This plant is located in Waimahu Hamlet, behind Waimahu Christian Elementary Schools 1 and 2. There is no special treatment for this plant. Therefore, if this plant is given a fence and an inscription to explain this plant, it may become a cultural, historical tourist attraction for the community that can be preserved.</w:t>
      </w:r>
    </w:p>
    <w:p w14:paraId="1D86338D"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
    <w:p w14:paraId="4074691C" w14:textId="77777777" w:rsidR="007E2B6C" w:rsidRPr="007E2B6C" w:rsidRDefault="007E2B6C" w:rsidP="007E2B6C">
      <w:pPr>
        <w:pStyle w:val="NormalWeb"/>
        <w:spacing w:before="0" w:beforeAutospacing="0" w:after="0" w:afterAutospacing="0"/>
        <w:jc w:val="both"/>
        <w:rPr>
          <w:rFonts w:ascii="Cambria" w:hAnsi="Cambria"/>
          <w:color w:val="0E101A"/>
          <w:sz w:val="21"/>
          <w:szCs w:val="21"/>
        </w:rPr>
      </w:pPr>
      <w:proofErr w:type="gramStart"/>
      <w:r w:rsidRPr="007E2B6C">
        <w:rPr>
          <w:rStyle w:val="Strong"/>
          <w:rFonts w:ascii="Cambria" w:hAnsi="Cambria"/>
          <w:color w:val="0E101A"/>
          <w:sz w:val="21"/>
          <w:szCs w:val="21"/>
        </w:rPr>
        <w:t>c</w:t>
      </w:r>
      <w:proofErr w:type="gramEnd"/>
      <w:r w:rsidRPr="007E2B6C">
        <w:rPr>
          <w:rStyle w:val="Strong"/>
          <w:rFonts w:ascii="Cambria" w:hAnsi="Cambria"/>
          <w:color w:val="0E101A"/>
          <w:sz w:val="21"/>
          <w:szCs w:val="21"/>
        </w:rPr>
        <w:t>. Laor Harvest Culture</w:t>
      </w:r>
    </w:p>
    <w:p w14:paraId="4CF13C8D"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 xml:space="preserve">One of the unique customs existing in Latuhalat </w:t>
      </w:r>
      <w:r w:rsidRPr="007E2B6C">
        <w:rPr>
          <w:rFonts w:ascii="Cambria" w:hAnsi="Cambria"/>
          <w:i/>
          <w:iCs/>
          <w:color w:val="0E101A"/>
          <w:sz w:val="21"/>
          <w:szCs w:val="21"/>
        </w:rPr>
        <w:t>Negeri</w:t>
      </w:r>
      <w:r w:rsidRPr="007E2B6C">
        <w:rPr>
          <w:rFonts w:ascii="Cambria" w:hAnsi="Cambria"/>
          <w:color w:val="0E101A"/>
          <w:sz w:val="21"/>
          <w:szCs w:val="21"/>
        </w:rPr>
        <w:t xml:space="preserve"> is the Laor harvest habit, or the local community's language is the Laor timba (sea worm (</w:t>
      </w:r>
      <w:r w:rsidRPr="007E2B6C">
        <w:rPr>
          <w:rStyle w:val="Emphasis"/>
          <w:rFonts w:ascii="Cambria" w:hAnsi="Cambria"/>
          <w:color w:val="0E101A"/>
          <w:sz w:val="21"/>
          <w:szCs w:val="21"/>
        </w:rPr>
        <w:t>Lycde Oele</w:t>
      </w:r>
      <w:r w:rsidRPr="007E2B6C">
        <w:rPr>
          <w:rFonts w:ascii="Cambria" w:hAnsi="Cambria"/>
          <w:color w:val="0E101A"/>
          <w:sz w:val="21"/>
          <w:szCs w:val="21"/>
        </w:rPr>
        <w:t>)), which is carried out once a year. This custom is like a people's party, where at the time of the emergence of Laor, the whole community, from children to adults, will go down to the beach to harvest the Laor. This custom has been done for years.</w:t>
      </w:r>
    </w:p>
    <w:p w14:paraId="5DACBDD8" w14:textId="77777777" w:rsidR="007E2B6C" w:rsidRPr="007E2B6C" w:rsidRDefault="007E2B6C" w:rsidP="007E2B6C">
      <w:pPr>
        <w:pStyle w:val="NormalWeb"/>
        <w:spacing w:before="0" w:beforeAutospacing="0" w:after="0" w:afterAutospacing="0"/>
        <w:ind w:firstLine="720"/>
        <w:jc w:val="both"/>
        <w:rPr>
          <w:rFonts w:ascii="Cambria" w:hAnsi="Cambria"/>
          <w:color w:val="0E101A"/>
          <w:sz w:val="21"/>
          <w:szCs w:val="21"/>
        </w:rPr>
      </w:pPr>
      <w:r w:rsidRPr="007E2B6C">
        <w:rPr>
          <w:rFonts w:ascii="Cambria" w:hAnsi="Cambria"/>
          <w:color w:val="0E101A"/>
          <w:sz w:val="21"/>
          <w:szCs w:val="21"/>
        </w:rPr>
        <w:t>This culture is not only followed by people in Latuhalat </w:t>
      </w:r>
      <w:r w:rsidRPr="007E2B6C">
        <w:rPr>
          <w:rStyle w:val="Emphasis"/>
          <w:rFonts w:ascii="Cambria" w:hAnsi="Cambria"/>
          <w:color w:val="0E101A"/>
          <w:sz w:val="21"/>
          <w:szCs w:val="21"/>
        </w:rPr>
        <w:t>Negeri</w:t>
      </w:r>
      <w:r w:rsidRPr="007E2B6C">
        <w:rPr>
          <w:rFonts w:ascii="Cambria" w:hAnsi="Cambria"/>
          <w:color w:val="0E101A"/>
          <w:sz w:val="21"/>
          <w:szCs w:val="21"/>
        </w:rPr>
        <w:t xml:space="preserve">, but by people outside Latuhalat </w:t>
      </w:r>
      <w:r w:rsidRPr="007E2B6C">
        <w:rPr>
          <w:rFonts w:ascii="Cambria" w:hAnsi="Cambria"/>
          <w:i/>
          <w:iCs/>
          <w:color w:val="0E101A"/>
          <w:sz w:val="21"/>
          <w:szCs w:val="21"/>
        </w:rPr>
        <w:t>Negeri</w:t>
      </w:r>
      <w:r w:rsidRPr="007E2B6C">
        <w:rPr>
          <w:rFonts w:ascii="Cambria" w:hAnsi="Cambria"/>
          <w:color w:val="0E101A"/>
          <w:sz w:val="21"/>
          <w:szCs w:val="21"/>
        </w:rPr>
        <w:t>. This custom of timba Laor has become one of the important events in Ambon city in the context of the year of tourism (mangente Ambon) and was carried out in April 2015. Therefore, this culture can be developed through promotion as one of the seasonal tourism agendas every year</w:t>
      </w:r>
      <w:r w:rsidRPr="007E2B6C">
        <w:rPr>
          <w:rFonts w:ascii="Cambria" w:hAnsi="Cambria"/>
          <w:sz w:val="21"/>
          <w:szCs w:val="21"/>
        </w:rPr>
        <w:t>.</w:t>
      </w:r>
    </w:p>
    <w:p w14:paraId="46FBF264" w14:textId="77777777" w:rsidR="007E2B6C" w:rsidRPr="007E2B6C" w:rsidRDefault="007E2B6C" w:rsidP="007E2B6C">
      <w:pPr>
        <w:spacing w:after="0" w:line="240" w:lineRule="auto"/>
        <w:ind w:left="284" w:firstLine="425"/>
        <w:jc w:val="both"/>
        <w:rPr>
          <w:rFonts w:ascii="Cambria" w:hAnsi="Cambria" w:cs="Times New Roman"/>
          <w:sz w:val="21"/>
          <w:szCs w:val="21"/>
        </w:rPr>
      </w:pPr>
    </w:p>
    <w:p w14:paraId="4A8EC7E2" w14:textId="77777777" w:rsidR="007E2B6C" w:rsidRPr="007E2B6C" w:rsidRDefault="007E2B6C" w:rsidP="007E2B6C">
      <w:pPr>
        <w:spacing w:after="0" w:line="240" w:lineRule="auto"/>
        <w:jc w:val="both"/>
        <w:rPr>
          <w:rFonts w:ascii="Cambria" w:hAnsi="Cambria" w:cs="Times New Roman"/>
          <w:b/>
          <w:sz w:val="21"/>
          <w:szCs w:val="21"/>
        </w:rPr>
      </w:pPr>
      <w:r w:rsidRPr="007E2B6C">
        <w:rPr>
          <w:rFonts w:ascii="Cambria" w:hAnsi="Cambria" w:cs="Times New Roman"/>
          <w:b/>
          <w:sz w:val="21"/>
          <w:szCs w:val="21"/>
        </w:rPr>
        <w:t>Characteristics of Visitors for Tourism</w:t>
      </w:r>
    </w:p>
    <w:p w14:paraId="629715F8" w14:textId="77777777" w:rsidR="007E2B6C" w:rsidRPr="007E2B6C" w:rsidRDefault="007E2B6C" w:rsidP="007E2B6C">
      <w:pPr>
        <w:spacing w:after="0" w:line="240" w:lineRule="auto"/>
        <w:ind w:firstLine="567"/>
        <w:jc w:val="both"/>
        <w:rPr>
          <w:rFonts w:ascii="Cambria" w:hAnsi="Cambria" w:cs="Times New Roman"/>
          <w:sz w:val="21"/>
          <w:szCs w:val="21"/>
          <w:lang w:val="en-ID"/>
        </w:rPr>
      </w:pPr>
      <w:r w:rsidRPr="007E2B6C">
        <w:rPr>
          <w:rFonts w:ascii="Cambria" w:hAnsi="Cambria" w:cs="Times New Roman"/>
          <w:sz w:val="21"/>
          <w:szCs w:val="21"/>
          <w:lang w:val="en-ID"/>
        </w:rPr>
        <w:t xml:space="preserve">Objects Coastal tourism objects on the Nusaniwe peninsula, especially for Amahusu, Nusaniwe, and Latuhalat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are one of the tourism potentials in Ambon city and have become a special attraction for tourists, both from within and outside the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During this research, visitors who became research respondents were visitors who lived in the Ambon city area. Meanwhile, the wider community has not known other tourist objects such as agrotourism and historical and cultural tourism, so there are minimal or almost no visitors who can be taken as respondents.</w:t>
      </w:r>
    </w:p>
    <w:p w14:paraId="5932C85F" w14:textId="77777777" w:rsidR="007E2B6C" w:rsidRPr="007E2B6C" w:rsidRDefault="007E2B6C" w:rsidP="007E2B6C">
      <w:pPr>
        <w:spacing w:after="0" w:line="240" w:lineRule="auto"/>
        <w:ind w:firstLine="567"/>
        <w:jc w:val="both"/>
        <w:rPr>
          <w:rFonts w:ascii="Cambria" w:hAnsi="Cambria" w:cs="Times New Roman"/>
          <w:sz w:val="21"/>
          <w:szCs w:val="21"/>
        </w:rPr>
      </w:pPr>
      <w:r w:rsidRPr="007E2B6C">
        <w:rPr>
          <w:rFonts w:ascii="Cambria" w:hAnsi="Cambria" w:cs="Times New Roman"/>
          <w:sz w:val="21"/>
          <w:szCs w:val="21"/>
          <w:lang w:val="en-ID"/>
        </w:rPr>
        <w:t>The characteristics of visitors will affect the development of ecotourism and the demand for the ecotourism market. This influence is the relationship between tourism needs and the economic capacity of visitors. In general, visitors who dominate visits to the Nusaniwe peninsula are young people ranging from 17-35 years with a high school education level (SMA) and an average monthly income of Rp. 500,000 – Rp. 1,000,000. Characteristics of visitors will be explained based on nine tourist sites with the following characteristics of visitors or respondents</w:t>
      </w:r>
      <w:r w:rsidRPr="007E2B6C">
        <w:rPr>
          <w:rFonts w:ascii="Cambria" w:hAnsi="Cambria" w:cs="Times New Roman"/>
          <w:sz w:val="21"/>
          <w:szCs w:val="21"/>
        </w:rPr>
        <w:t>:</w:t>
      </w:r>
    </w:p>
    <w:p w14:paraId="0C3DD954" w14:textId="77777777" w:rsidR="007E2B6C" w:rsidRPr="007E2B6C" w:rsidRDefault="007E2B6C" w:rsidP="007E2B6C">
      <w:pPr>
        <w:spacing w:after="0" w:line="240" w:lineRule="auto"/>
        <w:ind w:firstLine="567"/>
        <w:jc w:val="both"/>
        <w:rPr>
          <w:rFonts w:ascii="Cambria" w:hAnsi="Cambria" w:cs="Times New Roman"/>
          <w:sz w:val="21"/>
          <w:szCs w:val="21"/>
          <w:lang w:val="en-ID"/>
        </w:rPr>
      </w:pPr>
    </w:p>
    <w:p w14:paraId="3BC725CF" w14:textId="77777777" w:rsidR="007E2B6C" w:rsidRPr="007E2B6C" w:rsidRDefault="007E2B6C" w:rsidP="007E2B6C">
      <w:pPr>
        <w:numPr>
          <w:ilvl w:val="0"/>
          <w:numId w:val="27"/>
        </w:numPr>
        <w:pBdr>
          <w:top w:val="nil"/>
          <w:left w:val="nil"/>
          <w:bottom w:val="nil"/>
          <w:right w:val="nil"/>
          <w:between w:val="nil"/>
        </w:pBdr>
        <w:tabs>
          <w:tab w:val="left" w:pos="284"/>
        </w:tabs>
        <w:spacing w:after="0" w:line="240" w:lineRule="auto"/>
        <w:ind w:left="0" w:firstLine="0"/>
        <w:jc w:val="both"/>
        <w:rPr>
          <w:rFonts w:ascii="Cambria" w:hAnsi="Cambria" w:cs="Times New Roman"/>
          <w:b/>
          <w:color w:val="000000"/>
          <w:sz w:val="21"/>
          <w:szCs w:val="21"/>
        </w:rPr>
      </w:pPr>
      <w:r w:rsidRPr="007E2B6C">
        <w:rPr>
          <w:rFonts w:ascii="Cambria" w:hAnsi="Cambria" w:cs="Times New Roman"/>
          <w:b/>
          <w:color w:val="000000"/>
          <w:sz w:val="21"/>
          <w:szCs w:val="21"/>
        </w:rPr>
        <w:t>Age of respondents</w:t>
      </w:r>
    </w:p>
    <w:p w14:paraId="62025C2D" w14:textId="77777777" w:rsidR="007E2B6C" w:rsidRPr="007E2B6C" w:rsidRDefault="007E2B6C" w:rsidP="007E2B6C">
      <w:pPr>
        <w:spacing w:after="0" w:line="240" w:lineRule="auto"/>
        <w:ind w:firstLine="567"/>
        <w:jc w:val="both"/>
        <w:rPr>
          <w:rFonts w:ascii="Cambria" w:hAnsi="Cambria" w:cs="Times New Roman"/>
          <w:color w:val="000000"/>
          <w:sz w:val="21"/>
          <w:szCs w:val="21"/>
        </w:rPr>
      </w:pPr>
      <w:r w:rsidRPr="007E2B6C">
        <w:rPr>
          <w:rFonts w:ascii="Cambria" w:hAnsi="Cambria" w:cs="Times New Roman"/>
          <w:color w:val="000000"/>
          <w:sz w:val="21"/>
          <w:szCs w:val="21"/>
        </w:rPr>
        <w:t>Age is closely related to the physical ability of respondents to visit and their productivity. Age is also a factor that can determine a person's mindset in determining the types of goods and services to be consumed, including the decision to allocate part of his income to visit tourist attractions. Therefore, age indirectly will also affect visits to tourist objects on the Nusaniwe peninsula.</w:t>
      </w:r>
    </w:p>
    <w:p w14:paraId="0F970C5B" w14:textId="77777777" w:rsidR="007E2B6C" w:rsidRPr="007E2B6C" w:rsidRDefault="007E2B6C" w:rsidP="007E2B6C">
      <w:pPr>
        <w:spacing w:after="0" w:line="240" w:lineRule="auto"/>
        <w:ind w:firstLine="567"/>
        <w:jc w:val="both"/>
        <w:rPr>
          <w:rFonts w:ascii="Cambria" w:hAnsi="Cambria" w:cs="Times New Roman"/>
          <w:color w:val="000000"/>
          <w:sz w:val="21"/>
          <w:szCs w:val="21"/>
        </w:rPr>
      </w:pPr>
      <w:r w:rsidRPr="007E2B6C">
        <w:rPr>
          <w:rFonts w:ascii="Cambria" w:hAnsi="Cambria" w:cs="Times New Roman"/>
          <w:color w:val="000000"/>
          <w:sz w:val="21"/>
          <w:szCs w:val="21"/>
        </w:rPr>
        <w:lastRenderedPageBreak/>
        <w:t xml:space="preserve">This study obtained information that productive age, which ranges from 17 to 35 years, is more dominant in enjoying tourism. </w:t>
      </w:r>
      <w:r w:rsidRPr="007E2B6C">
        <w:rPr>
          <w:rFonts w:ascii="Cambria" w:hAnsi="Cambria" w:cs="Times New Roman"/>
          <w:color w:val="000000"/>
          <w:sz w:val="21"/>
          <w:szCs w:val="21"/>
        </w:rPr>
        <w:fldChar w:fldCharType="begin" w:fldLock="1"/>
      </w:r>
      <w:r w:rsidRPr="007E2B6C">
        <w:rPr>
          <w:rFonts w:ascii="Cambria" w:hAnsi="Cambria" w:cs="Times New Roman"/>
          <w:color w:val="000000"/>
          <w:sz w:val="21"/>
          <w:szCs w:val="21"/>
        </w:rPr>
        <w:instrText>ADDIN CSL_CITATION {"citationItems":[{"id":"ITEM-1","itemData":{"DOI":"10.1007/s11116-021-10259-4","ISBN":"0123456789","ISSN":"15729435","abstract":"There is lack of literature on international comparison of gender differences in the use of active travel modes. We used population-representative travel surveys for 19 major cities across 13 countries and 6 continents, representing a mix of cites from low-and-middle income (n = 8) and high-income countries (n = 11). In all the cities, females are more likely than males to walk and, in most cities, more likely to use public transport. This relationship reverses in cycling, with females often less likely users than males. In high cycling cities, both genders are equally likely to cycle. Active travel to access public transport contributes 30–50% of total active travel time. The gender differences in active travel metrics are age dependent. Among children (&lt; 16 years), these metrics are often equal for girls and boys, while gender disparity increases with age. On average, active travel enables one in every four people in the population to achieve at least 30 min of physical activity in a day, though there is large variation across the cities. In general, females are more likely to achieve this level than males. The results highlight the importance of a gendered approach towards active transport policies. Such an approach necessitates reducing road traffic danger and male violence, as well as overcoming social norms that restrict women from cycling.","author":[{"dropping-particle":"","family":"Goel","given":"Rahul","non-dropping-particle":"","parse-names":false,"suffix":""},{"dropping-particle":"","family":"Oyebode","given":"Oyinlola","non-dropping-particle":"","parse-names":false,"suffix":""},{"dropping-particle":"","family":"Foley","given":"Louise","non-dropping-particle":"","parse-names":false,"suffix":""},{"dropping-particle":"","family":"Tatah","given":"Lambed","non-dropping-particle":"","parse-names":false,"suffix":""},{"dropping-particle":"","family":"Millett","given":"Christopher","non-dropping-particle":"","parse-names":false,"suffix":""},{"dropping-particle":"","family":"Woodcock","given":"James","non-dropping-particle":"","parse-names":false,"suffix":""}],"container-title":"Transportation","id":"ITEM-1","issue":"0123456789","issued":{"date-parts":[["2022"]]},"publisher":"Springer US","title":"Gender differences in active travel in major cities across the world","type":"article-journal"},"uris":["http://www.mendeley.com/documents/?uuid=4dfcb8fb-06e7-4261-9809-007b84e9ad04"]}],"mendeley":{"formattedCitation":"(Goel et al., 2022)","manualFormatting":"Goel et al. (2022)","plainTextFormattedCitation":"(Goel et al., 2022)","previouslyFormattedCitation":"(Goel et al., 2022)"},"properties":{"noteIndex":0},"schema":"https://github.com/citation-style-language/schema/raw/master/csl-citation.json"}</w:instrText>
      </w:r>
      <w:r w:rsidRPr="007E2B6C">
        <w:rPr>
          <w:rFonts w:ascii="Cambria" w:hAnsi="Cambria" w:cs="Times New Roman"/>
          <w:color w:val="000000"/>
          <w:sz w:val="21"/>
          <w:szCs w:val="21"/>
        </w:rPr>
        <w:fldChar w:fldCharType="separate"/>
      </w:r>
      <w:proofErr w:type="gramStart"/>
      <w:r w:rsidRPr="007E2B6C">
        <w:rPr>
          <w:rFonts w:ascii="Cambria" w:hAnsi="Cambria" w:cs="Times New Roman"/>
          <w:noProof/>
          <w:color w:val="000000"/>
          <w:sz w:val="21"/>
          <w:szCs w:val="21"/>
        </w:rPr>
        <w:t>Goel et al. (2022)</w:t>
      </w:r>
      <w:r w:rsidRPr="007E2B6C">
        <w:rPr>
          <w:rFonts w:ascii="Cambria" w:hAnsi="Cambria" w:cs="Times New Roman"/>
          <w:color w:val="000000"/>
          <w:sz w:val="21"/>
          <w:szCs w:val="21"/>
        </w:rPr>
        <w:fldChar w:fldCharType="end"/>
      </w:r>
      <w:r w:rsidRPr="007E2B6C">
        <w:rPr>
          <w:rFonts w:ascii="Cambria" w:hAnsi="Cambria" w:cs="Times New Roman"/>
          <w:color w:val="000000"/>
          <w:sz w:val="21"/>
          <w:szCs w:val="21"/>
        </w:rPr>
        <w:t xml:space="preserve"> states that the productive age group makes the most travel trips.</w:t>
      </w:r>
      <w:proofErr w:type="gramEnd"/>
      <w:r w:rsidRPr="007E2B6C">
        <w:rPr>
          <w:rFonts w:ascii="Cambria" w:hAnsi="Cambria" w:cs="Times New Roman"/>
          <w:color w:val="000000"/>
          <w:sz w:val="21"/>
          <w:szCs w:val="21"/>
        </w:rPr>
        <w:t xml:space="preserve"> This productive group requires recreation, especially to refresh and relieve fatigue every day. Respondents aged 17-35 years amounted to 154 respondents or about 79%. Meanwhile, for the age range of 36-55 years, there are 41 people or about 21%. If the respondent were identified according to gender in </w:t>
      </w:r>
      <w:proofErr w:type="gramStart"/>
      <w:r w:rsidRPr="007E2B6C">
        <w:rPr>
          <w:rFonts w:ascii="Cambria" w:hAnsi="Cambria" w:cs="Times New Roman"/>
          <w:color w:val="000000"/>
          <w:sz w:val="21"/>
          <w:szCs w:val="21"/>
        </w:rPr>
        <w:t>Nine</w:t>
      </w:r>
      <w:proofErr w:type="gramEnd"/>
      <w:r w:rsidRPr="007E2B6C">
        <w:rPr>
          <w:rFonts w:ascii="Cambria" w:hAnsi="Cambria" w:cs="Times New Roman"/>
          <w:color w:val="000000"/>
          <w:sz w:val="21"/>
          <w:szCs w:val="21"/>
        </w:rPr>
        <w:t xml:space="preserve"> research locations, males amounted to 113 people or 58%, and women amounted to 82 people or 42%. Work affects social status and decision-making. Likewise, in selecting tourist sites, one's job will influence choosing tourism. If identified according to work, the number of visitors who work as entrepreneurs is 36 people or 18%, civil servants are 22 people or 11%, students are 95% or 49%, and other workers such as drivers, traders, and motorcycle taxis are 42 people or 22%. Therefore, it can be explained that the visitors or respondents who dominate the level of visits are students.  </w:t>
      </w:r>
    </w:p>
    <w:p w14:paraId="30C1C904" w14:textId="77777777" w:rsidR="007E2B6C" w:rsidRPr="007E2B6C" w:rsidRDefault="007E2B6C" w:rsidP="007E2B6C">
      <w:pPr>
        <w:spacing w:after="0" w:line="240" w:lineRule="auto"/>
        <w:ind w:firstLine="567"/>
        <w:jc w:val="both"/>
        <w:rPr>
          <w:rFonts w:ascii="Cambria" w:hAnsi="Cambria" w:cs="Times New Roman"/>
          <w:color w:val="000000"/>
          <w:sz w:val="21"/>
          <w:szCs w:val="21"/>
        </w:rPr>
      </w:pPr>
      <w:r w:rsidRPr="007E2B6C">
        <w:rPr>
          <w:rFonts w:ascii="Cambria" w:hAnsi="Cambria" w:cs="Times New Roman"/>
          <w:color w:val="000000"/>
          <w:sz w:val="21"/>
          <w:szCs w:val="21"/>
        </w:rPr>
        <w:t>The education level of tourist attraction visitors who were successfully met and interviewed was identified as having junior high school education as many as 3 people or 2% who were continuing their education in senior high school. Meanwhile, 131 senior high school graduates, or 67%, continued to the college level. There are also 30 Diploma graduates or 15% and 31 bachelor graduates or 16%. This condition is related to the paradigm of modern and educated urban society that has a high enough relationship to the natural attraction as a medium to reduce fatigue levels from daily activities</w:t>
      </w:r>
      <w:r w:rsidRPr="007E2B6C">
        <w:rPr>
          <w:rFonts w:ascii="Cambria" w:hAnsi="Cambria" w:cs="Times New Roman"/>
          <w:sz w:val="21"/>
          <w:szCs w:val="21"/>
        </w:rPr>
        <w:t xml:space="preserve"> </w:t>
      </w:r>
      <w:r w:rsidRPr="007E2B6C">
        <w:rPr>
          <w:rFonts w:ascii="Cambria" w:hAnsi="Cambria" w:cs="Times New Roman"/>
          <w:sz w:val="21"/>
          <w:szCs w:val="21"/>
        </w:rPr>
        <w:fldChar w:fldCharType="begin" w:fldLock="1"/>
      </w:r>
      <w:r w:rsidRPr="007E2B6C">
        <w:rPr>
          <w:rFonts w:ascii="Cambria" w:hAnsi="Cambria" w:cs="Times New Roman"/>
          <w:sz w:val="21"/>
          <w:szCs w:val="21"/>
        </w:rPr>
        <w:instrText>ADDIN CSL_CITATION {"citationItems":[{"id":"ITEM-1","itemData":{"DOI":"10.1038/s44159-021-00006-y","ISBN":"0123456789","abstract":"Misinformation has been identified as a major contributor to various contentious contemporary events ranging from elections and referenda to the response to the COVID-19\npandemic. Not only can belief in misinformation lead to poor judgements and decision-making, it also exerts a lingering influence on people’s reasoning after it has been corrected — an effect known as the continued influence effect. In this Review, we describe the cognitive, social and affective factors that lead people to form or endorse misinformed views, and the psychological barriers to knowledge revision after misinformation has been corrected, including theories of\ncontinued influence. We discuss the effectiveness of both pre-emptive (‘prebunking’) and reactive (‘debunking’) interventions to reduce the effects of misinformation, as well as implications\nfor information consumers and practitioners in various areas including journalism, public health, policymaking and education.","author":[{"dropping-particle":"","family":"Ecker","given":"Ullrich K. H.","non-dropping-particle":"","parse-names":false,"suffix":""},{"dropping-particle":"","family":"Lewandowsky","given":"Stephan","non-dropping-particle":"","parse-names":false,"suffix":""},{"dropping-particle":"","family":"Cook","given":"John","non-dropping-particle":"","parse-names":false,"suffix":""},{"dropping-particle":"","family":"Schmid","given":"Philipp","non-dropping-particle":"","parse-names":false,"suffix":""},{"dropping-particle":"","family":"Fazio","given":"Lisa K.","non-dropping-particle":"","parse-names":false,"suffix":""},{"dropping-particle":"","family":"Brashier","given":"Nadia","non-dropping-particle":"","parse-names":false,"suffix":""},{"dropping-particle":"","family":"Kendeou","given":"Panayiota","non-dropping-particle":"","parse-names":false,"suffix":""},{"dropping-particle":"","family":"Vraga","given":"Emily K.","non-dropping-particle":"","parse-names":false,"suffix":""},{"dropping-particle":"","family":"Amazeen","given":"Michelle A.","non-dropping-particle":"","parse-names":false,"suffix":""}],"container-title":"Nature Reviews Psychology","id":"ITEM-1","issue":"1","issued":{"date-parts":[["2022"]]},"page":"13-29","publisher":"Springer US","title":"The psychological drivers of misinformation belief and its resistance to correction","type":"article-journal","volume":"1"},"uris":["http://www.mendeley.com/documents/?uuid=59f9159f-9ef5-4fe3-a57a-32107c6be90f"]}],"mendeley":{"formattedCitation":"(Ecker et al., 2022)","plainTextFormattedCitation":"(Ecker et al., 2022)","previouslyFormattedCitation":"(Ecker et al., 2022)"},"properties":{"noteIndex":0},"schema":"https://github.com/citation-style-language/schema/raw/master/csl-citation.json"}</w:instrText>
      </w:r>
      <w:r w:rsidRPr="007E2B6C">
        <w:rPr>
          <w:rFonts w:ascii="Cambria" w:hAnsi="Cambria" w:cs="Times New Roman"/>
          <w:sz w:val="21"/>
          <w:szCs w:val="21"/>
        </w:rPr>
        <w:fldChar w:fldCharType="separate"/>
      </w:r>
      <w:r w:rsidRPr="007E2B6C">
        <w:rPr>
          <w:rFonts w:ascii="Cambria" w:hAnsi="Cambria" w:cs="Times New Roman"/>
          <w:noProof/>
          <w:sz w:val="21"/>
          <w:szCs w:val="21"/>
        </w:rPr>
        <w:t>(Ecker et al., 2022)</w:t>
      </w:r>
      <w:r w:rsidRPr="007E2B6C">
        <w:rPr>
          <w:rFonts w:ascii="Cambria" w:hAnsi="Cambria" w:cs="Times New Roman"/>
          <w:sz w:val="21"/>
          <w:szCs w:val="21"/>
        </w:rPr>
        <w:fldChar w:fldCharType="end"/>
      </w:r>
      <w:r w:rsidRPr="007E2B6C">
        <w:rPr>
          <w:rFonts w:ascii="Cambria" w:hAnsi="Cambria" w:cs="Times New Roman"/>
          <w:sz w:val="21"/>
          <w:szCs w:val="21"/>
        </w:rPr>
        <w:t>.</w:t>
      </w:r>
    </w:p>
    <w:p w14:paraId="15495CA6" w14:textId="77777777" w:rsidR="007E2B6C" w:rsidRPr="007E2B6C" w:rsidRDefault="007E2B6C" w:rsidP="007E2B6C">
      <w:pPr>
        <w:spacing w:after="0" w:line="240" w:lineRule="auto"/>
        <w:jc w:val="both"/>
        <w:rPr>
          <w:rFonts w:ascii="Cambria" w:hAnsi="Cambria" w:cs="Times New Roman"/>
          <w:b/>
          <w:sz w:val="21"/>
          <w:szCs w:val="21"/>
        </w:rPr>
      </w:pPr>
    </w:p>
    <w:p w14:paraId="3A73F6A4" w14:textId="77777777" w:rsidR="007E2B6C" w:rsidRPr="007E2B6C" w:rsidRDefault="007E2B6C" w:rsidP="007E2B6C">
      <w:pPr>
        <w:spacing w:after="0" w:line="240" w:lineRule="auto"/>
        <w:jc w:val="both"/>
        <w:rPr>
          <w:rFonts w:ascii="Cambria" w:hAnsi="Cambria" w:cs="Times New Roman"/>
          <w:b/>
          <w:sz w:val="21"/>
          <w:szCs w:val="21"/>
        </w:rPr>
      </w:pPr>
      <w:r w:rsidRPr="007E2B6C">
        <w:rPr>
          <w:rFonts w:ascii="Cambria" w:hAnsi="Cambria" w:cs="Times New Roman"/>
          <w:b/>
          <w:sz w:val="21"/>
          <w:szCs w:val="21"/>
        </w:rPr>
        <w:t>Economic Value of Nusaniwe Peninsula Tourism Objects</w:t>
      </w:r>
    </w:p>
    <w:p w14:paraId="0DC9BD1C" w14:textId="77777777" w:rsidR="007E2B6C" w:rsidRPr="007E2B6C" w:rsidRDefault="007E2B6C" w:rsidP="007E2B6C">
      <w:pPr>
        <w:tabs>
          <w:tab w:val="left" w:pos="0"/>
        </w:tabs>
        <w:spacing w:after="0" w:line="240" w:lineRule="auto"/>
        <w:ind w:firstLine="567"/>
        <w:jc w:val="both"/>
        <w:rPr>
          <w:rFonts w:ascii="Cambria" w:hAnsi="Cambria" w:cs="Times New Roman"/>
          <w:sz w:val="21"/>
          <w:szCs w:val="21"/>
          <w:lang w:val="en-ID"/>
        </w:rPr>
      </w:pPr>
      <w:r w:rsidRPr="007E2B6C">
        <w:rPr>
          <w:rFonts w:ascii="Cambria" w:hAnsi="Cambria" w:cs="Times New Roman"/>
          <w:sz w:val="21"/>
          <w:szCs w:val="21"/>
          <w:lang w:val="en-ID"/>
        </w:rPr>
        <w:t>In determining the economic value of tourism, it can be based on the travel cost approach</w:t>
      </w:r>
      <w:r w:rsidRPr="007E2B6C">
        <w:rPr>
          <w:rFonts w:ascii="Cambria" w:hAnsi="Cambria" w:cs="Times New Roman"/>
          <w:i/>
          <w:iCs/>
          <w:sz w:val="21"/>
          <w:szCs w:val="21"/>
          <w:lang w:val="en-ID"/>
        </w:rPr>
        <w:t>, </w:t>
      </w:r>
      <w:r w:rsidRPr="007E2B6C">
        <w:rPr>
          <w:rFonts w:ascii="Cambria" w:hAnsi="Cambria" w:cs="Times New Roman"/>
          <w:sz w:val="21"/>
          <w:szCs w:val="21"/>
          <w:lang w:val="en-ID"/>
        </w:rPr>
        <w:t>namely, the amount of money spent during tourist visits to the Nusaniwe peninsula. These costs include round-trip transportation costs, consumption costs, documentation fees, and others (including entrance tickets).</w:t>
      </w:r>
    </w:p>
    <w:p w14:paraId="0F68923F"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 xml:space="preserve">           According to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{"citationItems":[{"id":"ITEM-1","itemData":{"DOI":"10.1177/0047287519829257","ISBN":"0047287519","ISSN":"15526763","abstract":"The objective of this article is to analyze travel expenses across and within types. The empirical application examines the determinant factors of total expenses, controlling for potential endogeneity, and relies on quantile regression to analyze the effects of information search behavior on the distribution of total expenses as well as accommodation, shopping, food and beverages, and local transportation expenses. The role of information sources in predicting travel spending behaviors is a new dimension in the literature on expenses, and a sample of 48,113 travelers has led to the detection of effects of variables with relevant managerial implications (e.g., while official information centers show positive impacts at the upper levels of accommodation expenses, they present null effects at the highest levels of shopping expenses) as well as theoretical implications (special attention should be drawn to the variable length of stay, which, after being controlled by endogeneity, completely loses its significance).","author":[{"dropping-particle":"","family":"Park","given":"Sangwon","non-dropping-particle":"","parse-names":false,"suffix":""},{"dropping-particle":"","family":"Woo","given":"Mina","non-dropping-particle":"","parse-names":false,"suffix":""},{"dropping-particle":"","family":"Nicolau","given":"Juan L.","non-dropping-particle":"","parse-names":false,"suffix":""}],"container-title":"Journal of Travel Research","id":"ITEM-1","issue":"2","issued":{"date-parts":[["2020"]]},"number-of-pages":"267-280","title":"Determinant Factors of Tourist Expenses","type":"book","volume":"59"},"uris":["http://www.mendeley.com/documents/?uuid=9788e0ce-70cd-4e18-b21f-1000cac49194"]}],"mendeley":{"formattedCitation":"(Park et al., 2020)","manualFormatting":"Park et al. (2020)","plainTextFormattedCitation":"(Park et al., 2020)","previouslyFormattedCitation":"(Park et al., 2020)"},"properties":{"noteIndex":0},"schema":"https://github.com/citation-style-language/schema/raw/master/csl-citation.json"}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Park et al. (2020)</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 xml:space="preserve">, travel costs can be based on costs largely determined by each visitor's costs from each area of </w:t>
      </w:r>
      <w:r w:rsidRPr="007E2B6C">
        <w:rPr>
          <w:rFonts w:ascii="Cambria" w:hAnsi="Cambria"/>
          <w:sz w:val="21"/>
          <w:szCs w:val="21"/>
          <w:lang w:val="en-ID"/>
        </w:rPr>
        <w:t>​​</w:t>
      </w:r>
      <w:r w:rsidRPr="007E2B6C">
        <w:rPr>
          <w:rFonts w:ascii="Cambria" w:hAnsi="Cambria" w:cs="Times New Roman"/>
          <w:sz w:val="21"/>
          <w:szCs w:val="21"/>
          <w:lang w:val="en-ID"/>
        </w:rPr>
        <w:t>origin because the amount of the portion is different. Therefore, the classification of visitors is based on the region of origin and the cost of the visitor's tourist trap in the tourist attraction area on the Nusaniwe peninsula. On the observation of visitors who are local tourists, the classification of the region can be divided into several regions of origin from various regions and sub-districts around the city of Ambon, which is divided into the areas of Passo, Lateri, Galala, Kudamati, Benteng, Kayu Putih, Poka, Mangga Dua, Air Salobar, Amahusu, and Latuhalat</w:t>
      </w:r>
    </w:p>
    <w:p w14:paraId="39BF41C5"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 xml:space="preserve">           This discussion will discuss the economic value of tourism at each tourist attraction located in each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on the Nusaniwe peninsula. There are Capeu Stone, Batu Lubang and Waititei Beach in Amahusu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Also, there are Pintu Kota and Felawatu Beach attractions in Nusaniwe </w:t>
      </w:r>
      <w:r w:rsidRPr="007E2B6C">
        <w:rPr>
          <w:rFonts w:ascii="Cambria" w:hAnsi="Cambria" w:cs="Times New Roman"/>
          <w:i/>
          <w:iCs/>
          <w:sz w:val="21"/>
          <w:szCs w:val="21"/>
          <w:lang w:val="en-ID"/>
        </w:rPr>
        <w:t>negeri</w:t>
      </w:r>
      <w:r w:rsidRPr="007E2B6C">
        <w:rPr>
          <w:rFonts w:ascii="Cambria" w:hAnsi="Cambria" w:cs="Times New Roman"/>
          <w:sz w:val="21"/>
          <w:szCs w:val="21"/>
          <w:lang w:val="en-ID"/>
        </w:rPr>
        <w:t xml:space="preserve">. Then, there are the Santai Beach, Namalatu Beach, Sumber Jaya Beach, and Tanjung Batu Konde Beach attractions in the Nusaniwe and Latuhalat </w:t>
      </w:r>
      <w:r w:rsidRPr="007E2B6C">
        <w:rPr>
          <w:rFonts w:ascii="Cambria" w:hAnsi="Cambria" w:cs="Times New Roman"/>
          <w:i/>
          <w:iCs/>
          <w:sz w:val="21"/>
          <w:szCs w:val="21"/>
          <w:lang w:val="en-ID"/>
        </w:rPr>
        <w:t>Negeri</w:t>
      </w:r>
      <w:r w:rsidRPr="007E2B6C">
        <w:rPr>
          <w:rFonts w:ascii="Cambria" w:hAnsi="Cambria" w:cs="Times New Roman"/>
          <w:sz w:val="21"/>
          <w:szCs w:val="21"/>
          <w:lang w:val="en-ID"/>
        </w:rPr>
        <w:t>.</w:t>
      </w:r>
    </w:p>
    <w:p w14:paraId="794AF5F5"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 xml:space="preserve">           Visitors who live close to natural attractions will pay lower transportation costs than those farther away. The type of transportation used will also be influenced </w:t>
      </w:r>
      <w:r w:rsidRPr="007E2B6C">
        <w:rPr>
          <w:rFonts w:ascii="Cambria" w:hAnsi="Cambria" w:cs="Times New Roman"/>
          <w:sz w:val="21"/>
          <w:szCs w:val="21"/>
          <w:lang w:val="en-ID"/>
        </w:rPr>
        <w:fldChar w:fldCharType="begin" w:fldLock="1"/>
      </w:r>
      <w:r w:rsidRPr="007E2B6C">
        <w:rPr>
          <w:rFonts w:ascii="Cambria" w:hAnsi="Cambria" w:cs="Times New Roman"/>
          <w:sz w:val="21"/>
          <w:szCs w:val="21"/>
          <w:lang w:val="en-ID"/>
        </w:rPr>
        <w:instrText>ADDIN CSL_CITATION {"citationItems":[{"id":"ITEM-1","itemData":{"DOI":"10.1016/j.annals.2021.103151","ISSN":"01607383","abstract":"This paper launches the Curated Collection of Annals of Tourism Research on air transport and tourism. Starting with a structured and historical review of the literature, the paper then discusses an analytical framework based on microeconomics and economic geography tools to highlight the implications of air transport accessibility for tourism development. Moreover, the paper examines the airline – airport – tourism destination authority systemic relationship. By highlighting key features of each stakeholder, a total of 10,554 related intra- and inter-stakeholder possible relationships are identified. A thorough understanding of these relationships may prove of added value to address conflicts, capitalize on synergies and rejuvenate air transport and tourism in the post COVID-19 business environment to the benefit of all involved stakeholders.","author":[{"dropping-particle":"","family":"Papatheodorou","given":"Andreas","non-dropping-particle":"","parse-names":false,"suffix":""}],"container-title":"Annals of Tourism Research","id":"ITEM-1","issued":{"date-parts":[["2021"]]},"page":"103151","publisher":"The Author","title":"A review of research into air transport and tourism:: Launching the Annals of Tourism Research Curated Collection on Air Transport and Tourism","type":"article-journal","volume":"87"},"uris":["http://www.mendeley.com/documents/?uuid=541c7027-2f57-413e-ae6c-9c61d99cb65a"]}],"mendeley":{"formattedCitation":"(Papatheodorou, 2021)","plainTextFormattedCitation":"(Papatheodorou, 2021)","previouslyFormattedCitation":"(Papatheodorou, 2021)"},"properties":{"noteIndex":0},"schema":"https://github.com/citation-style-language/schema/raw/master/csl-citation.json"}</w:instrText>
      </w:r>
      <w:r w:rsidRPr="007E2B6C">
        <w:rPr>
          <w:rFonts w:ascii="Cambria" w:hAnsi="Cambria" w:cs="Times New Roman"/>
          <w:sz w:val="21"/>
          <w:szCs w:val="21"/>
          <w:lang w:val="en-ID"/>
        </w:rPr>
        <w:fldChar w:fldCharType="separate"/>
      </w:r>
      <w:r w:rsidRPr="007E2B6C">
        <w:rPr>
          <w:rFonts w:ascii="Cambria" w:hAnsi="Cambria" w:cs="Times New Roman"/>
          <w:noProof/>
          <w:sz w:val="21"/>
          <w:szCs w:val="21"/>
          <w:lang w:val="en-ID"/>
        </w:rPr>
        <w:t>(Papatheodorou, 2021)</w:t>
      </w:r>
      <w:r w:rsidRPr="007E2B6C">
        <w:rPr>
          <w:rFonts w:ascii="Cambria" w:hAnsi="Cambria" w:cs="Times New Roman"/>
          <w:sz w:val="21"/>
          <w:szCs w:val="21"/>
          <w:lang w:val="en-ID"/>
        </w:rPr>
        <w:fldChar w:fldCharType="end"/>
      </w:r>
      <w:r w:rsidRPr="007E2B6C">
        <w:rPr>
          <w:rFonts w:ascii="Cambria" w:hAnsi="Cambria" w:cs="Times New Roman"/>
          <w:sz w:val="21"/>
          <w:szCs w:val="21"/>
          <w:lang w:val="en-ID"/>
        </w:rPr>
        <w:t>.</w:t>
      </w:r>
    </w:p>
    <w:p w14:paraId="4BCABE93"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           A zoning system based on the area of origin was carried out to project the economic value of natural tourism using the travel cost method approach, assuming that visitors from the same zone would incur the same transportation costs. The further away someone lives who come to take advantage of recreational facilities, the more visitors spend on travel costs than those who live near the object. Thus, those closer together and whose travel costs are lower will experience a greater consumer surplus.</w:t>
      </w:r>
    </w:p>
    <w:p w14:paraId="3BFDEFEF"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           Meanwhile, this study's components of travel costs are the costs incurred by visitors to arrive and return from the tourist attraction. The travel costs include transportation costs, consumption costs, and other costs consisting of additional costs such as entrance tickets and the use of facilities on site.</w:t>
      </w:r>
    </w:p>
    <w:p w14:paraId="17EA7832"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lastRenderedPageBreak/>
        <w:t xml:space="preserve">           The operational steps in determining the demand for capital are as follows: The first step is to estimate the number of visits per 1000 inhabitants from each particular area of </w:t>
      </w:r>
      <w:r w:rsidRPr="007E2B6C">
        <w:rPr>
          <w:rFonts w:ascii="Cambria" w:hAnsi="Cambria"/>
          <w:sz w:val="21"/>
          <w:szCs w:val="21"/>
          <w:lang w:val="en-ID"/>
        </w:rPr>
        <w:t>​​</w:t>
      </w:r>
      <w:r w:rsidRPr="007E2B6C">
        <w:rPr>
          <w:rFonts w:ascii="Cambria" w:hAnsi="Cambria" w:cs="Times New Roman"/>
          <w:sz w:val="21"/>
          <w:szCs w:val="21"/>
          <w:lang w:val="en-ID"/>
        </w:rPr>
        <w:t>origin. The next step is to calculate the cost of travel from a certain zone of origin. Furthermore, nature tourism's economic value is determined by the characteristics of visitors that affect the level of visits based on travel costs, distance, income, and the average number of people visiting per year.</w:t>
      </w:r>
    </w:p>
    <w:p w14:paraId="1911DDE0"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         Quantitative analysis with multiple regression capital is used to determine the effect of travel costs, distance, income, and average person visits per year. The regression results between the number of visits (Y) and the independent variable produce a visit request model, which is then used as an equation to generate consumer surplus-value</w:t>
      </w:r>
      <w:r w:rsidRPr="007E2B6C">
        <w:rPr>
          <w:rFonts w:ascii="Cambria" w:hAnsi="Cambria" w:cs="Times New Roman"/>
          <w:sz w:val="21"/>
          <w:szCs w:val="21"/>
        </w:rPr>
        <w:t>.</w:t>
      </w:r>
    </w:p>
    <w:p w14:paraId="5D798755" w14:textId="77777777" w:rsidR="007E2B6C" w:rsidRPr="007E2B6C" w:rsidRDefault="007E2B6C" w:rsidP="007E2B6C">
      <w:pPr>
        <w:tabs>
          <w:tab w:val="left" w:pos="567"/>
        </w:tabs>
        <w:spacing w:after="0" w:line="240" w:lineRule="auto"/>
        <w:jc w:val="both"/>
        <w:rPr>
          <w:rFonts w:ascii="Cambria" w:hAnsi="Cambria" w:cs="Times New Roman"/>
          <w:b/>
          <w:sz w:val="21"/>
          <w:szCs w:val="21"/>
        </w:rPr>
      </w:pPr>
    </w:p>
    <w:p w14:paraId="1A49A11F" w14:textId="77777777" w:rsidR="007E2B6C" w:rsidRPr="007E2B6C" w:rsidRDefault="007E2B6C" w:rsidP="007E2B6C">
      <w:pPr>
        <w:tabs>
          <w:tab w:val="left" w:pos="567"/>
        </w:tabs>
        <w:spacing w:after="0" w:line="240" w:lineRule="auto"/>
        <w:jc w:val="both"/>
        <w:rPr>
          <w:rFonts w:ascii="Cambria" w:hAnsi="Cambria" w:cs="Times New Roman"/>
          <w:b/>
          <w:sz w:val="21"/>
          <w:szCs w:val="21"/>
        </w:rPr>
      </w:pPr>
      <w:r w:rsidRPr="007E2B6C">
        <w:rPr>
          <w:rFonts w:ascii="Cambria" w:hAnsi="Cambria" w:cs="Times New Roman"/>
          <w:b/>
          <w:sz w:val="21"/>
          <w:szCs w:val="21"/>
        </w:rPr>
        <w:t>The Economic Value of Batu Capeu Beach Tourism</w:t>
      </w:r>
    </w:p>
    <w:p w14:paraId="15B6E28E" w14:textId="77777777" w:rsidR="007E2B6C" w:rsidRPr="007E2B6C" w:rsidRDefault="007E2B6C" w:rsidP="007E2B6C">
      <w:pPr>
        <w:spacing w:after="0" w:line="240" w:lineRule="auto"/>
        <w:ind w:firstLine="567"/>
        <w:jc w:val="both"/>
        <w:rPr>
          <w:rFonts w:ascii="Cambria" w:hAnsi="Cambria" w:cs="Times New Roman"/>
          <w:sz w:val="21"/>
          <w:szCs w:val="21"/>
        </w:rPr>
      </w:pPr>
      <w:r w:rsidRPr="007E2B6C">
        <w:rPr>
          <w:rFonts w:ascii="Cambria" w:hAnsi="Cambria" w:cs="Times New Roman"/>
          <w:sz w:val="21"/>
          <w:szCs w:val="21"/>
        </w:rPr>
        <w:t xml:space="preserve">The regression results between the </w:t>
      </w:r>
      <w:proofErr w:type="gramStart"/>
      <w:r w:rsidRPr="007E2B6C">
        <w:rPr>
          <w:rFonts w:ascii="Cambria" w:hAnsi="Cambria" w:cs="Times New Roman"/>
          <w:sz w:val="21"/>
          <w:szCs w:val="21"/>
        </w:rPr>
        <w:t>number</w:t>
      </w:r>
      <w:proofErr w:type="gramEnd"/>
      <w:r w:rsidRPr="007E2B6C">
        <w:rPr>
          <w:rFonts w:ascii="Cambria" w:hAnsi="Cambria" w:cs="Times New Roman"/>
          <w:sz w:val="21"/>
          <w:szCs w:val="21"/>
        </w:rPr>
        <w:t xml:space="preserve"> of visits (Y) with the free variable of travel costs (X) resulted in a visit demand model, then the model was used as an equation to produce a consumer surplus value. The equation can be seen in the equation below:</w:t>
      </w:r>
    </w:p>
    <w:p w14:paraId="241E0F38" w14:textId="77777777" w:rsidR="007E2B6C" w:rsidRPr="007E2B6C" w:rsidRDefault="007E2B6C" w:rsidP="007E2B6C">
      <w:pPr>
        <w:tabs>
          <w:tab w:val="left" w:pos="0"/>
        </w:tabs>
        <w:spacing w:after="0" w:line="240" w:lineRule="auto"/>
        <w:jc w:val="both"/>
        <w:rPr>
          <w:rFonts w:ascii="Cambria" w:hAnsi="Cambria" w:cs="Times New Roman"/>
          <w:b/>
          <w:sz w:val="21"/>
          <w:szCs w:val="21"/>
        </w:rPr>
      </w:pPr>
      <w:r w:rsidRPr="007E2B6C">
        <w:rPr>
          <w:rFonts w:ascii="Cambria" w:hAnsi="Cambria" w:cs="Times New Roman"/>
          <w:b/>
          <w:sz w:val="21"/>
          <w:szCs w:val="21"/>
        </w:rPr>
        <w:t>Y = 3.089+ 0.00007029 X</w:t>
      </w:r>
    </w:p>
    <w:p w14:paraId="303AA293" w14:textId="77777777" w:rsidR="007E2B6C" w:rsidRPr="007E2B6C" w:rsidRDefault="007E2B6C" w:rsidP="007E2B6C">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Furthermore, this equation is used to generate consumer surplus value as economic value. To generate consumer surplus value per individual per year, the upper bounded integral of Rp. 25,000 (other costs) is used as P</w:t>
      </w:r>
      <w:r w:rsidRPr="007E2B6C">
        <w:rPr>
          <w:rFonts w:ascii="Cambria" w:hAnsi="Cambria" w:cs="Times New Roman"/>
          <w:sz w:val="21"/>
          <w:szCs w:val="21"/>
          <w:vertAlign w:val="superscript"/>
        </w:rPr>
        <w:t>1</w:t>
      </w:r>
      <w:r w:rsidRPr="007E2B6C">
        <w:rPr>
          <w:rFonts w:ascii="Cambria" w:hAnsi="Cambria" w:cs="Times New Roman"/>
          <w:sz w:val="21"/>
          <w:szCs w:val="21"/>
        </w:rPr>
        <w:t>and</w:t>
      </w:r>
      <w:r w:rsidRPr="007E2B6C">
        <w:rPr>
          <w:rFonts w:ascii="Cambria" w:hAnsi="Cambria" w:cs="Times New Roman"/>
          <w:sz w:val="21"/>
          <w:szCs w:val="21"/>
          <w:vertAlign w:val="superscript"/>
        </w:rPr>
        <w:t xml:space="preserve"> </w:t>
      </w:r>
      <w:r w:rsidRPr="007E2B6C">
        <w:rPr>
          <w:rFonts w:ascii="Cambria" w:hAnsi="Cambria" w:cs="Times New Roman"/>
          <w:sz w:val="21"/>
          <w:szCs w:val="21"/>
        </w:rPr>
        <w:t>the lowest cost is Rp. 5,000,- (transportation costs) as P</w:t>
      </w:r>
      <w:r w:rsidRPr="007E2B6C">
        <w:rPr>
          <w:rFonts w:ascii="Cambria" w:hAnsi="Cambria" w:cs="Times New Roman"/>
          <w:sz w:val="21"/>
          <w:szCs w:val="21"/>
          <w:vertAlign w:val="superscript"/>
        </w:rPr>
        <w:t>0</w:t>
      </w:r>
      <w:r w:rsidRPr="007E2B6C">
        <w:rPr>
          <w:rFonts w:ascii="Cambria" w:hAnsi="Cambria" w:cs="Times New Roman"/>
          <w:sz w:val="21"/>
          <w:szCs w:val="21"/>
        </w:rPr>
        <w:t>. Meanwhile, to calculate the value of consumer surplus, the following equation was used:</w:t>
      </w:r>
    </w:p>
    <w:p w14:paraId="547BA2F7" w14:textId="759A6EFD" w:rsidR="007E2B6C" w:rsidRPr="007E2B6C" w:rsidRDefault="009B3961" w:rsidP="007E2B6C">
      <w:pPr>
        <w:tabs>
          <w:tab w:val="left" w:pos="0"/>
        </w:tabs>
        <w:spacing w:after="0" w:line="240" w:lineRule="auto"/>
        <w:jc w:val="both"/>
        <w:rPr>
          <w:rFonts w:ascii="Cambria" w:hAnsi="Cambria" w:cs="Times New Roman"/>
          <w:sz w:val="21"/>
          <w:szCs w:val="21"/>
        </w:rPr>
      </w:pPr>
      <m:oMathPara>
        <m:oMath>
          <m:nary>
            <m:naryPr>
              <m:limLoc m:val="subSup"/>
              <m:ctrlPr>
                <w:rPr>
                  <w:rFonts w:ascii="Cambria Math" w:hAnsi="Cambria Math" w:cs="Times New Roman"/>
                  <w:i/>
                  <w:sz w:val="21"/>
                  <w:szCs w:val="21"/>
                </w:rPr>
              </m:ctrlPr>
            </m:naryPr>
            <m:sub>
              <m:r>
                <w:rPr>
                  <w:rFonts w:ascii="Cambria Math" w:hAnsi="Cambria Math" w:cs="Times New Roman"/>
                  <w:sz w:val="21"/>
                  <w:szCs w:val="21"/>
                </w:rPr>
                <m:t>5.000</m:t>
              </m:r>
            </m:sub>
            <m:sup>
              <m:r>
                <w:rPr>
                  <w:rFonts w:ascii="Cambria Math" w:hAnsi="Cambria Math" w:cs="Times New Roman"/>
                  <w:sz w:val="21"/>
                  <w:szCs w:val="21"/>
                </w:rPr>
                <m:t>25.000</m:t>
              </m:r>
            </m:sup>
            <m:e>
              <m:d>
                <m:dPr>
                  <m:ctrlPr>
                    <w:rPr>
                      <w:rFonts w:ascii="Cambria Math" w:hAnsi="Cambria Math" w:cs="Times New Roman"/>
                      <w:i/>
                      <w:sz w:val="21"/>
                      <w:szCs w:val="21"/>
                    </w:rPr>
                  </m:ctrlPr>
                </m:dPr>
                <m:e>
                  <m:r>
                    <w:rPr>
                      <w:rFonts w:ascii="Cambria Math" w:hAnsi="Cambria Math" w:cs="Times New Roman"/>
                      <w:sz w:val="21"/>
                      <w:szCs w:val="21"/>
                    </w:rPr>
                    <m:t>3,089+0,00007029p</m:t>
                  </m:r>
                </m:e>
              </m:d>
              <m:r>
                <w:rPr>
                  <w:rFonts w:ascii="Cambria Math" w:hAnsi="Cambria Math" w:cs="Times New Roman"/>
                  <w:sz w:val="21"/>
                  <w:szCs w:val="21"/>
                </w:rPr>
                <m:t>dp</m:t>
              </m:r>
            </m:e>
          </m:nary>
        </m:oMath>
      </m:oMathPara>
    </w:p>
    <w:p w14:paraId="2627B519" w14:textId="77777777" w:rsidR="007E2B6C" w:rsidRPr="007E2B6C" w:rsidRDefault="007E2B6C" w:rsidP="007E2B6C">
      <w:pPr>
        <w:tabs>
          <w:tab w:val="left" w:pos="0"/>
        </w:tabs>
        <w:spacing w:after="0" w:line="240" w:lineRule="auto"/>
        <w:ind w:firstLine="567"/>
        <w:jc w:val="both"/>
        <w:rPr>
          <w:rFonts w:ascii="Cambria" w:hAnsi="Cambria" w:cs="Times New Roman"/>
          <w:sz w:val="21"/>
          <w:szCs w:val="21"/>
        </w:rPr>
      </w:pPr>
      <w:r w:rsidRPr="007E2B6C">
        <w:rPr>
          <w:rFonts w:ascii="Cambria" w:hAnsi="Cambria" w:cs="Times New Roman"/>
          <w:sz w:val="21"/>
          <w:szCs w:val="21"/>
        </w:rPr>
        <w:t>The calculation results show that the consumer surplus value per individual per year is Rp. 138,358. 69</w:t>
      </w:r>
      <w:proofErr w:type="gramStart"/>
      <w:r w:rsidRPr="007E2B6C">
        <w:rPr>
          <w:rFonts w:ascii="Cambria" w:hAnsi="Cambria" w:cs="Times New Roman"/>
          <w:sz w:val="21"/>
          <w:szCs w:val="21"/>
        </w:rPr>
        <w:t>,179</w:t>
      </w:r>
      <w:proofErr w:type="gramEnd"/>
      <w:r w:rsidRPr="007E2B6C">
        <w:rPr>
          <w:rFonts w:ascii="Cambria" w:hAnsi="Cambria" w:cs="Times New Roman"/>
          <w:sz w:val="21"/>
          <w:szCs w:val="21"/>
        </w:rPr>
        <w:t>,- per individual per one visit. Visitors who come to the Batu Capeu Beach location are 2 visitors per visit, while the regional economic value is obtained by multiplying the value of the consumer surplus by the average annual visit. The economic value is IDR 50,362,494, - per year. Visitors encountered at this Tourist Attraction came from three different zones, namely Kudamati, Bentas (Benteng), and Air Salobar. The Batu Capeu beach tourist location has not been managed yet based on real conditions. Therefore, this area that has tourism potential seems neglected. Moreover, there are illegal lodgings that can relatively affect tourist visits. The total economic value that has been projected on the tourist attraction of Batu Capeu beach is in the range of Rp. 50</w:t>
      </w:r>
      <w:proofErr w:type="gramStart"/>
      <w:r w:rsidRPr="007E2B6C">
        <w:rPr>
          <w:rFonts w:ascii="Cambria" w:hAnsi="Cambria" w:cs="Times New Roman"/>
          <w:sz w:val="21"/>
          <w:szCs w:val="21"/>
        </w:rPr>
        <w:t>,000,000</w:t>
      </w:r>
      <w:proofErr w:type="gramEnd"/>
      <w:r w:rsidRPr="007E2B6C">
        <w:rPr>
          <w:rFonts w:ascii="Cambria" w:hAnsi="Cambria" w:cs="Times New Roman"/>
          <w:sz w:val="21"/>
          <w:szCs w:val="21"/>
        </w:rPr>
        <w:t>,- per year. These results can be used as input for the regions, the private sector, and self-help for the development of the intended tourist attraction.</w:t>
      </w:r>
    </w:p>
    <w:p w14:paraId="5C5B51FA" w14:textId="77777777" w:rsidR="007E2B6C" w:rsidRPr="007E2B6C" w:rsidRDefault="007E2B6C" w:rsidP="007E2B6C">
      <w:pPr>
        <w:tabs>
          <w:tab w:val="left" w:pos="567"/>
        </w:tabs>
        <w:spacing w:after="0" w:line="240" w:lineRule="auto"/>
        <w:jc w:val="both"/>
        <w:rPr>
          <w:rFonts w:ascii="Cambria" w:hAnsi="Cambria" w:cs="Times New Roman"/>
          <w:b/>
          <w:sz w:val="21"/>
          <w:szCs w:val="21"/>
        </w:rPr>
      </w:pPr>
    </w:p>
    <w:p w14:paraId="3664D21E" w14:textId="77777777" w:rsidR="007E2B6C" w:rsidRPr="007E2B6C" w:rsidRDefault="007E2B6C" w:rsidP="007E2B6C">
      <w:pPr>
        <w:tabs>
          <w:tab w:val="left" w:pos="567"/>
        </w:tabs>
        <w:spacing w:after="0" w:line="240" w:lineRule="auto"/>
        <w:jc w:val="both"/>
        <w:rPr>
          <w:rFonts w:ascii="Cambria" w:hAnsi="Cambria" w:cs="Times New Roman"/>
          <w:b/>
          <w:sz w:val="21"/>
          <w:szCs w:val="21"/>
        </w:rPr>
      </w:pPr>
      <w:r w:rsidRPr="007E2B6C">
        <w:rPr>
          <w:rFonts w:ascii="Cambria" w:hAnsi="Cambria" w:cs="Times New Roman"/>
          <w:b/>
          <w:sz w:val="21"/>
          <w:szCs w:val="21"/>
        </w:rPr>
        <w:t>The Economic Value of Batu Lubang Beach Tourism</w:t>
      </w:r>
    </w:p>
    <w:p w14:paraId="54DD8AC2"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The result of a simple regression model between the independent variable (X), the cost of travel to the dependent variable (Y), and the number of visits obtain an equation to produce a consumer surplus value. It can be seen in the equation: </w:t>
      </w:r>
      <w:r w:rsidRPr="007E2B6C">
        <w:rPr>
          <w:rFonts w:ascii="Cambria" w:hAnsi="Cambria" w:cs="Times New Roman"/>
          <w:b/>
          <w:bCs/>
          <w:sz w:val="21"/>
          <w:szCs w:val="21"/>
          <w:lang w:val="en-ID"/>
        </w:rPr>
        <w:t>Y = 4.263 – 0.00005987</w:t>
      </w:r>
    </w:p>
    <w:p w14:paraId="522127B7"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Furthermore, this equation generates consumer surplus value as economic value. A bounded integral is used with the top or highest value of Rp. 35</w:t>
      </w:r>
      <w:proofErr w:type="gramStart"/>
      <w:r w:rsidRPr="007E2B6C">
        <w:rPr>
          <w:rFonts w:ascii="Cambria" w:hAnsi="Cambria" w:cs="Times New Roman"/>
          <w:sz w:val="21"/>
          <w:szCs w:val="21"/>
          <w:lang w:val="en-ID"/>
        </w:rPr>
        <w:t>,000</w:t>
      </w:r>
      <w:proofErr w:type="gramEnd"/>
      <w:r w:rsidRPr="007E2B6C">
        <w:rPr>
          <w:rFonts w:ascii="Cambria" w:hAnsi="Cambria" w:cs="Times New Roman"/>
          <w:sz w:val="21"/>
          <w:szCs w:val="21"/>
          <w:lang w:val="en-ID"/>
        </w:rPr>
        <w:t xml:space="preserve">,- (consumption costs) as </w:t>
      </w:r>
      <w:r w:rsidRPr="007E2B6C">
        <w:rPr>
          <w:rFonts w:ascii="Cambria" w:hAnsi="Cambria" w:cs="Times New Roman"/>
          <w:sz w:val="21"/>
          <w:szCs w:val="21"/>
        </w:rPr>
        <w:t>P</w:t>
      </w:r>
      <w:r w:rsidRPr="007E2B6C">
        <w:rPr>
          <w:rFonts w:ascii="Cambria" w:hAnsi="Cambria" w:cs="Times New Roman"/>
          <w:sz w:val="21"/>
          <w:szCs w:val="21"/>
          <w:vertAlign w:val="superscript"/>
        </w:rPr>
        <w:t xml:space="preserve">1 </w:t>
      </w:r>
      <w:r w:rsidRPr="007E2B6C">
        <w:rPr>
          <w:rFonts w:ascii="Cambria" w:hAnsi="Cambria" w:cs="Times New Roman"/>
          <w:sz w:val="21"/>
          <w:szCs w:val="21"/>
          <w:lang w:val="en-ID"/>
        </w:rPr>
        <w:t xml:space="preserve">and the lowest cost of Rp.5,000,- (consumption costs and others) as </w:t>
      </w:r>
      <w:r w:rsidRPr="007E2B6C">
        <w:rPr>
          <w:rFonts w:ascii="Cambria" w:hAnsi="Cambria" w:cs="Times New Roman"/>
          <w:sz w:val="21"/>
          <w:szCs w:val="21"/>
        </w:rPr>
        <w:t>P</w:t>
      </w:r>
      <w:r w:rsidRPr="007E2B6C">
        <w:rPr>
          <w:rFonts w:ascii="Cambria" w:hAnsi="Cambria" w:cs="Times New Roman"/>
          <w:sz w:val="21"/>
          <w:szCs w:val="21"/>
          <w:vertAlign w:val="superscript"/>
        </w:rPr>
        <w:t xml:space="preserve">0 </w:t>
      </w:r>
      <w:r w:rsidRPr="007E2B6C">
        <w:rPr>
          <w:rFonts w:ascii="Cambria" w:hAnsi="Cambria" w:cs="Times New Roman"/>
          <w:sz w:val="21"/>
          <w:szCs w:val="21"/>
          <w:lang w:val="en-ID"/>
        </w:rPr>
        <w:t>To generate consumer surplus value per individual per year. Meanwhile, to calculate the value of consumer surplus, the following equation is used</w:t>
      </w:r>
      <w:r w:rsidRPr="007E2B6C">
        <w:rPr>
          <w:rFonts w:ascii="Cambria" w:hAnsi="Cambria" w:cs="Times New Roman"/>
          <w:sz w:val="21"/>
          <w:szCs w:val="21"/>
        </w:rPr>
        <w:t>:</w:t>
      </w:r>
    </w:p>
    <w:p w14:paraId="5CFD7F41" w14:textId="2272E85E" w:rsidR="007E2B6C" w:rsidRPr="007E2B6C" w:rsidRDefault="009B3961" w:rsidP="007E2B6C">
      <w:pPr>
        <w:tabs>
          <w:tab w:val="left" w:pos="0"/>
        </w:tabs>
        <w:spacing w:after="0" w:line="240" w:lineRule="auto"/>
        <w:jc w:val="both"/>
        <w:rPr>
          <w:rFonts w:ascii="Cambria" w:hAnsi="Cambria" w:cs="Times New Roman"/>
          <w:sz w:val="21"/>
          <w:szCs w:val="21"/>
        </w:rPr>
      </w:pPr>
      <m:oMathPara>
        <m:oMath>
          <m:nary>
            <m:naryPr>
              <m:limLoc m:val="subSup"/>
              <m:ctrlPr>
                <w:rPr>
                  <w:rFonts w:ascii="Cambria Math" w:hAnsi="Cambria Math" w:cs="Times New Roman"/>
                  <w:i/>
                  <w:sz w:val="21"/>
                  <w:szCs w:val="21"/>
                  <w:lang w:val="id-ID"/>
                </w:rPr>
              </m:ctrlPr>
            </m:naryPr>
            <m:sub>
              <m:r>
                <w:rPr>
                  <w:rFonts w:ascii="Cambria Math" w:hAnsi="Cambria Math" w:cs="Times New Roman"/>
                  <w:sz w:val="21"/>
                  <w:szCs w:val="21"/>
                </w:rPr>
                <m:t>5.000</m:t>
              </m:r>
            </m:sub>
            <m:sup>
              <m:r>
                <w:rPr>
                  <w:rFonts w:ascii="Cambria Math" w:hAnsi="Cambria Math" w:cs="Times New Roman"/>
                  <w:sz w:val="21"/>
                  <w:szCs w:val="21"/>
                </w:rPr>
                <m:t>35.000</m:t>
              </m:r>
            </m:sup>
            <m:e>
              <m:d>
                <m:dPr>
                  <m:ctrlPr>
                    <w:rPr>
                      <w:rFonts w:ascii="Cambria Math" w:hAnsi="Cambria Math" w:cs="Times New Roman"/>
                      <w:i/>
                      <w:sz w:val="21"/>
                      <w:szCs w:val="21"/>
                      <w:lang w:val="id-ID"/>
                    </w:rPr>
                  </m:ctrlPr>
                </m:dPr>
                <m:e>
                  <m:r>
                    <w:rPr>
                      <w:rFonts w:ascii="Cambria Math" w:hAnsi="Cambria Math" w:cs="Times New Roman"/>
                      <w:sz w:val="21"/>
                      <w:szCs w:val="21"/>
                    </w:rPr>
                    <m:t>4,263-0,00005987p</m:t>
                  </m:r>
                </m:e>
              </m:d>
              <m:r>
                <w:rPr>
                  <w:rFonts w:ascii="Cambria Math" w:hAnsi="Cambria Math" w:cs="Times New Roman"/>
                  <w:sz w:val="21"/>
                  <w:szCs w:val="21"/>
                </w:rPr>
                <m:t>dp</m:t>
              </m:r>
            </m:e>
          </m:nary>
        </m:oMath>
      </m:oMathPara>
    </w:p>
    <w:p w14:paraId="0407D069" w14:textId="77777777" w:rsidR="007E2B6C" w:rsidRPr="007E2B6C" w:rsidRDefault="007E2B6C" w:rsidP="007E2B6C">
      <w:pPr>
        <w:tabs>
          <w:tab w:val="left" w:pos="0"/>
        </w:tabs>
        <w:spacing w:after="0" w:line="240" w:lineRule="auto"/>
        <w:ind w:firstLine="567"/>
        <w:jc w:val="both"/>
        <w:rPr>
          <w:rFonts w:ascii="Cambria" w:hAnsi="Cambria" w:cs="Times New Roman"/>
          <w:sz w:val="21"/>
          <w:szCs w:val="21"/>
        </w:rPr>
      </w:pPr>
      <w:r w:rsidRPr="007E2B6C">
        <w:rPr>
          <w:rFonts w:ascii="Cambria" w:hAnsi="Cambria" w:cs="Times New Roman"/>
          <w:sz w:val="21"/>
          <w:szCs w:val="21"/>
        </w:rPr>
        <w:t>Based on the calculation results, the consumer surplus value per individual per year is Rp. 56,046, - or Rp. 9,341 per individual per one visit. Visitors who come to the Batu Lubang Beach location are an average of 6 visitors per visit. Meanwhile, the regional economic value is obtained by multiplying the consumer surplus value against the average annual visit so that the total economic value is IDR 81,602,976 per year. Visitors to this tourist area come from five different zones, namely Passo, Lateri, Kudamati, Bentas (Fort), and Air Salobar.</w:t>
      </w:r>
    </w:p>
    <w:p w14:paraId="3AD2FFEC" w14:textId="77777777" w:rsidR="007E2B6C" w:rsidRPr="007E2B6C" w:rsidRDefault="007E2B6C" w:rsidP="007E2B6C">
      <w:pPr>
        <w:tabs>
          <w:tab w:val="left" w:pos="0"/>
        </w:tabs>
        <w:spacing w:after="0" w:line="240" w:lineRule="auto"/>
        <w:ind w:firstLine="567"/>
        <w:jc w:val="both"/>
        <w:rPr>
          <w:rFonts w:ascii="Cambria" w:hAnsi="Cambria" w:cs="Times New Roman"/>
          <w:sz w:val="21"/>
          <w:szCs w:val="21"/>
        </w:rPr>
      </w:pPr>
      <w:r w:rsidRPr="007E2B6C">
        <w:rPr>
          <w:rFonts w:ascii="Cambria" w:hAnsi="Cambria" w:cs="Times New Roman"/>
          <w:sz w:val="21"/>
          <w:szCs w:val="21"/>
        </w:rPr>
        <w:lastRenderedPageBreak/>
        <w:t>Batu Lubang tourist location has the management not yet structured. According to the observations of researchers at this tourist location, there is no determination of ODTW entrance fees in the form of admission tickets or proof of visit files. When visitors visit this place, a guard acts as a site cleaner who lives around the location in question. This guard will ask for a voluntary entry fee from visitors, and visitors will pay according to their willingness and desire.</w:t>
      </w:r>
    </w:p>
    <w:p w14:paraId="4BB0C7EA" w14:textId="77777777" w:rsidR="007E2B6C" w:rsidRPr="007E2B6C" w:rsidRDefault="007E2B6C" w:rsidP="007E2B6C">
      <w:pPr>
        <w:tabs>
          <w:tab w:val="left" w:pos="0"/>
        </w:tabs>
        <w:spacing w:after="0" w:line="240" w:lineRule="auto"/>
        <w:ind w:firstLine="567"/>
        <w:jc w:val="both"/>
        <w:rPr>
          <w:rFonts w:ascii="Cambria" w:hAnsi="Cambria" w:cs="Times New Roman"/>
          <w:sz w:val="21"/>
          <w:szCs w:val="21"/>
        </w:rPr>
      </w:pPr>
      <w:r w:rsidRPr="007E2B6C">
        <w:rPr>
          <w:rFonts w:ascii="Cambria" w:hAnsi="Cambria" w:cs="Times New Roman"/>
          <w:sz w:val="21"/>
          <w:szCs w:val="21"/>
        </w:rPr>
        <w:t>With the calculation of the total economic value as described previously and with an estimated value that can be obtained as an annual profit of eighty million rupiahs, this tourist attraction is feasible to develop its management with the addition of basic facilities such as toilets, trash bins or a hut or gazebo for resting places. Moreover, Batu Lubang beach is very strategic for sunset panorama connoisseurs who will also be pampered with the artistic caves that characterize this location, and if in the future, a restaurant concept with natural nuances can be designed, it will increase the economic value of this tourist attraction.</w:t>
      </w:r>
    </w:p>
    <w:p w14:paraId="57F24B46" w14:textId="77777777" w:rsidR="007E2B6C" w:rsidRPr="007E2B6C" w:rsidRDefault="007E2B6C" w:rsidP="007E2B6C">
      <w:pPr>
        <w:tabs>
          <w:tab w:val="left" w:pos="0"/>
        </w:tabs>
        <w:spacing w:after="0" w:line="240" w:lineRule="auto"/>
        <w:jc w:val="both"/>
        <w:rPr>
          <w:rFonts w:ascii="Cambria" w:hAnsi="Cambria" w:cs="Times New Roman"/>
          <w:b/>
          <w:sz w:val="21"/>
          <w:szCs w:val="21"/>
        </w:rPr>
      </w:pPr>
      <w:r w:rsidRPr="007E2B6C">
        <w:rPr>
          <w:rFonts w:ascii="Cambria" w:hAnsi="Cambria" w:cs="Times New Roman"/>
          <w:b/>
          <w:sz w:val="21"/>
          <w:szCs w:val="21"/>
        </w:rPr>
        <w:t>The Economic Value of Waititei Beach Tourism</w:t>
      </w:r>
    </w:p>
    <w:p w14:paraId="053EB285" w14:textId="77777777" w:rsidR="007E2B6C" w:rsidRPr="007E2B6C" w:rsidRDefault="007E2B6C" w:rsidP="007E2B6C">
      <w:pPr>
        <w:tabs>
          <w:tab w:val="left" w:pos="0"/>
        </w:tabs>
        <w:jc w:val="both"/>
        <w:rPr>
          <w:rFonts w:ascii="Cambria" w:hAnsi="Cambria" w:cs="Times New Roman"/>
          <w:sz w:val="21"/>
          <w:szCs w:val="21"/>
          <w:lang w:val="en-ID"/>
        </w:rPr>
      </w:pPr>
      <w:r w:rsidRPr="007E2B6C">
        <w:rPr>
          <w:rFonts w:ascii="Cambria" w:hAnsi="Cambria" w:cs="Times New Roman"/>
          <w:b/>
          <w:sz w:val="21"/>
          <w:szCs w:val="21"/>
        </w:rPr>
        <w:tab/>
      </w:r>
      <w:r w:rsidRPr="007E2B6C">
        <w:rPr>
          <w:rFonts w:ascii="Cambria" w:hAnsi="Cambria" w:cs="Times New Roman"/>
          <w:sz w:val="21"/>
          <w:szCs w:val="21"/>
          <w:lang w:val="en-ID"/>
        </w:rPr>
        <w:t>The regression results between the number of visits (Y) and the independent variable travel costs (X) produce a visit demand model as an equation to produce a consumer surplus-value, namely: </w:t>
      </w:r>
      <w:r w:rsidRPr="007E2B6C">
        <w:rPr>
          <w:rFonts w:ascii="Cambria" w:hAnsi="Cambria" w:cs="Times New Roman"/>
          <w:bCs/>
          <w:sz w:val="21"/>
          <w:szCs w:val="21"/>
          <w:lang w:val="en-ID"/>
        </w:rPr>
        <w:t>Y = 3.452 –0.00004869</w:t>
      </w:r>
    </w:p>
    <w:p w14:paraId="515355FB"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 xml:space="preserve">Furthermore, this value generates consumer surplus value as an economic value from the equation. The upper-bounded integral of Rp 25,000- (other costs) is used as </w:t>
      </w:r>
      <w:r w:rsidRPr="007E2B6C">
        <w:rPr>
          <w:rFonts w:ascii="Cambria" w:hAnsi="Cambria" w:cs="Times New Roman"/>
          <w:sz w:val="21"/>
          <w:szCs w:val="21"/>
        </w:rPr>
        <w:t>P</w:t>
      </w:r>
      <w:r w:rsidRPr="007E2B6C">
        <w:rPr>
          <w:rFonts w:ascii="Cambria" w:hAnsi="Cambria" w:cs="Times New Roman"/>
          <w:sz w:val="21"/>
          <w:szCs w:val="21"/>
          <w:vertAlign w:val="superscript"/>
        </w:rPr>
        <w:t>1</w:t>
      </w:r>
      <w:r w:rsidRPr="007E2B6C">
        <w:rPr>
          <w:rFonts w:ascii="Cambria" w:hAnsi="Cambria" w:cs="Times New Roman"/>
          <w:sz w:val="21"/>
          <w:szCs w:val="21"/>
          <w:lang w:val="en-ID"/>
        </w:rPr>
        <w:t xml:space="preserve">, and the lowest cost is Rp 10,000 - (other costs) as </w:t>
      </w:r>
      <w:r w:rsidRPr="007E2B6C">
        <w:rPr>
          <w:rFonts w:ascii="Cambria" w:hAnsi="Cambria" w:cs="Times New Roman"/>
          <w:sz w:val="21"/>
          <w:szCs w:val="21"/>
        </w:rPr>
        <w:t>P</w:t>
      </w:r>
      <w:r w:rsidRPr="007E2B6C">
        <w:rPr>
          <w:rFonts w:ascii="Cambria" w:hAnsi="Cambria" w:cs="Times New Roman"/>
          <w:sz w:val="21"/>
          <w:szCs w:val="21"/>
          <w:vertAlign w:val="superscript"/>
        </w:rPr>
        <w:t>0</w:t>
      </w:r>
      <w:r w:rsidRPr="007E2B6C">
        <w:rPr>
          <w:rFonts w:ascii="Cambria" w:hAnsi="Cambria" w:cs="Times New Roman"/>
          <w:sz w:val="21"/>
          <w:szCs w:val="21"/>
          <w:lang w:val="en-ID"/>
        </w:rPr>
        <w:t xml:space="preserve"> to generate consumer surplus value per individual per year. Meanwhile, to calculate the value of consumer surplus, the following equation is used</w:t>
      </w:r>
      <w:r w:rsidRPr="007E2B6C">
        <w:rPr>
          <w:rFonts w:ascii="Cambria" w:hAnsi="Cambria" w:cs="Times New Roman"/>
          <w:sz w:val="21"/>
          <w:szCs w:val="21"/>
        </w:rPr>
        <w:t>:</w:t>
      </w:r>
    </w:p>
    <w:p w14:paraId="05166AD5" w14:textId="1F2D7F64" w:rsidR="007E2B6C" w:rsidRPr="007E2B6C" w:rsidRDefault="009B3961" w:rsidP="007E2B6C">
      <w:pPr>
        <w:tabs>
          <w:tab w:val="left" w:pos="0"/>
        </w:tabs>
        <w:spacing w:after="0" w:line="240" w:lineRule="auto"/>
        <w:jc w:val="both"/>
        <w:rPr>
          <w:rFonts w:ascii="Cambria" w:hAnsi="Cambria" w:cs="Times New Roman"/>
          <w:sz w:val="21"/>
          <w:szCs w:val="21"/>
        </w:rPr>
      </w:pPr>
      <m:oMathPara>
        <m:oMath>
          <m:nary>
            <m:naryPr>
              <m:limLoc m:val="subSup"/>
              <m:ctrlPr>
                <w:rPr>
                  <w:rFonts w:ascii="Cambria Math" w:hAnsi="Cambria Math" w:cs="Times New Roman"/>
                  <w:i/>
                  <w:sz w:val="21"/>
                  <w:szCs w:val="21"/>
                </w:rPr>
              </m:ctrlPr>
            </m:naryPr>
            <m:sub>
              <m:r>
                <w:rPr>
                  <w:rFonts w:ascii="Cambria Math" w:hAnsi="Cambria Math" w:cs="Times New Roman"/>
                  <w:sz w:val="21"/>
                  <w:szCs w:val="21"/>
                </w:rPr>
                <m:t>10.000</m:t>
              </m:r>
            </m:sub>
            <m:sup>
              <m:r>
                <w:rPr>
                  <w:rFonts w:ascii="Cambria Math" w:hAnsi="Cambria Math" w:cs="Times New Roman"/>
                  <w:sz w:val="21"/>
                  <w:szCs w:val="21"/>
                </w:rPr>
                <m:t>25.000</m:t>
              </m:r>
            </m:sup>
            <m:e>
              <m:d>
                <m:dPr>
                  <m:ctrlPr>
                    <w:rPr>
                      <w:rFonts w:ascii="Cambria Math" w:hAnsi="Cambria Math" w:cs="Times New Roman"/>
                      <w:i/>
                      <w:sz w:val="21"/>
                      <w:szCs w:val="21"/>
                    </w:rPr>
                  </m:ctrlPr>
                </m:dPr>
                <m:e>
                  <m:r>
                    <w:rPr>
                      <w:rFonts w:ascii="Cambria Math" w:hAnsi="Cambria Math" w:cs="Times New Roman"/>
                      <w:sz w:val="21"/>
                      <w:szCs w:val="21"/>
                    </w:rPr>
                    <m:t>3,452-0,00004869p</m:t>
                  </m:r>
                </m:e>
              </m:d>
              <m:r>
                <w:rPr>
                  <w:rFonts w:ascii="Cambria Math" w:hAnsi="Cambria Math" w:cs="Times New Roman"/>
                  <w:sz w:val="21"/>
                  <w:szCs w:val="21"/>
                </w:rPr>
                <m:t>dp</m:t>
              </m:r>
            </m:e>
          </m:nary>
        </m:oMath>
      </m:oMathPara>
    </w:p>
    <w:p w14:paraId="480D2F64" w14:textId="77777777" w:rsidR="007E2B6C" w:rsidRPr="007E2B6C" w:rsidRDefault="007E2B6C" w:rsidP="007E2B6C">
      <w:pPr>
        <w:spacing w:after="0" w:line="240" w:lineRule="auto"/>
        <w:ind w:firstLine="709"/>
        <w:jc w:val="both"/>
        <w:rPr>
          <w:rFonts w:ascii="Cambria" w:hAnsi="Cambria" w:cs="Times New Roman"/>
          <w:sz w:val="21"/>
          <w:szCs w:val="21"/>
          <w:lang w:val="en-ID"/>
        </w:rPr>
      </w:pPr>
      <w:r w:rsidRPr="007E2B6C">
        <w:rPr>
          <w:rFonts w:ascii="Cambria" w:hAnsi="Cambria" w:cs="Times New Roman"/>
          <w:sz w:val="21"/>
          <w:szCs w:val="21"/>
          <w:lang w:val="en-ID"/>
        </w:rPr>
        <w:t>Based on the calculation results, the consumer surplus value per individual per year is Rp. 26,217.75 or Rp. 4,369.63 per individual per one visit. Visitors who come to the Waititei Beach location are an average of 4 visitors per visit. The regional economic value is obtained by multiplying the consumer surplus value by the average annual visit. Therefore, the total economic value of the Waititei beach is Rp. 25,903,137- per year. Visitors encountered during this research came from five different zones, namely Kudamati, Benteng, Air Salobar, Latuhalat, and Galala. Waititei Beach offers a variety of tourist activities that can satisfy its visitors, such as a place to swim, a place to fish, or a place to relax, enjoying a panoramic view of the </w:t>
      </w:r>
      <w:r w:rsidRPr="007E2B6C">
        <w:rPr>
          <w:rFonts w:ascii="Cambria" w:hAnsi="Cambria" w:cs="Times New Roman"/>
          <w:i/>
          <w:iCs/>
          <w:sz w:val="21"/>
          <w:szCs w:val="21"/>
          <w:lang w:val="en-ID"/>
        </w:rPr>
        <w:t>sunset</w:t>
      </w:r>
      <w:r w:rsidRPr="007E2B6C">
        <w:rPr>
          <w:rFonts w:ascii="Cambria" w:hAnsi="Cambria" w:cs="Times New Roman"/>
          <w:sz w:val="21"/>
          <w:szCs w:val="21"/>
          <w:lang w:val="en-ID"/>
        </w:rPr>
        <w:t> and the beautiful Ambon bay. Moreover, this beach is a place for international activities, namely the finishing place for shipping ships originating from Darwin, Australia. Also, the Waititei beach is a location for the Ambon Bay Party celebrations in the form of the </w:t>
      </w:r>
      <w:r w:rsidRPr="007E2B6C">
        <w:rPr>
          <w:rFonts w:ascii="Cambria" w:hAnsi="Cambria" w:cs="Times New Roman"/>
          <w:i/>
          <w:iCs/>
          <w:sz w:val="21"/>
          <w:szCs w:val="21"/>
          <w:lang w:val="en-ID"/>
        </w:rPr>
        <w:t>Manggurebe Boat</w:t>
      </w:r>
      <w:r w:rsidRPr="007E2B6C">
        <w:rPr>
          <w:rFonts w:ascii="Cambria" w:hAnsi="Cambria" w:cs="Times New Roman"/>
          <w:sz w:val="21"/>
          <w:szCs w:val="21"/>
          <w:lang w:val="en-ID"/>
        </w:rPr>
        <w:t> (boat rowing competition). In the future, Waititei Beach visitors expect the development of basic facilities such as toilets and trash cans, and add open seats on the edge of the beach</w:t>
      </w:r>
      <w:r w:rsidRPr="007E2B6C">
        <w:rPr>
          <w:rFonts w:ascii="Cambria" w:hAnsi="Cambria" w:cs="Times New Roman"/>
          <w:sz w:val="21"/>
          <w:szCs w:val="21"/>
        </w:rPr>
        <w:t>.</w:t>
      </w:r>
    </w:p>
    <w:p w14:paraId="3CDFEA24" w14:textId="77777777" w:rsidR="007E2B6C" w:rsidRPr="007E2B6C" w:rsidRDefault="007E2B6C" w:rsidP="007E2B6C">
      <w:pPr>
        <w:tabs>
          <w:tab w:val="left" w:pos="0"/>
        </w:tabs>
        <w:spacing w:after="0" w:line="240" w:lineRule="auto"/>
        <w:jc w:val="both"/>
        <w:rPr>
          <w:rFonts w:ascii="Cambria" w:hAnsi="Cambria" w:cs="Times New Roman"/>
          <w:b/>
          <w:sz w:val="21"/>
          <w:szCs w:val="21"/>
        </w:rPr>
      </w:pPr>
    </w:p>
    <w:p w14:paraId="7526469C" w14:textId="77777777" w:rsidR="007E2B6C" w:rsidRPr="007E2B6C" w:rsidRDefault="007E2B6C" w:rsidP="007E2B6C">
      <w:pPr>
        <w:tabs>
          <w:tab w:val="left" w:pos="0"/>
        </w:tabs>
        <w:spacing w:after="0" w:line="240" w:lineRule="auto"/>
        <w:jc w:val="both"/>
        <w:rPr>
          <w:rFonts w:ascii="Cambria" w:hAnsi="Cambria" w:cs="Times New Roman"/>
          <w:b/>
          <w:sz w:val="21"/>
          <w:szCs w:val="21"/>
        </w:rPr>
      </w:pPr>
      <w:r w:rsidRPr="007E2B6C">
        <w:rPr>
          <w:rFonts w:ascii="Cambria" w:hAnsi="Cambria" w:cs="Times New Roman"/>
          <w:b/>
          <w:sz w:val="21"/>
          <w:szCs w:val="21"/>
        </w:rPr>
        <w:t>The Economic Value of Pintu Kota Beach</w:t>
      </w:r>
    </w:p>
    <w:p w14:paraId="586FBF37" w14:textId="77777777" w:rsidR="007E2B6C" w:rsidRPr="007E2B6C" w:rsidRDefault="007E2B6C" w:rsidP="007E2B6C">
      <w:pPr>
        <w:tabs>
          <w:tab w:val="left" w:pos="0"/>
        </w:tabs>
        <w:jc w:val="both"/>
        <w:rPr>
          <w:rFonts w:ascii="Cambria" w:hAnsi="Cambria" w:cs="Times New Roman"/>
          <w:bCs/>
          <w:sz w:val="21"/>
          <w:szCs w:val="21"/>
          <w:lang w:val="en-ID"/>
        </w:rPr>
      </w:pPr>
      <w:r w:rsidRPr="007E2B6C">
        <w:rPr>
          <w:rFonts w:ascii="Cambria" w:hAnsi="Cambria" w:cs="Times New Roman"/>
          <w:b/>
          <w:sz w:val="21"/>
          <w:szCs w:val="21"/>
        </w:rPr>
        <w:tab/>
      </w:r>
      <w:r w:rsidRPr="007E2B6C">
        <w:rPr>
          <w:rFonts w:ascii="Cambria" w:hAnsi="Cambria" w:cs="Times New Roman"/>
          <w:bCs/>
          <w:sz w:val="21"/>
          <w:szCs w:val="21"/>
          <w:lang w:val="en-ID"/>
        </w:rPr>
        <w:t>The consumer surplus value obtained is according to a simple regression of the X variable or travel costs on the Y variable or the number of visits. It results in an equation model that can be seen as follows: Y = 3.661 – 0.00004158</w:t>
      </w:r>
    </w:p>
    <w:p w14:paraId="52077413" w14:textId="77777777" w:rsidR="007E2B6C" w:rsidRPr="007E2B6C" w:rsidRDefault="007E2B6C" w:rsidP="007E2B6C">
      <w:pPr>
        <w:tabs>
          <w:tab w:val="left" w:pos="0"/>
        </w:tabs>
        <w:spacing w:after="0" w:line="240" w:lineRule="auto"/>
        <w:jc w:val="both"/>
        <w:rPr>
          <w:rFonts w:ascii="Cambria" w:hAnsi="Cambria" w:cs="Times New Roman"/>
          <w:bCs/>
          <w:sz w:val="21"/>
          <w:szCs w:val="21"/>
          <w:lang w:val="en-ID"/>
        </w:rPr>
      </w:pPr>
      <w:r w:rsidRPr="007E2B6C">
        <w:rPr>
          <w:rFonts w:ascii="Cambria" w:hAnsi="Cambria" w:cs="Times New Roman"/>
          <w:bCs/>
          <w:sz w:val="21"/>
          <w:szCs w:val="21"/>
          <w:lang w:val="en-ID"/>
        </w:rPr>
        <w:t xml:space="preserve">Furthermore, the equation is used to generate consumer surplus value as a reference for the total economic value of Pintu Kota beach. The upper-bounded integral of IDR 35,000 (consumption costs) is used as P1, and the lowest cost is IDR 10,000 (transportation costs and others) as P0 </w:t>
      </w:r>
      <w:proofErr w:type="gramStart"/>
      <w:r w:rsidRPr="007E2B6C">
        <w:rPr>
          <w:rFonts w:ascii="Cambria" w:hAnsi="Cambria" w:cs="Times New Roman"/>
          <w:bCs/>
          <w:sz w:val="21"/>
          <w:szCs w:val="21"/>
          <w:lang w:val="en-ID"/>
        </w:rPr>
        <w:t>To</w:t>
      </w:r>
      <w:proofErr w:type="gramEnd"/>
      <w:r w:rsidRPr="007E2B6C">
        <w:rPr>
          <w:rFonts w:ascii="Cambria" w:hAnsi="Cambria" w:cs="Times New Roman"/>
          <w:bCs/>
          <w:sz w:val="21"/>
          <w:szCs w:val="21"/>
          <w:lang w:val="en-ID"/>
        </w:rPr>
        <w:t xml:space="preserve"> produce the consumer surplus value per individual per year. Meanwhile, the following equation is used to calculate the value of consumer surplus</w:t>
      </w:r>
      <w:r w:rsidRPr="007E2B6C">
        <w:rPr>
          <w:rFonts w:ascii="Cambria" w:hAnsi="Cambria" w:cs="Times New Roman"/>
          <w:sz w:val="21"/>
          <w:szCs w:val="21"/>
        </w:rPr>
        <w:t>:</w:t>
      </w:r>
    </w:p>
    <w:p w14:paraId="02FCE79B" w14:textId="38E21FE9" w:rsidR="007E2B6C" w:rsidRPr="007E2B6C" w:rsidRDefault="009B3961" w:rsidP="007E2B6C">
      <w:pPr>
        <w:spacing w:after="0" w:line="240" w:lineRule="auto"/>
        <w:ind w:firstLine="709"/>
        <w:jc w:val="both"/>
        <w:rPr>
          <w:rFonts w:ascii="Cambria" w:eastAsia="Cambria Math" w:hAnsi="Cambria" w:cs="Cambria Math"/>
          <w:sz w:val="21"/>
          <w:szCs w:val="21"/>
          <w:lang w:val="id-ID"/>
        </w:rPr>
      </w:pPr>
      <m:oMathPara>
        <m:oMath>
          <m:nary>
            <m:naryPr>
              <m:limLoc m:val="subSup"/>
              <m:ctrlPr>
                <w:rPr>
                  <w:rFonts w:ascii="Cambria Math" w:eastAsia="Cambria Math" w:hAnsi="Cambria Math" w:cs="Cambria Math"/>
                  <w:i/>
                  <w:sz w:val="21"/>
                  <w:szCs w:val="21"/>
                  <w:lang w:val="id-ID"/>
                </w:rPr>
              </m:ctrlPr>
            </m:naryPr>
            <m:sub>
              <m:r>
                <w:rPr>
                  <w:rFonts w:ascii="Cambria Math" w:eastAsia="Cambria Math" w:hAnsi="Cambria Math" w:cs="Cambria Math"/>
                  <w:sz w:val="21"/>
                  <w:szCs w:val="21"/>
                  <w:lang w:val="id-ID"/>
                </w:rPr>
                <m:t>10.000</m:t>
              </m:r>
            </m:sub>
            <m:sup>
              <m:r>
                <w:rPr>
                  <w:rFonts w:ascii="Cambria Math" w:eastAsia="Cambria Math" w:hAnsi="Cambria Math" w:cs="Cambria Math"/>
                  <w:sz w:val="21"/>
                  <w:szCs w:val="21"/>
                  <w:lang w:val="id-ID"/>
                </w:rPr>
                <m:t>35.000</m:t>
              </m:r>
            </m:sup>
            <m:e>
              <m:d>
                <m:dPr>
                  <m:ctrlPr>
                    <w:rPr>
                      <w:rFonts w:ascii="Cambria Math" w:eastAsia="Cambria Math" w:hAnsi="Cambria Math" w:cs="Cambria Math"/>
                      <w:i/>
                      <w:sz w:val="21"/>
                      <w:szCs w:val="21"/>
                      <w:lang w:val="id-ID"/>
                    </w:rPr>
                  </m:ctrlPr>
                </m:dPr>
                <m:e>
                  <m:r>
                    <w:rPr>
                      <w:rFonts w:ascii="Cambria Math" w:eastAsia="Cambria Math" w:hAnsi="Cambria Math" w:cs="Cambria Math"/>
                      <w:sz w:val="21"/>
                      <w:szCs w:val="21"/>
                      <w:lang w:val="id-ID"/>
                    </w:rPr>
                    <m:t>3,661-0,00004158p</m:t>
                  </m:r>
                </m:e>
              </m:d>
              <m:r>
                <w:rPr>
                  <w:rFonts w:ascii="Cambria Math" w:eastAsia="Cambria Math" w:hAnsi="Cambria Math" w:cs="Cambria Math"/>
                  <w:sz w:val="21"/>
                  <w:szCs w:val="21"/>
                  <w:lang w:val="id-ID"/>
                </w:rPr>
                <m:t>dp</m:t>
              </m:r>
            </m:e>
          </m:nary>
        </m:oMath>
      </m:oMathPara>
    </w:p>
    <w:p w14:paraId="3B4DCB99" w14:textId="77777777" w:rsidR="007E2B6C" w:rsidRPr="007E2B6C" w:rsidRDefault="007E2B6C" w:rsidP="007E2B6C">
      <w:pPr>
        <w:spacing w:after="0" w:line="240" w:lineRule="auto"/>
        <w:ind w:firstLine="709"/>
        <w:jc w:val="both"/>
        <w:rPr>
          <w:rFonts w:ascii="Cambria" w:hAnsi="Cambria" w:cs="Times New Roman"/>
          <w:sz w:val="21"/>
          <w:szCs w:val="21"/>
        </w:rPr>
      </w:pPr>
      <w:r w:rsidRPr="007E2B6C">
        <w:rPr>
          <w:rFonts w:ascii="Cambria" w:hAnsi="Cambria" w:cs="Times New Roman"/>
          <w:sz w:val="21"/>
          <w:szCs w:val="21"/>
        </w:rPr>
        <w:lastRenderedPageBreak/>
        <w:t>From the calculation results, the consumer surplus value per individual per year is Rp. 44,747.50 or Rp. 7,457.92 - per individual per one visit. Visitors who come to this Pintu Kota Beach location are an average of 4 visitors per visit. The area's economic value is obtained by multiplying the value of the consumer surplus by the average annual visit so that the total economic value is Rp. 69,806,100 per year.</w:t>
      </w:r>
    </w:p>
    <w:p w14:paraId="32887F75" w14:textId="77777777" w:rsidR="007E2B6C" w:rsidRPr="007E2B6C" w:rsidRDefault="007E2B6C" w:rsidP="007E2B6C">
      <w:pPr>
        <w:spacing w:after="0" w:line="240" w:lineRule="auto"/>
        <w:ind w:firstLine="709"/>
        <w:jc w:val="both"/>
        <w:rPr>
          <w:rFonts w:ascii="Cambria" w:hAnsi="Cambria" w:cs="Times New Roman"/>
          <w:sz w:val="21"/>
          <w:szCs w:val="21"/>
        </w:rPr>
      </w:pPr>
      <w:r w:rsidRPr="007E2B6C">
        <w:rPr>
          <w:rFonts w:ascii="Cambria" w:hAnsi="Cambria" w:cs="Times New Roman"/>
          <w:sz w:val="21"/>
          <w:szCs w:val="21"/>
        </w:rPr>
        <w:t>Visitors encountered at this tourist attraction are classified according to seven zones: Kudamati, Poka, Benteng, Galala, Passo, Air Salobar, and Amahusu. The management of Pintu Kota is quite good, although it is still managed independently by the group, in this case, the family that owns the land where this tourist location is located. According to information from the management, the management has a loan from the bank to renovate and construct various supporting facilities for tourism activities on the Pintu Kota beach. The construction of several inns proves it as a place to rest and even a place to stay for visitors if visitors want to enjoy the night aura of the Pintu Kota accompanied by the beautiful moonlight.</w:t>
      </w:r>
    </w:p>
    <w:p w14:paraId="398E71F0" w14:textId="77777777" w:rsidR="007E2B6C" w:rsidRPr="007E2B6C" w:rsidRDefault="007E2B6C" w:rsidP="007E2B6C">
      <w:pPr>
        <w:spacing w:after="0" w:line="240" w:lineRule="auto"/>
        <w:ind w:firstLine="709"/>
        <w:jc w:val="both"/>
        <w:rPr>
          <w:rFonts w:ascii="Cambria" w:hAnsi="Cambria" w:cs="Times New Roman"/>
          <w:sz w:val="21"/>
          <w:szCs w:val="21"/>
        </w:rPr>
      </w:pPr>
      <w:r w:rsidRPr="007E2B6C">
        <w:rPr>
          <w:rFonts w:ascii="Cambria" w:hAnsi="Cambria" w:cs="Times New Roman"/>
          <w:sz w:val="21"/>
          <w:szCs w:val="21"/>
        </w:rPr>
        <w:t>The addition of various supporting facilities for tourism activities on Pintu Kota beach will certainly add to the economic value of this place. The estimated total economic value by the numerical approach method is in the range of sixty-nine million rupiahs per year. Then, it is very feasible to be further developed in the future, especially when Pintu Kota has a natural coral phenomenon in the form of a Pintu (door) as its name implies and is well known at the global level.</w:t>
      </w:r>
    </w:p>
    <w:p w14:paraId="28B5D423" w14:textId="77777777" w:rsidR="007E2B6C" w:rsidRPr="007E2B6C" w:rsidRDefault="007E2B6C" w:rsidP="007E2B6C">
      <w:pPr>
        <w:tabs>
          <w:tab w:val="left" w:pos="0"/>
        </w:tabs>
        <w:spacing w:after="0" w:line="240" w:lineRule="auto"/>
        <w:jc w:val="both"/>
        <w:rPr>
          <w:rFonts w:ascii="Cambria" w:hAnsi="Cambria" w:cs="Times New Roman"/>
          <w:b/>
          <w:sz w:val="21"/>
          <w:szCs w:val="21"/>
        </w:rPr>
      </w:pPr>
    </w:p>
    <w:p w14:paraId="62981549" w14:textId="77777777" w:rsidR="007E2B6C" w:rsidRPr="007E2B6C" w:rsidRDefault="007E2B6C" w:rsidP="007E2B6C">
      <w:pPr>
        <w:tabs>
          <w:tab w:val="left" w:pos="0"/>
        </w:tabs>
        <w:spacing w:after="0" w:line="240" w:lineRule="auto"/>
        <w:jc w:val="both"/>
        <w:rPr>
          <w:rFonts w:ascii="Cambria" w:hAnsi="Cambria" w:cs="Times New Roman"/>
          <w:b/>
          <w:sz w:val="21"/>
          <w:szCs w:val="21"/>
        </w:rPr>
      </w:pPr>
      <w:r w:rsidRPr="007E2B6C">
        <w:rPr>
          <w:rFonts w:ascii="Cambria" w:hAnsi="Cambria" w:cs="Times New Roman"/>
          <w:b/>
          <w:sz w:val="21"/>
          <w:szCs w:val="21"/>
        </w:rPr>
        <w:t>Economic Value of Felawatu Beach</w:t>
      </w:r>
    </w:p>
    <w:p w14:paraId="7F7571CD" w14:textId="77777777" w:rsidR="007E2B6C" w:rsidRPr="007E2B6C" w:rsidRDefault="007E2B6C" w:rsidP="007E2B6C">
      <w:pPr>
        <w:tabs>
          <w:tab w:val="left" w:pos="0"/>
        </w:tabs>
        <w:jc w:val="both"/>
        <w:rPr>
          <w:rFonts w:ascii="Cambria" w:hAnsi="Cambria" w:cs="Times New Roman"/>
          <w:sz w:val="21"/>
          <w:szCs w:val="21"/>
          <w:lang w:val="en-ID"/>
        </w:rPr>
      </w:pPr>
      <w:r w:rsidRPr="007E2B6C">
        <w:rPr>
          <w:rFonts w:ascii="Cambria" w:hAnsi="Cambria" w:cs="Times New Roman"/>
          <w:b/>
          <w:sz w:val="21"/>
          <w:szCs w:val="21"/>
        </w:rPr>
        <w:tab/>
      </w:r>
      <w:r w:rsidRPr="007E2B6C">
        <w:rPr>
          <w:rFonts w:ascii="Cambria" w:hAnsi="Cambria" w:cs="Times New Roman"/>
          <w:sz w:val="21"/>
          <w:szCs w:val="21"/>
          <w:lang w:val="en-ID"/>
        </w:rPr>
        <w:t xml:space="preserve">A simple regression model to calculate the visit demand function at the Felawatu beach location, as </w:t>
      </w:r>
      <w:proofErr w:type="gramStart"/>
      <w:r w:rsidRPr="007E2B6C">
        <w:rPr>
          <w:rFonts w:ascii="Cambria" w:hAnsi="Cambria" w:cs="Times New Roman"/>
          <w:sz w:val="21"/>
          <w:szCs w:val="21"/>
          <w:lang w:val="en-ID"/>
        </w:rPr>
        <w:t>described,</w:t>
      </w:r>
      <w:proofErr w:type="gramEnd"/>
      <w:r w:rsidRPr="007E2B6C">
        <w:rPr>
          <w:rFonts w:ascii="Cambria" w:hAnsi="Cambria" w:cs="Times New Roman"/>
          <w:sz w:val="21"/>
          <w:szCs w:val="21"/>
          <w:lang w:val="en-ID"/>
        </w:rPr>
        <w:t xml:space="preserve"> obtain an equation to produce consumer surplus value. The equation can be seen as follows: </w:t>
      </w:r>
      <w:r w:rsidRPr="007E2B6C">
        <w:rPr>
          <w:rFonts w:ascii="Cambria" w:hAnsi="Cambria" w:cs="Times New Roman"/>
          <w:bCs/>
          <w:sz w:val="21"/>
          <w:szCs w:val="21"/>
          <w:lang w:val="en-ID"/>
        </w:rPr>
        <w:t>Y = 1.230 + 0.00002655</w:t>
      </w:r>
    </w:p>
    <w:p w14:paraId="579BAEF8"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 xml:space="preserve">This equation is used to generate consumer surplus value as economic value. The highest bounded integral of Rp 28.000- (consumption costs) is used as </w:t>
      </w:r>
      <w:r w:rsidRPr="007E2B6C">
        <w:rPr>
          <w:rFonts w:ascii="Cambria" w:hAnsi="Cambria" w:cs="Times New Roman"/>
          <w:sz w:val="21"/>
          <w:szCs w:val="21"/>
        </w:rPr>
        <w:t>P</w:t>
      </w:r>
      <w:r w:rsidRPr="007E2B6C">
        <w:rPr>
          <w:rFonts w:ascii="Cambria" w:hAnsi="Cambria" w:cs="Times New Roman"/>
          <w:sz w:val="21"/>
          <w:szCs w:val="21"/>
          <w:vertAlign w:val="superscript"/>
        </w:rPr>
        <w:t>1</w:t>
      </w:r>
      <w:r w:rsidRPr="007E2B6C">
        <w:rPr>
          <w:rFonts w:ascii="Cambria" w:hAnsi="Cambria" w:cs="Times New Roman"/>
          <w:sz w:val="21"/>
          <w:szCs w:val="21"/>
          <w:lang w:val="en-ID"/>
        </w:rPr>
        <w:t xml:space="preserve">, and the lowest cost is Rp. 10,000 (other costs) as </w:t>
      </w:r>
      <w:r w:rsidRPr="007E2B6C">
        <w:rPr>
          <w:rFonts w:ascii="Cambria" w:hAnsi="Cambria" w:cs="Times New Roman"/>
          <w:sz w:val="21"/>
          <w:szCs w:val="21"/>
        </w:rPr>
        <w:t>P</w:t>
      </w:r>
      <w:r w:rsidRPr="007E2B6C">
        <w:rPr>
          <w:rFonts w:ascii="Cambria" w:hAnsi="Cambria" w:cs="Times New Roman"/>
          <w:sz w:val="21"/>
          <w:szCs w:val="21"/>
          <w:vertAlign w:val="superscript"/>
        </w:rPr>
        <w:t>0</w:t>
      </w:r>
      <w:r w:rsidRPr="007E2B6C">
        <w:rPr>
          <w:rFonts w:ascii="Cambria" w:hAnsi="Cambria" w:cs="Times New Roman"/>
          <w:sz w:val="21"/>
          <w:szCs w:val="21"/>
          <w:lang w:val="en-ID"/>
        </w:rPr>
        <w:t xml:space="preserve"> to produce the consumer surplus value per individual per year. Meanwhile, the following equation is used to calculate the value of consumer surplus</w:t>
      </w:r>
      <w:r w:rsidRPr="007E2B6C">
        <w:rPr>
          <w:rFonts w:ascii="Cambria" w:hAnsi="Cambria" w:cs="Times New Roman"/>
          <w:sz w:val="21"/>
          <w:szCs w:val="21"/>
        </w:rPr>
        <w:t>:</w:t>
      </w:r>
    </w:p>
    <w:p w14:paraId="0A9456B5" w14:textId="5F7612DC" w:rsidR="007E2B6C" w:rsidRPr="007E2B6C" w:rsidRDefault="009B3961" w:rsidP="007E2B6C">
      <w:pPr>
        <w:tabs>
          <w:tab w:val="left" w:pos="0"/>
        </w:tabs>
        <w:spacing w:after="0" w:line="240" w:lineRule="auto"/>
        <w:jc w:val="both"/>
        <w:rPr>
          <w:rFonts w:ascii="Cambria" w:hAnsi="Cambria" w:cs="Times New Roman"/>
          <w:sz w:val="21"/>
          <w:szCs w:val="21"/>
        </w:rPr>
      </w:pPr>
      <m:oMathPara>
        <m:oMath>
          <m:nary>
            <m:naryPr>
              <m:limLoc m:val="subSup"/>
              <m:ctrlPr>
                <w:rPr>
                  <w:rFonts w:ascii="Cambria Math" w:hAnsi="Cambria Math" w:cs="Times New Roman"/>
                  <w:i/>
                  <w:sz w:val="21"/>
                  <w:szCs w:val="21"/>
                </w:rPr>
              </m:ctrlPr>
            </m:naryPr>
            <m:sub>
              <m:r>
                <w:rPr>
                  <w:rFonts w:ascii="Cambria Math" w:hAnsi="Cambria Math" w:cs="Times New Roman"/>
                  <w:sz w:val="21"/>
                  <w:szCs w:val="21"/>
                </w:rPr>
                <m:t>10.000</m:t>
              </m:r>
            </m:sub>
            <m:sup>
              <m:r>
                <w:rPr>
                  <w:rFonts w:ascii="Cambria Math" w:hAnsi="Cambria Math" w:cs="Times New Roman"/>
                  <w:sz w:val="21"/>
                  <w:szCs w:val="21"/>
                </w:rPr>
                <m:t>28.000</m:t>
              </m:r>
            </m:sup>
            <m:e>
              <m:d>
                <m:dPr>
                  <m:ctrlPr>
                    <w:rPr>
                      <w:rFonts w:ascii="Cambria Math" w:hAnsi="Cambria Math" w:cs="Times New Roman"/>
                      <w:i/>
                      <w:sz w:val="21"/>
                      <w:szCs w:val="21"/>
                    </w:rPr>
                  </m:ctrlPr>
                </m:dPr>
                <m:e>
                  <m:r>
                    <w:rPr>
                      <w:rFonts w:ascii="Cambria Math" w:hAnsi="Cambria Math" w:cs="Times New Roman"/>
                      <w:sz w:val="21"/>
                      <w:szCs w:val="21"/>
                    </w:rPr>
                    <m:t>1,230+0,00002655p</m:t>
                  </m:r>
                </m:e>
              </m:d>
              <m:r>
                <w:rPr>
                  <w:rFonts w:ascii="Cambria Math" w:hAnsi="Cambria Math" w:cs="Times New Roman"/>
                  <w:sz w:val="21"/>
                  <w:szCs w:val="21"/>
                </w:rPr>
                <m:t>dp</m:t>
              </m:r>
            </m:e>
          </m:nary>
        </m:oMath>
      </m:oMathPara>
    </w:p>
    <w:p w14:paraId="77CF25D5" w14:textId="77777777" w:rsidR="007E2B6C" w:rsidRPr="007E2B6C" w:rsidRDefault="007E2B6C" w:rsidP="007E2B6C">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ab/>
        <w:t>From the calculation results, the consumer surplus value per individual per year is Rp. 70.210.20 or Rp. 35.105.10 per individual per one visit. Visitors who come to the location of Felawatu Beach are an average of 2 visitors per visit, and the economic value of the area is obtained by multiplying the value of consumer surplus by the average visit each year, so that a total economic value of Rp.29,207,443,- per year is obtained.</w:t>
      </w:r>
    </w:p>
    <w:p w14:paraId="60EB528A" w14:textId="77777777" w:rsidR="007E2B6C" w:rsidRPr="007E2B6C" w:rsidRDefault="007E2B6C" w:rsidP="007E2B6C">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 xml:space="preserve">           The classification of visitors to this tourist attraction was found in five different zones, namely 2 people from Kudamati, 2 people from Benteng, 2 people from Passo, 1 person from Waihaong, and 1 person from Talake. According to information from the manager and the community around the Felawatu tourist site, generally, the visitors' activities at this tourist location are mostly meeting, celebrating, or worshiping activities. This information is also corroborated by direct observations of researchers, where Felawatu tourism entrance is often closed. This tourist attraction will be opened if there are visitors who have made a reservation in advance.</w:t>
      </w:r>
    </w:p>
    <w:p w14:paraId="3ECA6335" w14:textId="77777777" w:rsidR="007E2B6C" w:rsidRPr="007E2B6C" w:rsidRDefault="007E2B6C" w:rsidP="007E2B6C">
      <w:pPr>
        <w:tabs>
          <w:tab w:val="left" w:pos="0"/>
        </w:tabs>
        <w:spacing w:after="0" w:line="240" w:lineRule="auto"/>
        <w:jc w:val="both"/>
        <w:rPr>
          <w:rFonts w:ascii="Cambria" w:hAnsi="Cambria" w:cs="Times New Roman"/>
          <w:b/>
          <w:sz w:val="21"/>
          <w:szCs w:val="21"/>
        </w:rPr>
      </w:pPr>
    </w:p>
    <w:p w14:paraId="754CB162" w14:textId="77777777" w:rsidR="007E2B6C" w:rsidRPr="007E2B6C" w:rsidRDefault="007E2B6C" w:rsidP="007E2B6C">
      <w:pPr>
        <w:tabs>
          <w:tab w:val="left" w:pos="0"/>
        </w:tabs>
        <w:spacing w:after="0" w:line="240" w:lineRule="auto"/>
        <w:jc w:val="both"/>
        <w:rPr>
          <w:rFonts w:ascii="Cambria" w:hAnsi="Cambria" w:cs="Times New Roman"/>
          <w:b/>
          <w:sz w:val="21"/>
          <w:szCs w:val="21"/>
        </w:rPr>
      </w:pPr>
      <w:r w:rsidRPr="007E2B6C">
        <w:rPr>
          <w:rFonts w:ascii="Cambria" w:hAnsi="Cambria" w:cs="Times New Roman"/>
          <w:b/>
          <w:sz w:val="21"/>
          <w:szCs w:val="21"/>
        </w:rPr>
        <w:t>The Economic Value of Santai Beach</w:t>
      </w:r>
    </w:p>
    <w:p w14:paraId="1A3DE13C"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ab/>
        <w:t>The equation formula, according to the results of a simple regression carried out between the independent variable (X) the cost of travel to the dependent variable (Y) the number of visits, can be seen in the following equation: </w:t>
      </w:r>
      <w:r w:rsidRPr="007E2B6C">
        <w:rPr>
          <w:rFonts w:ascii="Cambria" w:hAnsi="Cambria" w:cs="Times New Roman"/>
          <w:b/>
          <w:bCs/>
          <w:sz w:val="21"/>
          <w:szCs w:val="21"/>
          <w:lang w:val="en-ID"/>
        </w:rPr>
        <w:t>Y = 3.430 – 0.00004170</w:t>
      </w:r>
    </w:p>
    <w:p w14:paraId="52F66C2C"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lastRenderedPageBreak/>
        <w:tab/>
        <w:t xml:space="preserve">The above equation determines the value of consumer surplus as economic value. The upper-bounded integral of IDR 35,000 (consumption costs) is used as </w:t>
      </w:r>
      <w:r w:rsidRPr="007E2B6C">
        <w:rPr>
          <w:rFonts w:ascii="Cambria" w:hAnsi="Cambria" w:cs="Times New Roman"/>
          <w:sz w:val="21"/>
          <w:szCs w:val="21"/>
        </w:rPr>
        <w:t>P</w:t>
      </w:r>
      <w:r w:rsidRPr="007E2B6C">
        <w:rPr>
          <w:rFonts w:ascii="Cambria" w:hAnsi="Cambria" w:cs="Times New Roman"/>
          <w:sz w:val="21"/>
          <w:szCs w:val="21"/>
          <w:vertAlign w:val="superscript"/>
        </w:rPr>
        <w:t>1</w:t>
      </w:r>
      <w:r w:rsidRPr="007E2B6C">
        <w:rPr>
          <w:rFonts w:ascii="Cambria" w:hAnsi="Cambria" w:cs="Times New Roman"/>
          <w:sz w:val="21"/>
          <w:szCs w:val="21"/>
          <w:lang w:val="en-ID"/>
        </w:rPr>
        <w:t xml:space="preserve">, and the lowest cost is IDR 9,600 (other costs) as </w:t>
      </w:r>
      <w:r w:rsidRPr="007E2B6C">
        <w:rPr>
          <w:rFonts w:ascii="Cambria" w:hAnsi="Cambria" w:cs="Times New Roman"/>
          <w:sz w:val="21"/>
          <w:szCs w:val="21"/>
        </w:rPr>
        <w:t>P</w:t>
      </w:r>
      <w:r w:rsidRPr="007E2B6C">
        <w:rPr>
          <w:rFonts w:ascii="Cambria" w:hAnsi="Cambria" w:cs="Times New Roman"/>
          <w:sz w:val="21"/>
          <w:szCs w:val="21"/>
          <w:vertAlign w:val="superscript"/>
        </w:rPr>
        <w:t xml:space="preserve">0 </w:t>
      </w:r>
      <w:r w:rsidRPr="007E2B6C">
        <w:rPr>
          <w:rFonts w:ascii="Cambria" w:hAnsi="Cambria" w:cs="Times New Roman"/>
          <w:sz w:val="21"/>
          <w:szCs w:val="21"/>
          <w:lang w:val="en-ID"/>
        </w:rPr>
        <w:t>to produce the consumer surplus value per individual per year. Meanwhile, to calculate the value of consumer surplus, the following equation is used</w:t>
      </w:r>
      <w:r w:rsidRPr="007E2B6C">
        <w:rPr>
          <w:rFonts w:ascii="Cambria" w:hAnsi="Cambria" w:cs="Times New Roman"/>
          <w:sz w:val="21"/>
          <w:szCs w:val="21"/>
        </w:rPr>
        <w:t>:</w:t>
      </w:r>
    </w:p>
    <w:p w14:paraId="52A0C8B9" w14:textId="6B9C063C" w:rsidR="007E2B6C" w:rsidRPr="007E2B6C" w:rsidRDefault="009B3961" w:rsidP="007E2B6C">
      <w:pPr>
        <w:tabs>
          <w:tab w:val="left" w:pos="0"/>
        </w:tabs>
        <w:spacing w:after="0" w:line="240" w:lineRule="auto"/>
        <w:jc w:val="both"/>
        <w:rPr>
          <w:rFonts w:ascii="Cambria" w:hAnsi="Cambria" w:cs="Times New Roman"/>
          <w:sz w:val="21"/>
          <w:szCs w:val="21"/>
        </w:rPr>
      </w:pPr>
      <m:oMathPara>
        <m:oMath>
          <m:nary>
            <m:naryPr>
              <m:limLoc m:val="subSup"/>
              <m:ctrlPr>
                <w:rPr>
                  <w:rFonts w:ascii="Cambria Math" w:hAnsi="Cambria Math" w:cs="Times New Roman"/>
                  <w:i/>
                  <w:sz w:val="21"/>
                  <w:szCs w:val="21"/>
                </w:rPr>
              </m:ctrlPr>
            </m:naryPr>
            <m:sub>
              <m:r>
                <w:rPr>
                  <w:rFonts w:ascii="Cambria Math" w:hAnsi="Cambria Math" w:cs="Times New Roman"/>
                  <w:sz w:val="21"/>
                  <w:szCs w:val="21"/>
                </w:rPr>
                <m:t>9.600</m:t>
              </m:r>
            </m:sub>
            <m:sup>
              <m:r>
                <w:rPr>
                  <w:rFonts w:ascii="Cambria Math" w:hAnsi="Cambria Math" w:cs="Times New Roman"/>
                  <w:sz w:val="21"/>
                  <w:szCs w:val="21"/>
                </w:rPr>
                <m:t>35.000</m:t>
              </m:r>
            </m:sup>
            <m:e>
              <m:d>
                <m:dPr>
                  <m:ctrlPr>
                    <w:rPr>
                      <w:rFonts w:ascii="Cambria Math" w:hAnsi="Cambria Math" w:cs="Times New Roman"/>
                      <w:i/>
                      <w:sz w:val="21"/>
                      <w:szCs w:val="21"/>
                    </w:rPr>
                  </m:ctrlPr>
                </m:dPr>
                <m:e>
                  <m:r>
                    <w:rPr>
                      <w:rFonts w:ascii="Cambria Math" w:hAnsi="Cambria Math" w:cs="Times New Roman"/>
                      <w:sz w:val="21"/>
                      <w:szCs w:val="21"/>
                    </w:rPr>
                    <m:t>3,430-0,00004170p</m:t>
                  </m:r>
                </m:e>
              </m:d>
              <m:r>
                <w:rPr>
                  <w:rFonts w:ascii="Cambria Math" w:hAnsi="Cambria Math" w:cs="Times New Roman"/>
                  <w:sz w:val="21"/>
                  <w:szCs w:val="21"/>
                </w:rPr>
                <m:t>dp</m:t>
              </m:r>
            </m:e>
          </m:nary>
        </m:oMath>
      </m:oMathPara>
    </w:p>
    <w:p w14:paraId="7D413AE5" w14:textId="77777777" w:rsidR="007E2B6C" w:rsidRPr="007E2B6C" w:rsidRDefault="007E2B6C" w:rsidP="007E2B6C">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ab/>
        <w:t>The calculation results show that the consumer surplus value per individual per year is Rp. 38,837.50 or Rp. 9,709.38 per individual per one visit. Visitors who come to this Santai Beach location are an average of 4 visitors per visit. The regional economic value is obtained by multiplying the consumer surplus value by the average annual visit and obtaining a total economic value of Rp. 60,586.500, - per year.</w:t>
      </w:r>
    </w:p>
    <w:p w14:paraId="4A7D4D4A" w14:textId="77777777" w:rsidR="007E2B6C" w:rsidRPr="007E2B6C" w:rsidRDefault="007E2B6C" w:rsidP="007E2B6C">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 xml:space="preserve">           The area of </w:t>
      </w:r>
      <w:r w:rsidRPr="007E2B6C">
        <w:rPr>
          <w:rFonts w:ascii="Cambria" w:hAnsi="Cambria"/>
          <w:sz w:val="21"/>
          <w:szCs w:val="21"/>
        </w:rPr>
        <w:t>​​</w:t>
      </w:r>
      <w:r w:rsidRPr="007E2B6C">
        <w:rPr>
          <w:rFonts w:ascii="Cambria" w:hAnsi="Cambria" w:cs="Times New Roman"/>
          <w:sz w:val="21"/>
          <w:szCs w:val="21"/>
        </w:rPr>
        <w:t>origin for visitors who visit this Santai Beach tourist attraction is the Mangga Dua area, Kudamati area, Passo area, Benteng area, Air Salobar area, Galala area, and Poka, and Kayu Putih area. This relaxing tourist attraction offers many tourist activities, starting from swimming supported by a wave barrier, sunbathing on white sand, snorkeling, relaxing with a wide blue ocean landscape dinner, and if there is a desire to spend the night, several lodging rooms have been provided with a range of prices. Rp.200</w:t>
      </w:r>
      <w:proofErr w:type="gramStart"/>
      <w:r w:rsidRPr="007E2B6C">
        <w:rPr>
          <w:rFonts w:ascii="Cambria" w:hAnsi="Cambria" w:cs="Times New Roman"/>
          <w:sz w:val="21"/>
          <w:szCs w:val="21"/>
        </w:rPr>
        <w:t>,000</w:t>
      </w:r>
      <w:proofErr w:type="gramEnd"/>
      <w:r w:rsidRPr="007E2B6C">
        <w:rPr>
          <w:rFonts w:ascii="Cambria" w:hAnsi="Cambria" w:cs="Times New Roman"/>
          <w:sz w:val="21"/>
          <w:szCs w:val="21"/>
        </w:rPr>
        <w:t>, - up to Rp. 500.000,-</w:t>
      </w:r>
    </w:p>
    <w:p w14:paraId="440AF184" w14:textId="77777777" w:rsidR="007E2B6C" w:rsidRPr="007E2B6C" w:rsidRDefault="007E2B6C" w:rsidP="007E2B6C">
      <w:pPr>
        <w:tabs>
          <w:tab w:val="left" w:pos="0"/>
          <w:tab w:val="left" w:pos="1800"/>
        </w:tabs>
        <w:spacing w:after="0" w:line="240" w:lineRule="auto"/>
        <w:jc w:val="both"/>
        <w:rPr>
          <w:rFonts w:ascii="Cambria" w:hAnsi="Cambria" w:cs="Times New Roman"/>
          <w:b/>
          <w:sz w:val="21"/>
          <w:szCs w:val="21"/>
        </w:rPr>
      </w:pPr>
      <w:r w:rsidRPr="007E2B6C">
        <w:rPr>
          <w:rFonts w:ascii="Cambria" w:hAnsi="Cambria" w:cs="Times New Roman"/>
          <w:b/>
          <w:sz w:val="21"/>
          <w:szCs w:val="21"/>
        </w:rPr>
        <w:tab/>
      </w:r>
    </w:p>
    <w:p w14:paraId="72E0226D" w14:textId="77777777" w:rsidR="007E2B6C" w:rsidRPr="007E2B6C" w:rsidRDefault="007E2B6C" w:rsidP="007E2B6C">
      <w:pPr>
        <w:tabs>
          <w:tab w:val="left" w:pos="0"/>
        </w:tabs>
        <w:spacing w:after="0" w:line="240" w:lineRule="auto"/>
        <w:jc w:val="both"/>
        <w:rPr>
          <w:rFonts w:ascii="Cambria" w:hAnsi="Cambria" w:cs="Times New Roman"/>
          <w:b/>
          <w:sz w:val="21"/>
          <w:szCs w:val="21"/>
        </w:rPr>
      </w:pPr>
      <w:r w:rsidRPr="007E2B6C">
        <w:rPr>
          <w:rFonts w:ascii="Cambria" w:hAnsi="Cambria" w:cs="Times New Roman"/>
          <w:b/>
          <w:sz w:val="21"/>
          <w:szCs w:val="21"/>
        </w:rPr>
        <w:t>The Economic Value of Namalatu Beach</w:t>
      </w:r>
    </w:p>
    <w:p w14:paraId="1B95A8C2" w14:textId="77777777" w:rsidR="007E2B6C" w:rsidRPr="007E2B6C" w:rsidRDefault="007E2B6C" w:rsidP="007E2B6C">
      <w:pPr>
        <w:tabs>
          <w:tab w:val="left" w:pos="0"/>
        </w:tabs>
        <w:jc w:val="both"/>
        <w:rPr>
          <w:rFonts w:ascii="Cambria" w:hAnsi="Cambria" w:cs="Times New Roman"/>
          <w:sz w:val="21"/>
          <w:szCs w:val="21"/>
          <w:lang w:val="en-ID"/>
        </w:rPr>
      </w:pPr>
      <w:r w:rsidRPr="007E2B6C">
        <w:rPr>
          <w:rFonts w:ascii="Cambria" w:hAnsi="Cambria" w:cs="Times New Roman"/>
          <w:b/>
          <w:sz w:val="21"/>
          <w:szCs w:val="21"/>
        </w:rPr>
        <w:tab/>
      </w:r>
      <w:r w:rsidRPr="007E2B6C">
        <w:rPr>
          <w:rFonts w:ascii="Cambria" w:hAnsi="Cambria" w:cs="Times New Roman"/>
          <w:sz w:val="21"/>
          <w:szCs w:val="21"/>
          <w:lang w:val="en-ID"/>
        </w:rPr>
        <w:t>Simple regression analysis applied between the dependent variable, the number of visits (Y), and the independent variable travel costs (X) resulted in a visit demand model. Then, the model was used as an equation to produce a consumer surplus value. The equation can be seen in the equation: </w:t>
      </w:r>
      <w:r w:rsidRPr="007E2B6C">
        <w:rPr>
          <w:rFonts w:ascii="Cambria" w:hAnsi="Cambria" w:cs="Times New Roman"/>
          <w:bCs/>
          <w:sz w:val="21"/>
          <w:szCs w:val="21"/>
          <w:lang w:val="en-ID"/>
        </w:rPr>
        <w:t>Y = 6.099 – 0.00004164.</w:t>
      </w:r>
    </w:p>
    <w:p w14:paraId="5777E960"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Furthermore, this equation generates consumer surplus value as economic value. An integral is used with an upper limit of Rp to generate consumer surplus value per individual per year. 25</w:t>
      </w:r>
      <w:proofErr w:type="gramStart"/>
      <w:r w:rsidRPr="007E2B6C">
        <w:rPr>
          <w:rFonts w:ascii="Cambria" w:hAnsi="Cambria" w:cs="Times New Roman"/>
          <w:sz w:val="21"/>
          <w:szCs w:val="21"/>
          <w:lang w:val="en-ID"/>
        </w:rPr>
        <w:t>,000</w:t>
      </w:r>
      <w:proofErr w:type="gramEnd"/>
      <w:r w:rsidRPr="007E2B6C">
        <w:rPr>
          <w:rFonts w:ascii="Cambria" w:hAnsi="Cambria" w:cs="Times New Roman"/>
          <w:sz w:val="21"/>
          <w:szCs w:val="21"/>
          <w:lang w:val="en-ID"/>
        </w:rPr>
        <w:t xml:space="preserve">,- (consumption costs) as </w:t>
      </w:r>
      <w:r w:rsidRPr="007E2B6C">
        <w:rPr>
          <w:rFonts w:ascii="Cambria" w:hAnsi="Cambria" w:cs="Times New Roman"/>
          <w:sz w:val="21"/>
          <w:szCs w:val="21"/>
        </w:rPr>
        <w:t>P</w:t>
      </w:r>
      <w:r w:rsidRPr="007E2B6C">
        <w:rPr>
          <w:rFonts w:ascii="Cambria" w:hAnsi="Cambria" w:cs="Times New Roman"/>
          <w:sz w:val="21"/>
          <w:szCs w:val="21"/>
          <w:vertAlign w:val="superscript"/>
        </w:rPr>
        <w:t>1</w:t>
      </w:r>
      <w:r w:rsidRPr="007E2B6C">
        <w:rPr>
          <w:rFonts w:ascii="Cambria" w:hAnsi="Cambria" w:cs="Times New Roman"/>
          <w:sz w:val="21"/>
          <w:szCs w:val="21"/>
          <w:lang w:val="en-ID"/>
        </w:rPr>
        <w:t xml:space="preserve"> and the lowest cost of Rp. 7,000,- (other costs) as </w:t>
      </w:r>
      <w:r w:rsidRPr="007E2B6C">
        <w:rPr>
          <w:rFonts w:ascii="Cambria" w:hAnsi="Cambria" w:cs="Times New Roman"/>
          <w:sz w:val="21"/>
          <w:szCs w:val="21"/>
        </w:rPr>
        <w:t>P</w:t>
      </w:r>
      <w:r w:rsidRPr="007E2B6C">
        <w:rPr>
          <w:rFonts w:ascii="Cambria" w:hAnsi="Cambria" w:cs="Times New Roman"/>
          <w:sz w:val="21"/>
          <w:szCs w:val="21"/>
          <w:vertAlign w:val="superscript"/>
        </w:rPr>
        <w:t>0</w:t>
      </w:r>
      <w:r w:rsidRPr="007E2B6C">
        <w:rPr>
          <w:rFonts w:ascii="Cambria" w:hAnsi="Cambria" w:cs="Times New Roman"/>
          <w:sz w:val="21"/>
          <w:szCs w:val="21"/>
          <w:lang w:val="en-ID"/>
        </w:rPr>
        <w:t>. Meanwhile, to calculate the value of consumer surplus, the following equation is used</w:t>
      </w:r>
      <w:r w:rsidRPr="007E2B6C">
        <w:rPr>
          <w:rFonts w:ascii="Cambria" w:hAnsi="Cambria" w:cs="Times New Roman"/>
          <w:sz w:val="21"/>
          <w:szCs w:val="21"/>
        </w:rPr>
        <w:t>:</w:t>
      </w:r>
    </w:p>
    <w:p w14:paraId="2E40EBFB" w14:textId="2381D4EB" w:rsidR="007E2B6C" w:rsidRPr="007E2B6C" w:rsidRDefault="009B3961" w:rsidP="007E2B6C">
      <w:pPr>
        <w:tabs>
          <w:tab w:val="left" w:pos="0"/>
        </w:tabs>
        <w:spacing w:after="0" w:line="240" w:lineRule="auto"/>
        <w:jc w:val="both"/>
        <w:rPr>
          <w:rFonts w:ascii="Cambria" w:hAnsi="Cambria" w:cs="Times New Roman"/>
          <w:sz w:val="21"/>
          <w:szCs w:val="21"/>
        </w:rPr>
      </w:pPr>
      <m:oMathPara>
        <m:oMath>
          <m:nary>
            <m:naryPr>
              <m:limLoc m:val="subSup"/>
              <m:ctrlPr>
                <w:rPr>
                  <w:rFonts w:ascii="Cambria Math" w:hAnsi="Cambria Math" w:cs="Times New Roman"/>
                  <w:i/>
                  <w:sz w:val="21"/>
                  <w:szCs w:val="21"/>
                </w:rPr>
              </m:ctrlPr>
            </m:naryPr>
            <m:sub>
              <m:r>
                <w:rPr>
                  <w:rFonts w:ascii="Cambria Math" w:hAnsi="Cambria Math" w:cs="Times New Roman"/>
                  <w:sz w:val="21"/>
                  <w:szCs w:val="21"/>
                </w:rPr>
                <m:t>7.000</m:t>
              </m:r>
            </m:sub>
            <m:sup>
              <m:r>
                <w:rPr>
                  <w:rFonts w:ascii="Cambria Math" w:hAnsi="Cambria Math" w:cs="Times New Roman"/>
                  <w:sz w:val="21"/>
                  <w:szCs w:val="21"/>
                </w:rPr>
                <m:t>25.000</m:t>
              </m:r>
            </m:sup>
            <m:e>
              <m:d>
                <m:dPr>
                  <m:ctrlPr>
                    <w:rPr>
                      <w:rFonts w:ascii="Cambria Math" w:hAnsi="Cambria Math" w:cs="Times New Roman"/>
                      <w:i/>
                      <w:sz w:val="21"/>
                      <w:szCs w:val="21"/>
                    </w:rPr>
                  </m:ctrlPr>
                </m:dPr>
                <m:e>
                  <m:r>
                    <w:rPr>
                      <w:rFonts w:ascii="Cambria Math" w:hAnsi="Cambria Math" w:cs="Times New Roman"/>
                      <w:sz w:val="21"/>
                      <w:szCs w:val="21"/>
                    </w:rPr>
                    <m:t>6,099+0,00004164p</m:t>
                  </m:r>
                </m:e>
              </m:d>
              <m:r>
                <w:rPr>
                  <w:rFonts w:ascii="Cambria Math" w:hAnsi="Cambria Math" w:cs="Times New Roman"/>
                  <w:sz w:val="21"/>
                  <w:szCs w:val="21"/>
                </w:rPr>
                <m:t>dp</m:t>
              </m:r>
            </m:e>
          </m:nary>
        </m:oMath>
      </m:oMathPara>
    </w:p>
    <w:p w14:paraId="0BA9C970" w14:textId="77777777" w:rsidR="007E2B6C" w:rsidRPr="007E2B6C" w:rsidRDefault="007E2B6C" w:rsidP="007E2B6C">
      <w:pPr>
        <w:spacing w:after="0" w:line="240" w:lineRule="auto"/>
        <w:ind w:firstLine="709"/>
        <w:jc w:val="both"/>
        <w:rPr>
          <w:rFonts w:ascii="Cambria" w:hAnsi="Cambria" w:cs="Times New Roman"/>
          <w:sz w:val="21"/>
          <w:szCs w:val="21"/>
        </w:rPr>
      </w:pPr>
      <w:r w:rsidRPr="007E2B6C">
        <w:rPr>
          <w:rFonts w:ascii="Cambria" w:hAnsi="Cambria" w:cs="Times New Roman"/>
          <w:sz w:val="21"/>
          <w:szCs w:val="21"/>
        </w:rPr>
        <w:t>The calculation results show that the consumer surplus value per individual per year is Rp.85</w:t>
      </w:r>
      <w:proofErr w:type="gramStart"/>
      <w:r w:rsidRPr="007E2B6C">
        <w:rPr>
          <w:rFonts w:ascii="Cambria" w:hAnsi="Cambria" w:cs="Times New Roman"/>
          <w:sz w:val="21"/>
          <w:szCs w:val="21"/>
        </w:rPr>
        <w:t>,797.36</w:t>
      </w:r>
      <w:proofErr w:type="gramEnd"/>
      <w:r w:rsidRPr="007E2B6C">
        <w:rPr>
          <w:rFonts w:ascii="Cambria" w:hAnsi="Cambria" w:cs="Times New Roman"/>
          <w:sz w:val="21"/>
          <w:szCs w:val="21"/>
        </w:rPr>
        <w:t xml:space="preserve"> or Rp. 28,599.12 per individual per one visit. Visitors who come to the location of Namalatu Beach are an average of 3 visitors per visit. Meanwhile, the regional economic value is obtained by multiplying the consumer surplus value by the average annual visit. Therefore, the economic value of Rp. 133,843,881 is obtained per year.</w:t>
      </w:r>
    </w:p>
    <w:p w14:paraId="0BA18B95" w14:textId="77777777" w:rsidR="007E2B6C" w:rsidRPr="007E2B6C" w:rsidRDefault="007E2B6C" w:rsidP="007E2B6C">
      <w:pPr>
        <w:spacing w:after="0" w:line="240" w:lineRule="auto"/>
        <w:ind w:firstLine="709"/>
        <w:jc w:val="both"/>
        <w:rPr>
          <w:rFonts w:ascii="Cambria" w:hAnsi="Cambria" w:cs="Times New Roman"/>
          <w:sz w:val="21"/>
          <w:szCs w:val="21"/>
        </w:rPr>
      </w:pPr>
      <w:r w:rsidRPr="007E2B6C">
        <w:rPr>
          <w:rFonts w:ascii="Cambria" w:hAnsi="Cambria" w:cs="Times New Roman"/>
          <w:sz w:val="21"/>
          <w:szCs w:val="21"/>
        </w:rPr>
        <w:t xml:space="preserve"> The zones of origin of visitors found in this ODTW are classified into nine different zones, namely Lateri, Galala, Kudamati, Benteng, Gunung Nona, Talake, Batu Gantung, Air Salobar and Mangga Dua. The offer of tourist activities available on Namalatu Beach is similar to tourist sites on Santai Beach. The difference between these two tourist sites is on the management side. The Namalatu Beach tourist location is managed directly by the Maluku Provincial Tourism Office with the community's help around the location, while the Santai Beach tourist location is managed privately.</w:t>
      </w:r>
    </w:p>
    <w:p w14:paraId="4F7487F4" w14:textId="77777777" w:rsidR="007E2B6C" w:rsidRDefault="007E2B6C" w:rsidP="007E2B6C">
      <w:pPr>
        <w:spacing w:after="0" w:line="240" w:lineRule="auto"/>
        <w:ind w:firstLine="709"/>
        <w:jc w:val="both"/>
        <w:rPr>
          <w:rFonts w:ascii="Cambria" w:hAnsi="Cambria" w:cs="Times New Roman"/>
          <w:sz w:val="21"/>
          <w:szCs w:val="21"/>
        </w:rPr>
      </w:pPr>
      <w:r w:rsidRPr="007E2B6C">
        <w:rPr>
          <w:rFonts w:ascii="Cambria" w:hAnsi="Cambria" w:cs="Times New Roman"/>
          <w:sz w:val="21"/>
          <w:szCs w:val="21"/>
        </w:rPr>
        <w:t>Supporting facilities for tourism activities on this beach is considered quite satisfying for visitors. It is just a matter of how there is an upgraded or updated improvement of the supporting facilities. The total economic value obtained in this study can be used as a reference for tourist attraction managers to add various modern tourism supporting facilities. It will certainly stimulate or encourage a significant increase in total economic value.</w:t>
      </w:r>
    </w:p>
    <w:p w14:paraId="3AD104D7" w14:textId="77777777" w:rsidR="002B31FF" w:rsidRDefault="002B31FF" w:rsidP="007E2B6C">
      <w:pPr>
        <w:spacing w:after="0" w:line="240" w:lineRule="auto"/>
        <w:ind w:firstLine="709"/>
        <w:jc w:val="both"/>
        <w:rPr>
          <w:rFonts w:ascii="Cambria" w:hAnsi="Cambria" w:cs="Times New Roman"/>
          <w:sz w:val="21"/>
          <w:szCs w:val="21"/>
        </w:rPr>
      </w:pPr>
    </w:p>
    <w:p w14:paraId="7FB39022" w14:textId="77777777" w:rsidR="002B31FF" w:rsidRPr="007E2B6C" w:rsidRDefault="002B31FF" w:rsidP="007E2B6C">
      <w:pPr>
        <w:spacing w:after="0" w:line="240" w:lineRule="auto"/>
        <w:ind w:firstLine="709"/>
        <w:jc w:val="both"/>
        <w:rPr>
          <w:rFonts w:ascii="Cambria" w:hAnsi="Cambria" w:cs="Times New Roman"/>
          <w:sz w:val="21"/>
          <w:szCs w:val="21"/>
        </w:rPr>
      </w:pPr>
    </w:p>
    <w:p w14:paraId="449077A7" w14:textId="77777777" w:rsidR="007E2B6C" w:rsidRPr="007E2B6C" w:rsidRDefault="007E2B6C" w:rsidP="007E2B6C">
      <w:pPr>
        <w:tabs>
          <w:tab w:val="left" w:pos="0"/>
        </w:tabs>
        <w:spacing w:after="0" w:line="240" w:lineRule="auto"/>
        <w:jc w:val="both"/>
        <w:rPr>
          <w:rFonts w:ascii="Cambria" w:hAnsi="Cambria" w:cs="Times New Roman"/>
          <w:b/>
          <w:sz w:val="21"/>
          <w:szCs w:val="21"/>
        </w:rPr>
      </w:pPr>
    </w:p>
    <w:p w14:paraId="754B1D9A" w14:textId="77777777" w:rsidR="007E2B6C" w:rsidRPr="007E2B6C" w:rsidRDefault="007E2B6C" w:rsidP="007E2B6C">
      <w:pPr>
        <w:tabs>
          <w:tab w:val="left" w:pos="0"/>
        </w:tabs>
        <w:spacing w:after="0" w:line="240" w:lineRule="auto"/>
        <w:jc w:val="both"/>
        <w:rPr>
          <w:rFonts w:ascii="Cambria" w:hAnsi="Cambria" w:cs="Times New Roman"/>
          <w:b/>
          <w:sz w:val="21"/>
          <w:szCs w:val="21"/>
        </w:rPr>
      </w:pPr>
      <w:r w:rsidRPr="007E2B6C">
        <w:rPr>
          <w:rFonts w:ascii="Cambria" w:hAnsi="Cambria" w:cs="Times New Roman"/>
          <w:b/>
          <w:sz w:val="21"/>
          <w:szCs w:val="21"/>
        </w:rPr>
        <w:lastRenderedPageBreak/>
        <w:t>The Economic Value of Sumber Jaya Beach</w:t>
      </w:r>
    </w:p>
    <w:p w14:paraId="5DBB9847" w14:textId="77777777" w:rsidR="007E2B6C" w:rsidRPr="007E2B6C" w:rsidRDefault="007E2B6C" w:rsidP="007E2B6C">
      <w:pPr>
        <w:tabs>
          <w:tab w:val="left" w:pos="0"/>
        </w:tabs>
        <w:spacing w:line="240" w:lineRule="auto"/>
        <w:jc w:val="both"/>
        <w:rPr>
          <w:rFonts w:ascii="Cambria" w:hAnsi="Cambria" w:cs="Times New Roman"/>
          <w:sz w:val="21"/>
          <w:szCs w:val="21"/>
          <w:lang w:val="en-ID"/>
        </w:rPr>
      </w:pPr>
      <w:r w:rsidRPr="007E2B6C">
        <w:rPr>
          <w:rFonts w:ascii="Cambria" w:hAnsi="Cambria" w:cs="Times New Roman"/>
          <w:b/>
          <w:sz w:val="21"/>
          <w:szCs w:val="21"/>
        </w:rPr>
        <w:tab/>
      </w:r>
      <w:r w:rsidRPr="007E2B6C">
        <w:rPr>
          <w:rFonts w:ascii="Cambria" w:hAnsi="Cambria" w:cs="Times New Roman"/>
          <w:sz w:val="21"/>
          <w:szCs w:val="21"/>
          <w:lang w:val="en-ID"/>
        </w:rPr>
        <w:t>The regression results between the travel cost variable (X) and the number of visits variable (Y) have resulted in a visit request model described in Appendix 1.8. Then the model is used as an equation to produce a consumer surplus value. The equation can be seen in the equation below: </w:t>
      </w:r>
      <w:r w:rsidRPr="007E2B6C">
        <w:rPr>
          <w:rFonts w:ascii="Cambria" w:hAnsi="Cambria" w:cs="Times New Roman"/>
          <w:bCs/>
          <w:sz w:val="21"/>
          <w:szCs w:val="21"/>
          <w:lang w:val="en-ID"/>
        </w:rPr>
        <w:t>Y = -0.362 + 0.00003478</w:t>
      </w:r>
    </w:p>
    <w:p w14:paraId="00CDB4E3"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Furthermore, this equation generates consumer surplus value as economic value. An integral is used with an upper limit of Rp to produce the consumer surplus value per individual per year. 25</w:t>
      </w:r>
      <w:proofErr w:type="gramStart"/>
      <w:r w:rsidRPr="007E2B6C">
        <w:rPr>
          <w:rFonts w:ascii="Cambria" w:hAnsi="Cambria" w:cs="Times New Roman"/>
          <w:sz w:val="21"/>
          <w:szCs w:val="21"/>
          <w:lang w:val="en-ID"/>
        </w:rPr>
        <w:t>,000</w:t>
      </w:r>
      <w:proofErr w:type="gramEnd"/>
      <w:r w:rsidRPr="007E2B6C">
        <w:rPr>
          <w:rFonts w:ascii="Cambria" w:hAnsi="Cambria" w:cs="Times New Roman"/>
          <w:sz w:val="21"/>
          <w:szCs w:val="21"/>
          <w:lang w:val="en-ID"/>
        </w:rPr>
        <w:t xml:space="preserve">,- (consumption costs) as </w:t>
      </w:r>
      <w:r w:rsidRPr="007E2B6C">
        <w:rPr>
          <w:rFonts w:ascii="Cambria" w:hAnsi="Cambria" w:cs="Times New Roman"/>
          <w:sz w:val="21"/>
          <w:szCs w:val="21"/>
        </w:rPr>
        <w:t>P</w:t>
      </w:r>
      <w:r w:rsidRPr="007E2B6C">
        <w:rPr>
          <w:rFonts w:ascii="Cambria" w:hAnsi="Cambria" w:cs="Times New Roman"/>
          <w:sz w:val="21"/>
          <w:szCs w:val="21"/>
          <w:vertAlign w:val="superscript"/>
        </w:rPr>
        <w:t xml:space="preserve">1 </w:t>
      </w:r>
      <w:r w:rsidRPr="007E2B6C">
        <w:rPr>
          <w:rFonts w:ascii="Cambria" w:hAnsi="Cambria" w:cs="Times New Roman"/>
          <w:sz w:val="21"/>
          <w:szCs w:val="21"/>
          <w:lang w:val="en-ID"/>
        </w:rPr>
        <w:t xml:space="preserve">and a lower cost limit of Rp. 10,000, - (other costs) as </w:t>
      </w:r>
      <w:r w:rsidRPr="007E2B6C">
        <w:rPr>
          <w:rFonts w:ascii="Cambria" w:hAnsi="Cambria" w:cs="Times New Roman"/>
          <w:sz w:val="21"/>
          <w:szCs w:val="21"/>
        </w:rPr>
        <w:t>P</w:t>
      </w:r>
      <w:r w:rsidRPr="007E2B6C">
        <w:rPr>
          <w:rFonts w:ascii="Cambria" w:hAnsi="Cambria" w:cs="Times New Roman"/>
          <w:sz w:val="21"/>
          <w:szCs w:val="21"/>
          <w:vertAlign w:val="superscript"/>
        </w:rPr>
        <w:t>0</w:t>
      </w:r>
      <w:r w:rsidRPr="007E2B6C">
        <w:rPr>
          <w:rFonts w:ascii="Cambria" w:hAnsi="Cambria" w:cs="Times New Roman"/>
          <w:sz w:val="21"/>
          <w:szCs w:val="21"/>
          <w:lang w:val="en-ID"/>
        </w:rPr>
        <w:t>. Meanwhile, to calculate the value of consumer surplus, the following equation is used</w:t>
      </w:r>
      <w:r w:rsidRPr="007E2B6C">
        <w:rPr>
          <w:rFonts w:ascii="Cambria" w:hAnsi="Cambria" w:cs="Times New Roman"/>
          <w:sz w:val="21"/>
          <w:szCs w:val="21"/>
        </w:rPr>
        <w:t>:</w:t>
      </w:r>
    </w:p>
    <w:p w14:paraId="6EA11AD0" w14:textId="6B347015" w:rsidR="007E2B6C" w:rsidRPr="007E2B6C" w:rsidRDefault="009B3961" w:rsidP="007E2B6C">
      <w:pPr>
        <w:tabs>
          <w:tab w:val="left" w:pos="0"/>
        </w:tabs>
        <w:spacing w:after="0" w:line="240" w:lineRule="auto"/>
        <w:jc w:val="both"/>
        <w:rPr>
          <w:rFonts w:ascii="Cambria" w:hAnsi="Cambria" w:cs="Times New Roman"/>
          <w:sz w:val="21"/>
          <w:szCs w:val="21"/>
        </w:rPr>
      </w:pPr>
      <m:oMathPara>
        <m:oMath>
          <m:nary>
            <m:naryPr>
              <m:limLoc m:val="subSup"/>
              <m:ctrlPr>
                <w:rPr>
                  <w:rFonts w:ascii="Cambria Math" w:hAnsi="Cambria Math" w:cs="Times New Roman"/>
                  <w:i/>
                  <w:sz w:val="21"/>
                  <w:szCs w:val="21"/>
                </w:rPr>
              </m:ctrlPr>
            </m:naryPr>
            <m:sub>
              <m:r>
                <w:rPr>
                  <w:rFonts w:ascii="Cambria Math" w:hAnsi="Cambria Math" w:cs="Times New Roman"/>
                  <w:sz w:val="21"/>
                  <w:szCs w:val="21"/>
                </w:rPr>
                <m:t>10.000</m:t>
              </m:r>
            </m:sub>
            <m:sup>
              <m:r>
                <w:rPr>
                  <w:rFonts w:ascii="Cambria Math" w:hAnsi="Cambria Math" w:cs="Times New Roman"/>
                  <w:sz w:val="21"/>
                  <w:szCs w:val="21"/>
                </w:rPr>
                <m:t>25.000</m:t>
              </m:r>
            </m:sup>
            <m:e>
              <m:d>
                <m:dPr>
                  <m:ctrlPr>
                    <w:rPr>
                      <w:rFonts w:ascii="Cambria Math" w:hAnsi="Cambria Math" w:cs="Times New Roman"/>
                      <w:i/>
                      <w:sz w:val="21"/>
                      <w:szCs w:val="21"/>
                    </w:rPr>
                  </m:ctrlPr>
                </m:dPr>
                <m:e>
                  <m:r>
                    <w:rPr>
                      <w:rFonts w:ascii="Cambria Math" w:hAnsi="Cambria Math" w:cs="Times New Roman"/>
                      <w:sz w:val="21"/>
                      <w:szCs w:val="21"/>
                    </w:rPr>
                    <m:t>-0,362+0,00003478p</m:t>
                  </m:r>
                </m:e>
              </m:d>
              <m:r>
                <w:rPr>
                  <w:rFonts w:ascii="Cambria Math" w:hAnsi="Cambria Math" w:cs="Times New Roman"/>
                  <w:sz w:val="21"/>
                  <w:szCs w:val="21"/>
                </w:rPr>
                <m:t>dp</m:t>
              </m:r>
            </m:e>
          </m:nary>
        </m:oMath>
      </m:oMathPara>
    </w:p>
    <w:p w14:paraId="358EA02A" w14:textId="77777777" w:rsidR="007E2B6C" w:rsidRPr="007E2B6C" w:rsidRDefault="007E2B6C" w:rsidP="007E2B6C">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ab/>
        <w:t xml:space="preserve">From the calculation results, the consumer surplus value per individual per year is Rp. 12,545.50 or Rp. 6,272.75 per individual per one visit. Visitors who come to the location of Sumber Jaya Beach are an average of 2 visitors per visit. The regional economic value is obtained by multiplying the consumer surplus value by the average annual visit. Therefore, the economic value obtained is Rp. 8,480,758 - per year. </w:t>
      </w:r>
    </w:p>
    <w:p w14:paraId="3BA34133" w14:textId="77777777" w:rsidR="007E2B6C" w:rsidRPr="007E2B6C" w:rsidRDefault="007E2B6C" w:rsidP="007E2B6C">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 xml:space="preserve">           Visitors found at this location and can be used as research respondents are divided into six zones: Kudamati, Amahusu, Air Salobar, Wainitu, Waihaong, and Mangga Dua. According to the results of interviews obtained, in general, visitors to this location carry out swimming tourism activities because they are supported by artificial seawater pools surrounded by seawater, photography activities, and fishing activities, because there are boats that can be rented for Rp. 10,000,- one-time use. </w:t>
      </w:r>
    </w:p>
    <w:p w14:paraId="0109287C" w14:textId="77777777" w:rsidR="007E2B6C" w:rsidRPr="007E2B6C" w:rsidRDefault="007E2B6C" w:rsidP="007E2B6C">
      <w:pPr>
        <w:tabs>
          <w:tab w:val="left" w:pos="0"/>
        </w:tabs>
        <w:spacing w:after="0" w:line="240" w:lineRule="auto"/>
        <w:jc w:val="both"/>
        <w:rPr>
          <w:rFonts w:ascii="Cambria" w:hAnsi="Cambria" w:cs="Times New Roman"/>
          <w:b/>
          <w:sz w:val="21"/>
          <w:szCs w:val="21"/>
        </w:rPr>
      </w:pPr>
    </w:p>
    <w:p w14:paraId="0273D28D" w14:textId="77777777" w:rsidR="007E2B6C" w:rsidRPr="007E2B6C" w:rsidRDefault="007E2B6C" w:rsidP="007E2B6C">
      <w:pPr>
        <w:tabs>
          <w:tab w:val="left" w:pos="0"/>
        </w:tabs>
        <w:spacing w:after="0" w:line="240" w:lineRule="auto"/>
        <w:jc w:val="both"/>
        <w:rPr>
          <w:rFonts w:ascii="Cambria" w:hAnsi="Cambria" w:cs="Times New Roman"/>
          <w:b/>
          <w:sz w:val="21"/>
          <w:szCs w:val="21"/>
        </w:rPr>
      </w:pPr>
      <w:r w:rsidRPr="007E2B6C">
        <w:rPr>
          <w:rFonts w:ascii="Cambria" w:hAnsi="Cambria" w:cs="Times New Roman"/>
          <w:b/>
          <w:sz w:val="21"/>
          <w:szCs w:val="21"/>
        </w:rPr>
        <w:t>Economic Value of Tanjung Batu Konde Beach</w:t>
      </w:r>
    </w:p>
    <w:p w14:paraId="30611363" w14:textId="77777777" w:rsidR="007E2B6C" w:rsidRPr="007E2B6C" w:rsidRDefault="007E2B6C" w:rsidP="007E2B6C">
      <w:pPr>
        <w:tabs>
          <w:tab w:val="left" w:pos="0"/>
        </w:tabs>
        <w:spacing w:line="240" w:lineRule="auto"/>
        <w:jc w:val="both"/>
        <w:rPr>
          <w:rFonts w:ascii="Cambria" w:hAnsi="Cambria" w:cs="Times New Roman"/>
          <w:sz w:val="21"/>
          <w:szCs w:val="21"/>
          <w:lang w:val="en-ID"/>
        </w:rPr>
      </w:pPr>
      <w:r w:rsidRPr="007E2B6C">
        <w:rPr>
          <w:rFonts w:ascii="Cambria" w:hAnsi="Cambria" w:cs="Times New Roman"/>
          <w:b/>
          <w:sz w:val="21"/>
          <w:szCs w:val="21"/>
        </w:rPr>
        <w:tab/>
      </w:r>
      <w:r w:rsidRPr="007E2B6C">
        <w:rPr>
          <w:rFonts w:ascii="Cambria" w:hAnsi="Cambria" w:cs="Times New Roman"/>
          <w:sz w:val="21"/>
          <w:szCs w:val="21"/>
          <w:lang w:val="en-ID"/>
        </w:rPr>
        <w:t>The regression results between the variable number of visits (Y) and the variable cost of travel (X) produce a visit demand model. Then, the model is used as an equation to produce a consumer surplus value. The equation can be seen in the equation below:</w:t>
      </w:r>
    </w:p>
    <w:p w14:paraId="17317E3C"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b/>
          <w:bCs/>
          <w:sz w:val="21"/>
          <w:szCs w:val="21"/>
          <w:lang w:val="en-ID"/>
        </w:rPr>
        <w:t>Y = 5.953 + 0.000</w:t>
      </w:r>
    </w:p>
    <w:p w14:paraId="60C46FEE" w14:textId="77777777" w:rsidR="007E2B6C" w:rsidRPr="007E2B6C" w:rsidRDefault="007E2B6C" w:rsidP="007E2B6C">
      <w:pPr>
        <w:tabs>
          <w:tab w:val="left" w:pos="0"/>
        </w:tabs>
        <w:spacing w:after="0" w:line="240" w:lineRule="auto"/>
        <w:jc w:val="both"/>
        <w:rPr>
          <w:rFonts w:ascii="Cambria" w:hAnsi="Cambria" w:cs="Times New Roman"/>
          <w:sz w:val="21"/>
          <w:szCs w:val="21"/>
          <w:lang w:val="en-ID"/>
        </w:rPr>
      </w:pPr>
      <w:r w:rsidRPr="007E2B6C">
        <w:rPr>
          <w:rFonts w:ascii="Cambria" w:hAnsi="Cambria" w:cs="Times New Roman"/>
          <w:sz w:val="21"/>
          <w:szCs w:val="21"/>
          <w:lang w:val="en-ID"/>
        </w:rPr>
        <w:t>Furthermore, this equation was used to generate consumer surplus value as an economic value. The upper-bounded integral of Rp.25</w:t>
      </w:r>
      <w:proofErr w:type="gramStart"/>
      <w:r w:rsidRPr="007E2B6C">
        <w:rPr>
          <w:rFonts w:ascii="Cambria" w:hAnsi="Cambria" w:cs="Times New Roman"/>
          <w:sz w:val="21"/>
          <w:szCs w:val="21"/>
          <w:lang w:val="en-ID"/>
        </w:rPr>
        <w:t>,000</w:t>
      </w:r>
      <w:proofErr w:type="gramEnd"/>
      <w:r w:rsidRPr="007E2B6C">
        <w:rPr>
          <w:rFonts w:ascii="Cambria" w:hAnsi="Cambria" w:cs="Times New Roman"/>
          <w:sz w:val="21"/>
          <w:szCs w:val="21"/>
          <w:lang w:val="en-ID"/>
        </w:rPr>
        <w:t xml:space="preserve">- (consumption costs) is used as </w:t>
      </w:r>
      <w:r w:rsidRPr="007E2B6C">
        <w:rPr>
          <w:rFonts w:ascii="Cambria" w:hAnsi="Cambria" w:cs="Times New Roman"/>
          <w:sz w:val="21"/>
          <w:szCs w:val="21"/>
        </w:rPr>
        <w:t>P</w:t>
      </w:r>
      <w:r w:rsidRPr="007E2B6C">
        <w:rPr>
          <w:rFonts w:ascii="Cambria" w:hAnsi="Cambria" w:cs="Times New Roman"/>
          <w:sz w:val="21"/>
          <w:szCs w:val="21"/>
          <w:vertAlign w:val="superscript"/>
        </w:rPr>
        <w:t xml:space="preserve">1 </w:t>
      </w:r>
      <w:r w:rsidRPr="007E2B6C">
        <w:rPr>
          <w:rFonts w:ascii="Cambria" w:hAnsi="Cambria" w:cs="Times New Roman"/>
          <w:sz w:val="21"/>
          <w:szCs w:val="21"/>
          <w:lang w:val="en-ID"/>
        </w:rPr>
        <w:t xml:space="preserve">and the lowest cost is Rp.10,000- (other costs) as </w:t>
      </w:r>
      <w:r w:rsidRPr="007E2B6C">
        <w:rPr>
          <w:rFonts w:ascii="Cambria" w:hAnsi="Cambria" w:cs="Times New Roman"/>
          <w:sz w:val="21"/>
          <w:szCs w:val="21"/>
        </w:rPr>
        <w:t>P</w:t>
      </w:r>
      <w:r w:rsidRPr="007E2B6C">
        <w:rPr>
          <w:rFonts w:ascii="Cambria" w:hAnsi="Cambria" w:cs="Times New Roman"/>
          <w:sz w:val="21"/>
          <w:szCs w:val="21"/>
          <w:vertAlign w:val="superscript"/>
        </w:rPr>
        <w:t>0</w:t>
      </w:r>
      <w:r w:rsidRPr="007E2B6C">
        <w:rPr>
          <w:rFonts w:ascii="Cambria" w:hAnsi="Cambria" w:cs="Times New Roman"/>
          <w:sz w:val="21"/>
          <w:szCs w:val="21"/>
          <w:lang w:val="en-ID"/>
        </w:rPr>
        <w:t xml:space="preserve"> to produce the consumer surplus value per individual per year. Meanwhile, to calculate the value of consumer surplus, the following equation is used</w:t>
      </w:r>
      <w:r w:rsidRPr="007E2B6C">
        <w:rPr>
          <w:rFonts w:ascii="Cambria" w:hAnsi="Cambria" w:cs="Times New Roman"/>
          <w:sz w:val="21"/>
          <w:szCs w:val="21"/>
        </w:rPr>
        <w:t>:</w:t>
      </w:r>
    </w:p>
    <w:p w14:paraId="6B06D6C6" w14:textId="7BD831FF" w:rsidR="007E2B6C" w:rsidRPr="007E2B6C" w:rsidRDefault="009B3961" w:rsidP="007E2B6C">
      <w:pPr>
        <w:spacing w:after="0" w:line="240" w:lineRule="auto"/>
        <w:ind w:firstLine="709"/>
        <w:jc w:val="both"/>
        <w:rPr>
          <w:rFonts w:ascii="Cambria" w:eastAsia="Cambria Math" w:hAnsi="Cambria" w:cs="Cambria Math"/>
          <w:sz w:val="21"/>
          <w:szCs w:val="21"/>
          <w:lang w:val="id-ID"/>
        </w:rPr>
      </w:pPr>
      <m:oMathPara>
        <m:oMath>
          <m:nary>
            <m:naryPr>
              <m:limLoc m:val="subSup"/>
              <m:ctrlPr>
                <w:rPr>
                  <w:rFonts w:ascii="Cambria Math" w:eastAsia="Cambria Math" w:hAnsi="Cambria Math" w:cs="Cambria Math"/>
                  <w:i/>
                  <w:sz w:val="21"/>
                  <w:szCs w:val="21"/>
                  <w:lang w:val="id-ID"/>
                </w:rPr>
              </m:ctrlPr>
            </m:naryPr>
            <m:sub>
              <m:r>
                <w:rPr>
                  <w:rFonts w:ascii="Cambria Math" w:eastAsia="Cambria Math" w:hAnsi="Cambria Math" w:cs="Cambria Math"/>
                  <w:sz w:val="21"/>
                  <w:szCs w:val="21"/>
                  <w:lang w:val="id-ID"/>
                </w:rPr>
                <m:t>10.000</m:t>
              </m:r>
            </m:sub>
            <m:sup>
              <m:r>
                <w:rPr>
                  <w:rFonts w:ascii="Cambria Math" w:eastAsia="Cambria Math" w:hAnsi="Cambria Math" w:cs="Cambria Math"/>
                  <w:sz w:val="21"/>
                  <w:szCs w:val="21"/>
                  <w:lang w:val="id-ID"/>
                </w:rPr>
                <m:t>25.000</m:t>
              </m:r>
            </m:sup>
            <m:e>
              <m:d>
                <m:dPr>
                  <m:ctrlPr>
                    <w:rPr>
                      <w:rFonts w:ascii="Cambria Math" w:eastAsia="Cambria Math" w:hAnsi="Cambria Math" w:cs="Cambria Math"/>
                      <w:i/>
                      <w:sz w:val="21"/>
                      <w:szCs w:val="21"/>
                      <w:lang w:val="id-ID"/>
                    </w:rPr>
                  </m:ctrlPr>
                </m:dPr>
                <m:e>
                  <m:r>
                    <w:rPr>
                      <w:rFonts w:ascii="Cambria Math" w:eastAsia="Cambria Math" w:hAnsi="Cambria Math" w:cs="Cambria Math"/>
                      <w:sz w:val="21"/>
                      <w:szCs w:val="21"/>
                      <w:lang w:val="id-ID"/>
                    </w:rPr>
                    <m:t>5,935+0,000p</m:t>
                  </m:r>
                </m:e>
              </m:d>
              <m:r>
                <w:rPr>
                  <w:rFonts w:ascii="Cambria Math" w:eastAsia="Cambria Math" w:hAnsi="Cambria Math" w:cs="Cambria Math"/>
                  <w:sz w:val="21"/>
                  <w:szCs w:val="21"/>
                  <w:lang w:val="id-ID"/>
                </w:rPr>
                <m:t>dp</m:t>
              </m:r>
            </m:e>
          </m:nary>
        </m:oMath>
      </m:oMathPara>
    </w:p>
    <w:p w14:paraId="006A578E" w14:textId="77777777" w:rsidR="007E2B6C" w:rsidRPr="007E2B6C" w:rsidRDefault="007E2B6C" w:rsidP="007E2B6C">
      <w:pPr>
        <w:spacing w:after="0" w:line="240" w:lineRule="auto"/>
        <w:ind w:firstLine="709"/>
        <w:jc w:val="both"/>
        <w:rPr>
          <w:rFonts w:ascii="Cambria" w:hAnsi="Cambria" w:cs="Times New Roman"/>
          <w:sz w:val="21"/>
          <w:szCs w:val="21"/>
          <w:lang w:val="en-ID"/>
        </w:rPr>
      </w:pPr>
      <w:r w:rsidRPr="007E2B6C">
        <w:rPr>
          <w:rFonts w:ascii="Cambria" w:hAnsi="Cambria" w:cs="Times New Roman"/>
          <w:sz w:val="21"/>
          <w:szCs w:val="21"/>
          <w:lang w:val="en-ID"/>
        </w:rPr>
        <w:t>The calculation results show that the consumer surplus value per individual per year is Rp. 208</w:t>
      </w:r>
      <w:proofErr w:type="gramStart"/>
      <w:r w:rsidRPr="007E2B6C">
        <w:rPr>
          <w:rFonts w:ascii="Cambria" w:hAnsi="Cambria" w:cs="Times New Roman"/>
          <w:sz w:val="21"/>
          <w:szCs w:val="21"/>
          <w:lang w:val="en-ID"/>
        </w:rPr>
        <w:t>,355</w:t>
      </w:r>
      <w:proofErr w:type="gramEnd"/>
      <w:r w:rsidRPr="007E2B6C">
        <w:rPr>
          <w:rFonts w:ascii="Cambria" w:hAnsi="Cambria" w:cs="Times New Roman"/>
          <w:sz w:val="21"/>
          <w:szCs w:val="21"/>
          <w:lang w:val="en-ID"/>
        </w:rPr>
        <w:t>,- or Rp. 41,671- per individual per one visit. Visitors who come to the Tanjung Batu Konde Beach location are an average of 5 visitors per visit. The regional economic value is obtained by multiplying the consumer surplus value by the average annual visit. Therefore, the economic value of Rp 352,033,800 per year is obtained.</w:t>
      </w:r>
    </w:p>
    <w:p w14:paraId="0AAD8C2D" w14:textId="77777777" w:rsidR="007E2B6C" w:rsidRPr="007E2B6C" w:rsidRDefault="007E2B6C" w:rsidP="007E2B6C">
      <w:pPr>
        <w:spacing w:after="0" w:line="240" w:lineRule="auto"/>
        <w:ind w:firstLine="709"/>
        <w:jc w:val="both"/>
        <w:rPr>
          <w:rFonts w:ascii="Cambria" w:hAnsi="Cambria" w:cs="Times New Roman"/>
          <w:sz w:val="21"/>
          <w:szCs w:val="21"/>
          <w:lang w:val="en-ID"/>
        </w:rPr>
      </w:pPr>
      <w:r w:rsidRPr="007E2B6C">
        <w:rPr>
          <w:rFonts w:ascii="Cambria" w:hAnsi="Cambria" w:cs="Times New Roman"/>
          <w:sz w:val="21"/>
          <w:szCs w:val="21"/>
          <w:lang w:val="en-ID"/>
        </w:rPr>
        <w:t> Visitors met when this research was conducted at the Tanjung Batu Konde tourist location, divided into several zones, namely Kudamati, Amahusu, Air Salobar, Galala, Poka, and Benteng. Respondents who are visitors to this tourist location inform their purpose of traveling to this place: enjoy the natural beauty, enjoy </w:t>
      </w:r>
      <w:r w:rsidRPr="007E2B6C">
        <w:rPr>
          <w:rFonts w:ascii="Cambria" w:hAnsi="Cambria" w:cs="Times New Roman"/>
          <w:i/>
          <w:iCs/>
          <w:sz w:val="21"/>
          <w:szCs w:val="21"/>
          <w:lang w:val="en-ID"/>
        </w:rPr>
        <w:t>sunsets</w:t>
      </w:r>
      <w:r w:rsidRPr="007E2B6C">
        <w:rPr>
          <w:rFonts w:ascii="Cambria" w:hAnsi="Cambria" w:cs="Times New Roman"/>
          <w:sz w:val="21"/>
          <w:szCs w:val="21"/>
          <w:lang w:val="en-ID"/>
        </w:rPr>
        <w:t>, relax, fish, and more. However, at this tourist location, visitors cannot do swimming activities. It is not supported because the ecological structure of the beach is filled with sharp corals.</w:t>
      </w:r>
    </w:p>
    <w:p w14:paraId="3EE7468F" w14:textId="77777777" w:rsidR="007E2B6C" w:rsidRPr="007E2B6C" w:rsidRDefault="007E2B6C" w:rsidP="007E2B6C">
      <w:pPr>
        <w:spacing w:after="0" w:line="240" w:lineRule="auto"/>
        <w:ind w:firstLine="709"/>
        <w:jc w:val="both"/>
        <w:rPr>
          <w:rFonts w:ascii="Cambria" w:hAnsi="Cambria" w:cs="Times New Roman"/>
          <w:sz w:val="21"/>
          <w:szCs w:val="21"/>
          <w:lang w:val="en-ID"/>
        </w:rPr>
      </w:pPr>
      <w:r w:rsidRPr="007E2B6C">
        <w:rPr>
          <w:rFonts w:ascii="Cambria" w:hAnsi="Cambria" w:cs="Times New Roman"/>
          <w:sz w:val="21"/>
          <w:szCs w:val="21"/>
          <w:lang w:val="en-ID"/>
        </w:rPr>
        <w:t xml:space="preserve">Traveling to Tanjung Batu Konde or another name Tanjung Latuhalat offers different tastes and tastes for tourism lovers who are looking for tranquility accompanied by coolness. It is due to the natural nuances offered at the location. It is different from other tourist spots. At this </w:t>
      </w:r>
      <w:r w:rsidRPr="007E2B6C">
        <w:rPr>
          <w:rFonts w:ascii="Cambria" w:hAnsi="Cambria" w:cs="Times New Roman"/>
          <w:sz w:val="21"/>
          <w:szCs w:val="21"/>
          <w:lang w:val="en-ID"/>
        </w:rPr>
        <w:lastRenderedPageBreak/>
        <w:t xml:space="preserve">location, the option to swim is not possible, so the presence of crowded, bustling, congested, and full-view conditions is also relatively almost non-existent. Traveling to a tourist attraction is one of the contemporary tourism options, namely a tour that can release boredom after the body, mind, and soul have worked hard by sitting under the shady palm trees and accompanied by coconut water to quench the thirst. Consequently, comfort is a guarantee that visitors will enjoy it. If the visitors want to feel the sincere gust of the west wind, having little guts to stand on the edge of the rock, precisely on the mythical rock of Batu Konde, spread their hands wide, </w:t>
      </w:r>
      <w:proofErr w:type="gramStart"/>
      <w:r w:rsidRPr="007E2B6C">
        <w:rPr>
          <w:rFonts w:ascii="Cambria" w:hAnsi="Cambria" w:cs="Times New Roman"/>
          <w:sz w:val="21"/>
          <w:szCs w:val="21"/>
          <w:lang w:val="en-ID"/>
        </w:rPr>
        <w:t>close</w:t>
      </w:r>
      <w:proofErr w:type="gramEnd"/>
      <w:r w:rsidRPr="007E2B6C">
        <w:rPr>
          <w:rFonts w:ascii="Cambria" w:hAnsi="Cambria" w:cs="Times New Roman"/>
          <w:sz w:val="21"/>
          <w:szCs w:val="21"/>
          <w:lang w:val="en-ID"/>
        </w:rPr>
        <w:t xml:space="preserve"> their eyes, and turn their faces towards the sky. The visitors will feel and enjoy this object. Tanjung Batu Konde also offers historical tourism, classified as cultural tourism. Historical tours can be found at this location, namely the history of Konde stones and the history of giant footprints. In order to be clearer and more accurate, stories can only be obtained from residents or the people of Latuhalat </w:t>
      </w:r>
      <w:r w:rsidRPr="007E2B6C">
        <w:rPr>
          <w:rFonts w:ascii="Cambria" w:hAnsi="Cambria" w:cs="Times New Roman"/>
          <w:i/>
          <w:iCs/>
          <w:sz w:val="21"/>
          <w:szCs w:val="21"/>
          <w:lang w:val="en-ID"/>
        </w:rPr>
        <w:t>Negeri</w:t>
      </w:r>
      <w:r w:rsidRPr="007E2B6C">
        <w:rPr>
          <w:rFonts w:ascii="Cambria" w:hAnsi="Cambria" w:cs="Times New Roman"/>
          <w:sz w:val="21"/>
          <w:szCs w:val="21"/>
          <w:lang w:val="en-ID"/>
        </w:rPr>
        <w:t>.</w:t>
      </w:r>
    </w:p>
    <w:p w14:paraId="498AA15F" w14:textId="77777777" w:rsidR="007E2B6C" w:rsidRPr="007E2B6C" w:rsidRDefault="007E2B6C" w:rsidP="007E2B6C">
      <w:pPr>
        <w:spacing w:after="0" w:line="240" w:lineRule="auto"/>
        <w:ind w:firstLine="709"/>
        <w:jc w:val="both"/>
        <w:rPr>
          <w:rFonts w:ascii="Cambria" w:hAnsi="Cambria" w:cs="Times New Roman"/>
          <w:sz w:val="21"/>
          <w:szCs w:val="21"/>
          <w:lang w:val="en-ID"/>
        </w:rPr>
      </w:pPr>
      <w:r w:rsidRPr="007E2B6C">
        <w:rPr>
          <w:rFonts w:ascii="Cambria" w:hAnsi="Cambria" w:cs="Times New Roman"/>
          <w:sz w:val="21"/>
          <w:szCs w:val="21"/>
          <w:lang w:val="en-ID"/>
        </w:rPr>
        <w:t>The offers of tourist attraction objects and the structure of natural functions in Tanjung Batu Konde are very supportive for managing this tourist location so that it can be more developed. The management of tourist attractions in this location has not developed and is well structured because supporting facilities look dull and not well maintained. It urgently needs to be addressed. The projection of the total economic value obtained based on the results of calculations on the willingness of visitors to spend at this tourist location is greater than in other tourist locations. The total economic value obtained from the Tanjung Batu Konde location is three hundred and fifty million rupiahs, so it is very important. It is very feasible if the location becomes a priority for developing tourism potential in Ambon City. </w:t>
      </w:r>
    </w:p>
    <w:p w14:paraId="665D8B55" w14:textId="77777777" w:rsidR="007E2B6C" w:rsidRPr="007E2B6C" w:rsidRDefault="007E2B6C" w:rsidP="007E2B6C">
      <w:pPr>
        <w:spacing w:after="0" w:line="240" w:lineRule="auto"/>
        <w:ind w:firstLine="709"/>
        <w:jc w:val="both"/>
        <w:rPr>
          <w:rFonts w:ascii="Cambria" w:hAnsi="Cambria" w:cs="Times New Roman"/>
          <w:sz w:val="21"/>
          <w:szCs w:val="21"/>
          <w:lang w:val="en-ID"/>
        </w:rPr>
      </w:pPr>
      <w:r w:rsidRPr="007E2B6C">
        <w:rPr>
          <w:rFonts w:ascii="Cambria" w:hAnsi="Cambria" w:cs="Times New Roman"/>
          <w:sz w:val="21"/>
          <w:szCs w:val="21"/>
          <w:lang w:val="en-ID"/>
        </w:rPr>
        <w:t xml:space="preserve">The summary of the regression results between the number of visits variable (Y) and the travel cost variable (X) of the entire research object location to produce a visit demand model, which will be used as an equation to generate consumer surplus values </w:t>
      </w:r>
      <w:r w:rsidRPr="007E2B6C">
        <w:rPr>
          <w:rFonts w:ascii="Cambria" w:hAnsi="Cambria"/>
          <w:sz w:val="21"/>
          <w:szCs w:val="21"/>
          <w:lang w:val="en-ID"/>
        </w:rPr>
        <w:t>​​</w:t>
      </w:r>
      <w:r w:rsidRPr="007E2B6C">
        <w:rPr>
          <w:rFonts w:ascii="Cambria" w:hAnsi="Cambria" w:cs="Times New Roman"/>
          <w:sz w:val="21"/>
          <w:szCs w:val="21"/>
          <w:lang w:val="en-ID"/>
        </w:rPr>
        <w:t>can be seen in the table below</w:t>
      </w:r>
      <w:r w:rsidRPr="007E2B6C">
        <w:rPr>
          <w:rFonts w:ascii="Cambria" w:hAnsi="Cambria" w:cs="Times New Roman"/>
          <w:sz w:val="21"/>
          <w:szCs w:val="21"/>
        </w:rPr>
        <w:t xml:space="preserve">. </w:t>
      </w:r>
    </w:p>
    <w:p w14:paraId="3B67E6AA" w14:textId="6912DB14" w:rsidR="007E2B6C" w:rsidRPr="007E2B6C" w:rsidRDefault="007E2B6C" w:rsidP="00B06175">
      <w:pPr>
        <w:spacing w:after="0" w:line="240" w:lineRule="auto"/>
        <w:jc w:val="center"/>
        <w:rPr>
          <w:rFonts w:ascii="Cambria" w:hAnsi="Cambria" w:cs="Times New Roman"/>
          <w:sz w:val="21"/>
          <w:szCs w:val="21"/>
        </w:rPr>
      </w:pPr>
      <w:proofErr w:type="gramStart"/>
      <w:r w:rsidRPr="007E2B6C">
        <w:rPr>
          <w:rFonts w:ascii="Cambria" w:hAnsi="Cambria" w:cs="Times New Roman"/>
          <w:sz w:val="21"/>
          <w:szCs w:val="21"/>
        </w:rPr>
        <w:t>Table 4</w:t>
      </w:r>
      <w:r w:rsidR="00B06175">
        <w:rPr>
          <w:rFonts w:ascii="Cambria" w:hAnsi="Cambria" w:cs="Times New Roman"/>
          <w:sz w:val="21"/>
          <w:szCs w:val="21"/>
        </w:rPr>
        <w:t>.</w:t>
      </w:r>
      <w:proofErr w:type="gramEnd"/>
      <w:r w:rsidR="00B06175">
        <w:rPr>
          <w:rFonts w:ascii="Cambria" w:hAnsi="Cambria" w:cs="Times New Roman"/>
          <w:sz w:val="21"/>
          <w:szCs w:val="21"/>
        </w:rPr>
        <w:t xml:space="preserve"> </w:t>
      </w:r>
      <w:r w:rsidRPr="007E2B6C">
        <w:rPr>
          <w:rFonts w:ascii="Cambria" w:hAnsi="Cambria" w:cs="Times New Roman"/>
          <w:sz w:val="21"/>
          <w:szCs w:val="21"/>
        </w:rPr>
        <w:t xml:space="preserve">Regression </w:t>
      </w:r>
      <w:r w:rsidR="00B06175" w:rsidRPr="007E2B6C">
        <w:rPr>
          <w:rFonts w:ascii="Cambria" w:hAnsi="Cambria" w:cs="Times New Roman"/>
          <w:sz w:val="21"/>
          <w:szCs w:val="21"/>
        </w:rPr>
        <w:t>Equations</w:t>
      </w:r>
    </w:p>
    <w:tbl>
      <w:tblPr>
        <w:tblW w:w="5472" w:type="dxa"/>
        <w:jc w:val="center"/>
        <w:tblInd w:w="-1644" w:type="dxa"/>
        <w:tblBorders>
          <w:top w:val="single" w:sz="4" w:space="0" w:color="auto"/>
          <w:bottom w:val="single" w:sz="4" w:space="0" w:color="auto"/>
          <w:insideH w:val="single" w:sz="4" w:space="0" w:color="auto"/>
        </w:tblBorders>
        <w:tblLook w:val="04A0" w:firstRow="1" w:lastRow="0" w:firstColumn="1" w:lastColumn="0" w:noHBand="0" w:noVBand="1"/>
      </w:tblPr>
      <w:tblGrid>
        <w:gridCol w:w="2454"/>
        <w:gridCol w:w="1417"/>
        <w:gridCol w:w="1601"/>
      </w:tblGrid>
      <w:tr w:rsidR="007E2B6C" w:rsidRPr="007E2B6C" w14:paraId="5788C304" w14:textId="77777777" w:rsidTr="00B06175">
        <w:trPr>
          <w:jc w:val="center"/>
        </w:trPr>
        <w:tc>
          <w:tcPr>
            <w:tcW w:w="2454" w:type="dxa"/>
            <w:tcBorders>
              <w:top w:val="single" w:sz="4" w:space="0" w:color="auto"/>
              <w:bottom w:val="single" w:sz="4" w:space="0" w:color="auto"/>
            </w:tcBorders>
            <w:shd w:val="clear" w:color="auto" w:fill="auto"/>
          </w:tcPr>
          <w:p w14:paraId="1C08CCB2"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Location</w:t>
            </w:r>
          </w:p>
        </w:tc>
        <w:tc>
          <w:tcPr>
            <w:tcW w:w="1417" w:type="dxa"/>
            <w:tcBorders>
              <w:top w:val="single" w:sz="4" w:space="0" w:color="auto"/>
              <w:bottom w:val="single" w:sz="4" w:space="0" w:color="auto"/>
            </w:tcBorders>
            <w:shd w:val="clear" w:color="auto" w:fill="auto"/>
          </w:tcPr>
          <w:p w14:paraId="18A18057"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α</w:t>
            </w:r>
          </w:p>
        </w:tc>
        <w:tc>
          <w:tcPr>
            <w:tcW w:w="1601" w:type="dxa"/>
            <w:tcBorders>
              <w:top w:val="single" w:sz="4" w:space="0" w:color="auto"/>
              <w:bottom w:val="single" w:sz="4" w:space="0" w:color="auto"/>
            </w:tcBorders>
            <w:shd w:val="clear" w:color="auto" w:fill="auto"/>
          </w:tcPr>
          <w:p w14:paraId="06C53B83"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β</w:t>
            </w:r>
          </w:p>
        </w:tc>
      </w:tr>
      <w:tr w:rsidR="007E2B6C" w:rsidRPr="007E2B6C" w14:paraId="63B37069" w14:textId="77777777" w:rsidTr="00194E23">
        <w:trPr>
          <w:jc w:val="center"/>
        </w:trPr>
        <w:tc>
          <w:tcPr>
            <w:tcW w:w="2454" w:type="dxa"/>
            <w:tcBorders>
              <w:bottom w:val="nil"/>
            </w:tcBorders>
            <w:shd w:val="clear" w:color="auto" w:fill="auto"/>
            <w:vAlign w:val="center"/>
          </w:tcPr>
          <w:p w14:paraId="34AE53A9"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Batu Capeu</w:t>
            </w:r>
          </w:p>
        </w:tc>
        <w:tc>
          <w:tcPr>
            <w:tcW w:w="1417" w:type="dxa"/>
            <w:tcBorders>
              <w:bottom w:val="nil"/>
            </w:tcBorders>
            <w:shd w:val="clear" w:color="auto" w:fill="auto"/>
            <w:vAlign w:val="center"/>
          </w:tcPr>
          <w:p w14:paraId="1ECC40C1"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3,089</w:t>
            </w:r>
          </w:p>
        </w:tc>
        <w:tc>
          <w:tcPr>
            <w:tcW w:w="1601" w:type="dxa"/>
            <w:tcBorders>
              <w:bottom w:val="nil"/>
            </w:tcBorders>
            <w:shd w:val="clear" w:color="auto" w:fill="auto"/>
            <w:vAlign w:val="center"/>
          </w:tcPr>
          <w:p w14:paraId="1CDCF519"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0,00007029</w:t>
            </w:r>
          </w:p>
        </w:tc>
      </w:tr>
      <w:tr w:rsidR="007E2B6C" w:rsidRPr="007E2B6C" w14:paraId="4453B9D1" w14:textId="77777777" w:rsidTr="00194E23">
        <w:trPr>
          <w:jc w:val="center"/>
        </w:trPr>
        <w:tc>
          <w:tcPr>
            <w:tcW w:w="2454" w:type="dxa"/>
            <w:tcBorders>
              <w:top w:val="nil"/>
              <w:bottom w:val="nil"/>
            </w:tcBorders>
            <w:shd w:val="clear" w:color="auto" w:fill="auto"/>
            <w:vAlign w:val="center"/>
          </w:tcPr>
          <w:p w14:paraId="75EC4C0D"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Batu Lubang</w:t>
            </w:r>
          </w:p>
        </w:tc>
        <w:tc>
          <w:tcPr>
            <w:tcW w:w="1417" w:type="dxa"/>
            <w:tcBorders>
              <w:top w:val="nil"/>
              <w:bottom w:val="nil"/>
            </w:tcBorders>
            <w:shd w:val="clear" w:color="auto" w:fill="auto"/>
            <w:vAlign w:val="center"/>
          </w:tcPr>
          <w:p w14:paraId="052E7BBF"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4,263</w:t>
            </w:r>
          </w:p>
        </w:tc>
        <w:tc>
          <w:tcPr>
            <w:tcW w:w="1601" w:type="dxa"/>
            <w:tcBorders>
              <w:top w:val="nil"/>
              <w:bottom w:val="nil"/>
            </w:tcBorders>
            <w:shd w:val="clear" w:color="auto" w:fill="auto"/>
            <w:vAlign w:val="center"/>
          </w:tcPr>
          <w:p w14:paraId="634E0CF3"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-0,00005987</w:t>
            </w:r>
          </w:p>
        </w:tc>
      </w:tr>
      <w:tr w:rsidR="007E2B6C" w:rsidRPr="007E2B6C" w14:paraId="5246A8C1" w14:textId="77777777" w:rsidTr="00194E23">
        <w:trPr>
          <w:jc w:val="center"/>
        </w:trPr>
        <w:tc>
          <w:tcPr>
            <w:tcW w:w="2454" w:type="dxa"/>
            <w:tcBorders>
              <w:top w:val="nil"/>
              <w:bottom w:val="nil"/>
            </w:tcBorders>
            <w:shd w:val="clear" w:color="auto" w:fill="auto"/>
            <w:vAlign w:val="center"/>
          </w:tcPr>
          <w:p w14:paraId="5B0C6436"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Pantai Waititei</w:t>
            </w:r>
          </w:p>
        </w:tc>
        <w:tc>
          <w:tcPr>
            <w:tcW w:w="1417" w:type="dxa"/>
            <w:tcBorders>
              <w:top w:val="nil"/>
              <w:bottom w:val="nil"/>
            </w:tcBorders>
            <w:shd w:val="clear" w:color="auto" w:fill="auto"/>
            <w:vAlign w:val="center"/>
          </w:tcPr>
          <w:p w14:paraId="056D4AEE"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3,452</w:t>
            </w:r>
          </w:p>
        </w:tc>
        <w:tc>
          <w:tcPr>
            <w:tcW w:w="1601" w:type="dxa"/>
            <w:tcBorders>
              <w:top w:val="nil"/>
              <w:bottom w:val="nil"/>
            </w:tcBorders>
            <w:shd w:val="clear" w:color="auto" w:fill="auto"/>
            <w:vAlign w:val="center"/>
          </w:tcPr>
          <w:p w14:paraId="4CE041BC"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-0,00004869</w:t>
            </w:r>
          </w:p>
        </w:tc>
      </w:tr>
      <w:tr w:rsidR="007E2B6C" w:rsidRPr="007E2B6C" w14:paraId="66A1ABF2" w14:textId="77777777" w:rsidTr="00194E23">
        <w:trPr>
          <w:jc w:val="center"/>
        </w:trPr>
        <w:tc>
          <w:tcPr>
            <w:tcW w:w="2454" w:type="dxa"/>
            <w:tcBorders>
              <w:top w:val="nil"/>
              <w:bottom w:val="nil"/>
            </w:tcBorders>
            <w:shd w:val="clear" w:color="auto" w:fill="auto"/>
            <w:vAlign w:val="center"/>
          </w:tcPr>
          <w:p w14:paraId="7BC4DDAF"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Pintu Kota</w:t>
            </w:r>
          </w:p>
        </w:tc>
        <w:tc>
          <w:tcPr>
            <w:tcW w:w="1417" w:type="dxa"/>
            <w:tcBorders>
              <w:top w:val="nil"/>
              <w:bottom w:val="nil"/>
            </w:tcBorders>
            <w:shd w:val="clear" w:color="auto" w:fill="auto"/>
            <w:vAlign w:val="center"/>
          </w:tcPr>
          <w:p w14:paraId="4A798027"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3,661</w:t>
            </w:r>
          </w:p>
        </w:tc>
        <w:tc>
          <w:tcPr>
            <w:tcW w:w="1601" w:type="dxa"/>
            <w:tcBorders>
              <w:top w:val="nil"/>
              <w:bottom w:val="nil"/>
            </w:tcBorders>
            <w:shd w:val="clear" w:color="auto" w:fill="auto"/>
            <w:vAlign w:val="center"/>
          </w:tcPr>
          <w:p w14:paraId="3236427E"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-0,00004158</w:t>
            </w:r>
          </w:p>
        </w:tc>
      </w:tr>
      <w:tr w:rsidR="007E2B6C" w:rsidRPr="007E2B6C" w14:paraId="5D7F3846" w14:textId="77777777" w:rsidTr="00194E23">
        <w:trPr>
          <w:jc w:val="center"/>
        </w:trPr>
        <w:tc>
          <w:tcPr>
            <w:tcW w:w="2454" w:type="dxa"/>
            <w:tcBorders>
              <w:top w:val="nil"/>
              <w:bottom w:val="nil"/>
            </w:tcBorders>
            <w:shd w:val="clear" w:color="auto" w:fill="auto"/>
            <w:vAlign w:val="center"/>
          </w:tcPr>
          <w:p w14:paraId="634E4A63"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Felawatu</w:t>
            </w:r>
          </w:p>
        </w:tc>
        <w:tc>
          <w:tcPr>
            <w:tcW w:w="1417" w:type="dxa"/>
            <w:tcBorders>
              <w:top w:val="nil"/>
              <w:bottom w:val="nil"/>
            </w:tcBorders>
            <w:shd w:val="clear" w:color="auto" w:fill="auto"/>
            <w:vAlign w:val="center"/>
          </w:tcPr>
          <w:p w14:paraId="4D88B23F"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1,230</w:t>
            </w:r>
          </w:p>
        </w:tc>
        <w:tc>
          <w:tcPr>
            <w:tcW w:w="1601" w:type="dxa"/>
            <w:tcBorders>
              <w:top w:val="nil"/>
              <w:bottom w:val="nil"/>
            </w:tcBorders>
            <w:shd w:val="clear" w:color="auto" w:fill="auto"/>
            <w:vAlign w:val="center"/>
          </w:tcPr>
          <w:p w14:paraId="102B0583"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0,00002655</w:t>
            </w:r>
          </w:p>
        </w:tc>
      </w:tr>
      <w:tr w:rsidR="007E2B6C" w:rsidRPr="007E2B6C" w14:paraId="4ABFA83E" w14:textId="77777777" w:rsidTr="00194E23">
        <w:trPr>
          <w:jc w:val="center"/>
        </w:trPr>
        <w:tc>
          <w:tcPr>
            <w:tcW w:w="2454" w:type="dxa"/>
            <w:tcBorders>
              <w:top w:val="nil"/>
              <w:bottom w:val="nil"/>
            </w:tcBorders>
            <w:shd w:val="clear" w:color="auto" w:fill="auto"/>
            <w:vAlign w:val="center"/>
          </w:tcPr>
          <w:p w14:paraId="749EAC6B"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Pantai Santai</w:t>
            </w:r>
          </w:p>
        </w:tc>
        <w:tc>
          <w:tcPr>
            <w:tcW w:w="1417" w:type="dxa"/>
            <w:tcBorders>
              <w:top w:val="nil"/>
              <w:bottom w:val="nil"/>
            </w:tcBorders>
            <w:shd w:val="clear" w:color="auto" w:fill="auto"/>
            <w:vAlign w:val="center"/>
          </w:tcPr>
          <w:p w14:paraId="064980A8"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3,430</w:t>
            </w:r>
          </w:p>
        </w:tc>
        <w:tc>
          <w:tcPr>
            <w:tcW w:w="1601" w:type="dxa"/>
            <w:tcBorders>
              <w:top w:val="nil"/>
              <w:bottom w:val="nil"/>
            </w:tcBorders>
            <w:shd w:val="clear" w:color="auto" w:fill="auto"/>
            <w:vAlign w:val="center"/>
          </w:tcPr>
          <w:p w14:paraId="4CD96334"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-0,00004170</w:t>
            </w:r>
          </w:p>
        </w:tc>
      </w:tr>
      <w:tr w:rsidR="007E2B6C" w:rsidRPr="007E2B6C" w14:paraId="6E372DFC" w14:textId="77777777" w:rsidTr="00194E23">
        <w:trPr>
          <w:jc w:val="center"/>
        </w:trPr>
        <w:tc>
          <w:tcPr>
            <w:tcW w:w="2454" w:type="dxa"/>
            <w:tcBorders>
              <w:top w:val="nil"/>
              <w:bottom w:val="nil"/>
            </w:tcBorders>
            <w:shd w:val="clear" w:color="auto" w:fill="auto"/>
            <w:vAlign w:val="center"/>
          </w:tcPr>
          <w:p w14:paraId="35A63102"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Pantai Namalatu</w:t>
            </w:r>
          </w:p>
        </w:tc>
        <w:tc>
          <w:tcPr>
            <w:tcW w:w="1417" w:type="dxa"/>
            <w:tcBorders>
              <w:top w:val="nil"/>
              <w:bottom w:val="nil"/>
            </w:tcBorders>
            <w:shd w:val="clear" w:color="auto" w:fill="auto"/>
            <w:vAlign w:val="center"/>
          </w:tcPr>
          <w:p w14:paraId="43B2F570"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6,099</w:t>
            </w:r>
          </w:p>
        </w:tc>
        <w:tc>
          <w:tcPr>
            <w:tcW w:w="1601" w:type="dxa"/>
            <w:tcBorders>
              <w:top w:val="nil"/>
              <w:bottom w:val="nil"/>
            </w:tcBorders>
            <w:shd w:val="clear" w:color="auto" w:fill="auto"/>
            <w:vAlign w:val="center"/>
          </w:tcPr>
          <w:p w14:paraId="437EB01D"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-0,00004164</w:t>
            </w:r>
          </w:p>
        </w:tc>
      </w:tr>
      <w:tr w:rsidR="007E2B6C" w:rsidRPr="007E2B6C" w14:paraId="37D4CF29" w14:textId="77777777" w:rsidTr="00194E23">
        <w:trPr>
          <w:jc w:val="center"/>
        </w:trPr>
        <w:tc>
          <w:tcPr>
            <w:tcW w:w="2454" w:type="dxa"/>
            <w:tcBorders>
              <w:top w:val="nil"/>
              <w:bottom w:val="nil"/>
            </w:tcBorders>
            <w:shd w:val="clear" w:color="auto" w:fill="auto"/>
            <w:vAlign w:val="center"/>
          </w:tcPr>
          <w:p w14:paraId="55EC1A80"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Sumber Jaya</w:t>
            </w:r>
          </w:p>
        </w:tc>
        <w:tc>
          <w:tcPr>
            <w:tcW w:w="1417" w:type="dxa"/>
            <w:tcBorders>
              <w:top w:val="nil"/>
              <w:bottom w:val="nil"/>
            </w:tcBorders>
            <w:shd w:val="clear" w:color="auto" w:fill="auto"/>
            <w:vAlign w:val="center"/>
          </w:tcPr>
          <w:p w14:paraId="5DC18760"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-0,362</w:t>
            </w:r>
          </w:p>
        </w:tc>
        <w:tc>
          <w:tcPr>
            <w:tcW w:w="1601" w:type="dxa"/>
            <w:tcBorders>
              <w:top w:val="nil"/>
              <w:bottom w:val="nil"/>
            </w:tcBorders>
            <w:shd w:val="clear" w:color="auto" w:fill="auto"/>
            <w:vAlign w:val="center"/>
          </w:tcPr>
          <w:p w14:paraId="647356C6"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0,00003478</w:t>
            </w:r>
          </w:p>
        </w:tc>
      </w:tr>
      <w:tr w:rsidR="007E2B6C" w:rsidRPr="007E2B6C" w14:paraId="126F257E" w14:textId="77777777" w:rsidTr="00B06175">
        <w:trPr>
          <w:jc w:val="center"/>
        </w:trPr>
        <w:tc>
          <w:tcPr>
            <w:tcW w:w="2454" w:type="dxa"/>
            <w:tcBorders>
              <w:top w:val="nil"/>
              <w:bottom w:val="single" w:sz="4" w:space="0" w:color="auto"/>
            </w:tcBorders>
            <w:shd w:val="clear" w:color="auto" w:fill="auto"/>
            <w:vAlign w:val="center"/>
          </w:tcPr>
          <w:p w14:paraId="7A1C1A94"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Tanjung Batu Konde</w:t>
            </w:r>
          </w:p>
        </w:tc>
        <w:tc>
          <w:tcPr>
            <w:tcW w:w="1417" w:type="dxa"/>
            <w:tcBorders>
              <w:top w:val="nil"/>
              <w:bottom w:val="single" w:sz="4" w:space="0" w:color="auto"/>
            </w:tcBorders>
            <w:shd w:val="clear" w:color="auto" w:fill="auto"/>
            <w:vAlign w:val="center"/>
          </w:tcPr>
          <w:p w14:paraId="233492EF"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5,953</w:t>
            </w:r>
          </w:p>
        </w:tc>
        <w:tc>
          <w:tcPr>
            <w:tcW w:w="1601" w:type="dxa"/>
            <w:tcBorders>
              <w:top w:val="nil"/>
              <w:bottom w:val="single" w:sz="4" w:space="0" w:color="auto"/>
            </w:tcBorders>
            <w:shd w:val="clear" w:color="auto" w:fill="auto"/>
            <w:vAlign w:val="center"/>
          </w:tcPr>
          <w:p w14:paraId="32F59558" w14:textId="77777777" w:rsidR="007E2B6C" w:rsidRPr="007E2B6C" w:rsidRDefault="007E2B6C" w:rsidP="00194E23">
            <w:pPr>
              <w:spacing w:after="0"/>
              <w:jc w:val="both"/>
              <w:rPr>
                <w:rFonts w:ascii="Cambria" w:hAnsi="Cambria" w:cs="Times New Roman"/>
                <w:sz w:val="21"/>
                <w:szCs w:val="21"/>
              </w:rPr>
            </w:pPr>
            <w:r w:rsidRPr="007E2B6C">
              <w:rPr>
                <w:rFonts w:ascii="Cambria" w:hAnsi="Cambria" w:cs="Times New Roman"/>
                <w:sz w:val="21"/>
                <w:szCs w:val="21"/>
              </w:rPr>
              <w:t>0,000</w:t>
            </w:r>
          </w:p>
        </w:tc>
      </w:tr>
    </w:tbl>
    <w:p w14:paraId="4CFE020D" w14:textId="77777777" w:rsidR="007E2B6C" w:rsidRPr="007E2B6C" w:rsidRDefault="007E2B6C" w:rsidP="007E2B6C">
      <w:pPr>
        <w:spacing w:after="0" w:line="240" w:lineRule="auto"/>
        <w:ind w:firstLine="709"/>
        <w:jc w:val="both"/>
        <w:rPr>
          <w:rFonts w:ascii="Cambria" w:hAnsi="Cambria" w:cs="Times New Roman"/>
          <w:sz w:val="21"/>
          <w:szCs w:val="21"/>
        </w:rPr>
      </w:pPr>
    </w:p>
    <w:p w14:paraId="47A19E2A" w14:textId="77777777" w:rsidR="007E2B6C" w:rsidRPr="007E2B6C" w:rsidRDefault="007E2B6C" w:rsidP="007E2B6C">
      <w:pPr>
        <w:spacing w:after="0" w:line="240" w:lineRule="auto"/>
        <w:ind w:firstLine="709"/>
        <w:jc w:val="both"/>
        <w:rPr>
          <w:rFonts w:ascii="Cambria" w:hAnsi="Cambria" w:cs="Times New Roman"/>
          <w:sz w:val="21"/>
          <w:szCs w:val="21"/>
        </w:rPr>
      </w:pPr>
      <w:proofErr w:type="gramStart"/>
      <w:r w:rsidRPr="007E2B6C">
        <w:rPr>
          <w:rFonts w:ascii="Cambria" w:hAnsi="Cambria" w:cs="Times New Roman"/>
          <w:sz w:val="21"/>
          <w:szCs w:val="21"/>
        </w:rPr>
        <w:t>The data on the calculation of consumer surplus that was obtained from The Total Economic Value of each tourist attraction on the Nusaniwe Peninsula.</w:t>
      </w:r>
      <w:proofErr w:type="gramEnd"/>
      <w:r w:rsidRPr="007E2B6C">
        <w:rPr>
          <w:rFonts w:ascii="Cambria" w:hAnsi="Cambria" w:cs="Times New Roman"/>
          <w:sz w:val="21"/>
          <w:szCs w:val="21"/>
        </w:rPr>
        <w:t xml:space="preserve"> For clarity, it has been summarized in the following table.</w:t>
      </w:r>
    </w:p>
    <w:p w14:paraId="1E3D8B40" w14:textId="77777777" w:rsidR="007E2B6C" w:rsidRPr="007E2B6C" w:rsidRDefault="007E2B6C" w:rsidP="007E2B6C">
      <w:pPr>
        <w:spacing w:after="0" w:line="240" w:lineRule="auto"/>
        <w:jc w:val="center"/>
        <w:rPr>
          <w:rFonts w:ascii="Cambria" w:hAnsi="Cambria" w:cs="Times New Roman"/>
          <w:sz w:val="21"/>
          <w:szCs w:val="21"/>
        </w:rPr>
      </w:pPr>
    </w:p>
    <w:p w14:paraId="250C0C49" w14:textId="703E2451" w:rsidR="007E2B6C" w:rsidRPr="007E2B6C" w:rsidRDefault="007E2B6C" w:rsidP="00B06175">
      <w:pPr>
        <w:spacing w:after="0" w:line="240" w:lineRule="auto"/>
        <w:jc w:val="center"/>
        <w:rPr>
          <w:rFonts w:ascii="Cambria" w:hAnsi="Cambria" w:cs="Times New Roman"/>
          <w:sz w:val="21"/>
          <w:szCs w:val="21"/>
        </w:rPr>
      </w:pPr>
      <w:proofErr w:type="gramStart"/>
      <w:r w:rsidRPr="007E2B6C">
        <w:rPr>
          <w:rFonts w:ascii="Cambria" w:hAnsi="Cambria" w:cs="Times New Roman"/>
          <w:sz w:val="21"/>
          <w:szCs w:val="21"/>
        </w:rPr>
        <w:t>Table 5</w:t>
      </w:r>
      <w:r w:rsidR="00B06175">
        <w:rPr>
          <w:rFonts w:ascii="Cambria" w:hAnsi="Cambria" w:cs="Times New Roman"/>
          <w:sz w:val="21"/>
          <w:szCs w:val="21"/>
        </w:rPr>
        <w:t>.</w:t>
      </w:r>
      <w:proofErr w:type="gramEnd"/>
      <w:r w:rsidR="00B06175">
        <w:rPr>
          <w:rFonts w:ascii="Cambria" w:hAnsi="Cambria" w:cs="Times New Roman"/>
          <w:sz w:val="21"/>
          <w:szCs w:val="21"/>
        </w:rPr>
        <w:t xml:space="preserve"> </w:t>
      </w:r>
      <w:r w:rsidRPr="007E2B6C">
        <w:rPr>
          <w:rFonts w:ascii="Cambria" w:hAnsi="Cambria" w:cs="Times New Roman"/>
          <w:sz w:val="21"/>
          <w:szCs w:val="21"/>
        </w:rPr>
        <w:t xml:space="preserve">Consumer </w:t>
      </w:r>
      <w:r w:rsidR="00B06175" w:rsidRPr="007E2B6C">
        <w:rPr>
          <w:rFonts w:ascii="Cambria" w:hAnsi="Cambria" w:cs="Times New Roman"/>
          <w:sz w:val="21"/>
          <w:szCs w:val="21"/>
        </w:rPr>
        <w:t xml:space="preserve">Surplus </w:t>
      </w:r>
      <w:proofErr w:type="gramStart"/>
      <w:r w:rsidR="00B06175" w:rsidRPr="007E2B6C">
        <w:rPr>
          <w:rFonts w:ascii="Cambria" w:hAnsi="Cambria" w:cs="Times New Roman"/>
          <w:sz w:val="21"/>
          <w:szCs w:val="21"/>
        </w:rPr>
        <w:t>And</w:t>
      </w:r>
      <w:proofErr w:type="gramEnd"/>
      <w:r w:rsidR="00B06175" w:rsidRPr="007E2B6C">
        <w:rPr>
          <w:rFonts w:ascii="Cambria" w:hAnsi="Cambria" w:cs="Times New Roman"/>
          <w:sz w:val="21"/>
          <w:szCs w:val="21"/>
        </w:rPr>
        <w:t xml:space="preserve"> Total Economic Value Of Each Beach Tourism</w:t>
      </w:r>
    </w:p>
    <w:tbl>
      <w:tblPr>
        <w:tblW w:w="8839" w:type="dxa"/>
        <w:jc w:val="center"/>
        <w:tblInd w:w="-1586" w:type="dxa"/>
        <w:tblBorders>
          <w:top w:val="single" w:sz="18" w:space="0" w:color="auto"/>
        </w:tblBorders>
        <w:tblLook w:val="0000" w:firstRow="0" w:lastRow="0" w:firstColumn="0" w:lastColumn="0" w:noHBand="0" w:noVBand="0"/>
      </w:tblPr>
      <w:tblGrid>
        <w:gridCol w:w="2855"/>
        <w:gridCol w:w="2491"/>
        <w:gridCol w:w="3493"/>
      </w:tblGrid>
      <w:tr w:rsidR="007E2B6C" w:rsidRPr="007E2B6C" w14:paraId="686B9BD8" w14:textId="77777777" w:rsidTr="00B06175">
        <w:trPr>
          <w:trHeight w:val="100"/>
          <w:jc w:val="center"/>
        </w:trPr>
        <w:tc>
          <w:tcPr>
            <w:tcW w:w="8839" w:type="dxa"/>
            <w:gridSpan w:val="3"/>
            <w:tcBorders>
              <w:top w:val="single" w:sz="4" w:space="0" w:color="auto"/>
            </w:tcBorders>
            <w:shd w:val="clear" w:color="auto" w:fill="auto"/>
          </w:tcPr>
          <w:p w14:paraId="5A401B7E" w14:textId="77777777" w:rsidR="007E2B6C" w:rsidRPr="007E2B6C" w:rsidRDefault="007E2B6C" w:rsidP="00194E23">
            <w:pPr>
              <w:tabs>
                <w:tab w:val="left" w:pos="720"/>
              </w:tabs>
              <w:spacing w:after="0" w:line="240" w:lineRule="auto"/>
              <w:jc w:val="both"/>
              <w:rPr>
                <w:rFonts w:ascii="Cambria" w:hAnsi="Cambria" w:cs="Times New Roman"/>
                <w:sz w:val="21"/>
                <w:szCs w:val="21"/>
              </w:rPr>
            </w:pPr>
          </w:p>
        </w:tc>
      </w:tr>
      <w:tr w:rsidR="007E2B6C" w:rsidRPr="007E2B6C" w14:paraId="738739BE" w14:textId="77777777" w:rsidTr="00194E23">
        <w:tblPrEx>
          <w:tblBorders>
            <w:top w:val="single" w:sz="4" w:space="0" w:color="auto"/>
            <w:bottom w:val="single" w:sz="4" w:space="0" w:color="auto"/>
            <w:insideH w:val="single" w:sz="4" w:space="0" w:color="auto"/>
          </w:tblBorders>
          <w:tblLook w:val="04A0" w:firstRow="1" w:lastRow="0" w:firstColumn="1" w:lastColumn="0" w:noHBand="0" w:noVBand="1"/>
        </w:tblPrEx>
        <w:trPr>
          <w:cantSplit/>
          <w:trHeight w:val="255"/>
          <w:tblHeader/>
          <w:jc w:val="center"/>
        </w:trPr>
        <w:tc>
          <w:tcPr>
            <w:tcW w:w="2855" w:type="dxa"/>
            <w:tcBorders>
              <w:bottom w:val="single" w:sz="4" w:space="0" w:color="auto"/>
            </w:tcBorders>
            <w:shd w:val="clear" w:color="auto" w:fill="auto"/>
            <w:vAlign w:val="center"/>
          </w:tcPr>
          <w:p w14:paraId="03469CF7" w14:textId="77777777" w:rsidR="007E2B6C" w:rsidRPr="007E2B6C" w:rsidRDefault="007E2B6C" w:rsidP="00194E23">
            <w:pPr>
              <w:tabs>
                <w:tab w:val="left" w:pos="720"/>
              </w:tabs>
              <w:spacing w:after="0" w:line="240" w:lineRule="auto"/>
              <w:jc w:val="both"/>
              <w:rPr>
                <w:rFonts w:ascii="Cambria" w:hAnsi="Cambria" w:cs="Times New Roman"/>
                <w:sz w:val="21"/>
                <w:szCs w:val="21"/>
              </w:rPr>
            </w:pPr>
            <w:r w:rsidRPr="007E2B6C">
              <w:rPr>
                <w:rFonts w:ascii="Cambria" w:hAnsi="Cambria" w:cs="Times New Roman"/>
                <w:sz w:val="21"/>
                <w:szCs w:val="21"/>
              </w:rPr>
              <w:t>Tourist Location</w:t>
            </w:r>
          </w:p>
        </w:tc>
        <w:tc>
          <w:tcPr>
            <w:tcW w:w="2491" w:type="dxa"/>
            <w:tcBorders>
              <w:bottom w:val="single" w:sz="4" w:space="0" w:color="auto"/>
            </w:tcBorders>
            <w:shd w:val="clear" w:color="auto" w:fill="auto"/>
            <w:vAlign w:val="center"/>
          </w:tcPr>
          <w:p w14:paraId="47006DFF" w14:textId="77777777" w:rsidR="007E2B6C" w:rsidRPr="007E2B6C" w:rsidRDefault="007E2B6C" w:rsidP="00194E23">
            <w:pPr>
              <w:tabs>
                <w:tab w:val="left" w:pos="720"/>
              </w:tabs>
              <w:spacing w:after="0" w:line="240" w:lineRule="auto"/>
              <w:jc w:val="center"/>
              <w:rPr>
                <w:rFonts w:ascii="Cambria" w:hAnsi="Cambria" w:cs="Times New Roman"/>
                <w:sz w:val="21"/>
                <w:szCs w:val="21"/>
              </w:rPr>
            </w:pPr>
            <w:r w:rsidRPr="007E2B6C">
              <w:rPr>
                <w:rFonts w:ascii="Cambria" w:hAnsi="Cambria" w:cs="Times New Roman"/>
                <w:sz w:val="21"/>
                <w:szCs w:val="21"/>
              </w:rPr>
              <w:t>Consumer Surplus (Rp)</w:t>
            </w:r>
          </w:p>
        </w:tc>
        <w:tc>
          <w:tcPr>
            <w:tcW w:w="3493" w:type="dxa"/>
            <w:tcBorders>
              <w:bottom w:val="single" w:sz="4" w:space="0" w:color="auto"/>
            </w:tcBorders>
            <w:shd w:val="clear" w:color="auto" w:fill="auto"/>
            <w:vAlign w:val="center"/>
          </w:tcPr>
          <w:p w14:paraId="7688A74D" w14:textId="77777777" w:rsidR="007E2B6C" w:rsidRPr="007E2B6C" w:rsidRDefault="007E2B6C" w:rsidP="00194E23">
            <w:pPr>
              <w:tabs>
                <w:tab w:val="left" w:pos="720"/>
              </w:tabs>
              <w:spacing w:after="0" w:line="240" w:lineRule="auto"/>
              <w:jc w:val="center"/>
              <w:rPr>
                <w:rFonts w:ascii="Cambria" w:hAnsi="Cambria" w:cs="Times New Roman"/>
                <w:sz w:val="21"/>
                <w:szCs w:val="21"/>
              </w:rPr>
            </w:pPr>
            <w:r w:rsidRPr="007E2B6C">
              <w:rPr>
                <w:rFonts w:ascii="Cambria" w:hAnsi="Cambria" w:cs="Times New Roman"/>
                <w:sz w:val="21"/>
                <w:szCs w:val="21"/>
              </w:rPr>
              <w:t>The Total Economic Value (Rp)</w:t>
            </w:r>
          </w:p>
        </w:tc>
      </w:tr>
      <w:tr w:rsidR="007E2B6C" w:rsidRPr="007E2B6C" w14:paraId="4ED58ED6" w14:textId="77777777" w:rsidTr="00194E23">
        <w:tblPrEx>
          <w:tblBorders>
            <w:top w:val="single" w:sz="4" w:space="0" w:color="auto"/>
            <w:bottom w:val="single" w:sz="4" w:space="0" w:color="auto"/>
            <w:insideH w:val="single" w:sz="4" w:space="0" w:color="auto"/>
          </w:tblBorders>
          <w:tblLook w:val="04A0" w:firstRow="1" w:lastRow="0" w:firstColumn="1" w:lastColumn="0" w:noHBand="0" w:noVBand="1"/>
        </w:tblPrEx>
        <w:trPr>
          <w:cantSplit/>
          <w:trHeight w:val="272"/>
          <w:jc w:val="center"/>
        </w:trPr>
        <w:tc>
          <w:tcPr>
            <w:tcW w:w="2855" w:type="dxa"/>
            <w:tcBorders>
              <w:bottom w:val="nil"/>
            </w:tcBorders>
            <w:shd w:val="clear" w:color="auto" w:fill="auto"/>
            <w:vAlign w:val="bottom"/>
          </w:tcPr>
          <w:p w14:paraId="25BF2922"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Pantai Batu Capeu</w:t>
            </w:r>
          </w:p>
        </w:tc>
        <w:tc>
          <w:tcPr>
            <w:tcW w:w="2491" w:type="dxa"/>
            <w:tcBorders>
              <w:bottom w:val="nil"/>
            </w:tcBorders>
            <w:shd w:val="clear" w:color="auto" w:fill="auto"/>
            <w:vAlign w:val="center"/>
          </w:tcPr>
          <w:p w14:paraId="3199C19D"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138.358,50</w:t>
            </w:r>
          </w:p>
        </w:tc>
        <w:tc>
          <w:tcPr>
            <w:tcW w:w="3493" w:type="dxa"/>
            <w:tcBorders>
              <w:bottom w:val="nil"/>
            </w:tcBorders>
            <w:shd w:val="clear" w:color="auto" w:fill="auto"/>
            <w:vAlign w:val="center"/>
          </w:tcPr>
          <w:p w14:paraId="72A569B7"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50.362.494,00</w:t>
            </w:r>
          </w:p>
        </w:tc>
      </w:tr>
      <w:tr w:rsidR="007E2B6C" w:rsidRPr="007E2B6C" w14:paraId="6719FFBF" w14:textId="77777777" w:rsidTr="00194E23">
        <w:tblPrEx>
          <w:tblBorders>
            <w:top w:val="single" w:sz="4" w:space="0" w:color="auto"/>
            <w:bottom w:val="single" w:sz="4" w:space="0" w:color="auto"/>
            <w:insideH w:val="single" w:sz="4" w:space="0" w:color="auto"/>
          </w:tblBorders>
          <w:tblLook w:val="04A0" w:firstRow="1" w:lastRow="0" w:firstColumn="1" w:lastColumn="0" w:noHBand="0" w:noVBand="1"/>
        </w:tblPrEx>
        <w:trPr>
          <w:cantSplit/>
          <w:trHeight w:val="133"/>
          <w:jc w:val="center"/>
        </w:trPr>
        <w:tc>
          <w:tcPr>
            <w:tcW w:w="2855" w:type="dxa"/>
            <w:tcBorders>
              <w:top w:val="nil"/>
              <w:bottom w:val="nil"/>
            </w:tcBorders>
            <w:shd w:val="clear" w:color="auto" w:fill="auto"/>
            <w:vAlign w:val="bottom"/>
          </w:tcPr>
          <w:p w14:paraId="71D57D3C"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Pantai Batu Lubang</w:t>
            </w:r>
          </w:p>
        </w:tc>
        <w:tc>
          <w:tcPr>
            <w:tcW w:w="2491" w:type="dxa"/>
            <w:tcBorders>
              <w:top w:val="nil"/>
              <w:bottom w:val="nil"/>
            </w:tcBorders>
            <w:shd w:val="clear" w:color="auto" w:fill="auto"/>
            <w:vAlign w:val="center"/>
          </w:tcPr>
          <w:p w14:paraId="26324A4E"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56.046,00</w:t>
            </w:r>
          </w:p>
        </w:tc>
        <w:tc>
          <w:tcPr>
            <w:tcW w:w="3493" w:type="dxa"/>
            <w:tcBorders>
              <w:top w:val="nil"/>
              <w:bottom w:val="nil"/>
            </w:tcBorders>
            <w:shd w:val="clear" w:color="auto" w:fill="auto"/>
            <w:vAlign w:val="center"/>
          </w:tcPr>
          <w:p w14:paraId="72594E33"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81.602.976,00</w:t>
            </w:r>
          </w:p>
        </w:tc>
      </w:tr>
      <w:tr w:rsidR="007E2B6C" w:rsidRPr="007E2B6C" w14:paraId="39639C17" w14:textId="77777777" w:rsidTr="00194E23">
        <w:tblPrEx>
          <w:tblBorders>
            <w:top w:val="single" w:sz="4" w:space="0" w:color="auto"/>
            <w:bottom w:val="single" w:sz="4" w:space="0" w:color="auto"/>
            <w:insideH w:val="single" w:sz="4" w:space="0" w:color="auto"/>
          </w:tblBorders>
          <w:tblLook w:val="04A0" w:firstRow="1" w:lastRow="0" w:firstColumn="1" w:lastColumn="0" w:noHBand="0" w:noVBand="1"/>
        </w:tblPrEx>
        <w:trPr>
          <w:cantSplit/>
          <w:trHeight w:val="266"/>
          <w:jc w:val="center"/>
        </w:trPr>
        <w:tc>
          <w:tcPr>
            <w:tcW w:w="2855" w:type="dxa"/>
            <w:tcBorders>
              <w:top w:val="nil"/>
              <w:bottom w:val="nil"/>
            </w:tcBorders>
            <w:shd w:val="clear" w:color="auto" w:fill="auto"/>
            <w:vAlign w:val="center"/>
          </w:tcPr>
          <w:p w14:paraId="6B7540F0"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 xml:space="preserve">Pantai Waititei </w:t>
            </w:r>
          </w:p>
        </w:tc>
        <w:tc>
          <w:tcPr>
            <w:tcW w:w="2491" w:type="dxa"/>
            <w:tcBorders>
              <w:top w:val="nil"/>
              <w:bottom w:val="nil"/>
            </w:tcBorders>
            <w:shd w:val="clear" w:color="auto" w:fill="auto"/>
            <w:vAlign w:val="center"/>
          </w:tcPr>
          <w:p w14:paraId="0C492F60"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26.217,75</w:t>
            </w:r>
          </w:p>
        </w:tc>
        <w:tc>
          <w:tcPr>
            <w:tcW w:w="3493" w:type="dxa"/>
            <w:tcBorders>
              <w:top w:val="nil"/>
              <w:bottom w:val="nil"/>
            </w:tcBorders>
            <w:shd w:val="clear" w:color="auto" w:fill="auto"/>
            <w:vAlign w:val="center"/>
          </w:tcPr>
          <w:p w14:paraId="6EAB36D6"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25.903.137,00</w:t>
            </w:r>
          </w:p>
        </w:tc>
      </w:tr>
      <w:tr w:rsidR="007E2B6C" w:rsidRPr="007E2B6C" w14:paraId="6142607C" w14:textId="77777777" w:rsidTr="00194E23">
        <w:tblPrEx>
          <w:tblBorders>
            <w:top w:val="single" w:sz="4" w:space="0" w:color="auto"/>
            <w:bottom w:val="single" w:sz="4" w:space="0" w:color="auto"/>
            <w:insideH w:val="single" w:sz="4" w:space="0" w:color="auto"/>
          </w:tblBorders>
          <w:tblLook w:val="04A0" w:firstRow="1" w:lastRow="0" w:firstColumn="1" w:lastColumn="0" w:noHBand="0" w:noVBand="1"/>
        </w:tblPrEx>
        <w:trPr>
          <w:cantSplit/>
          <w:trHeight w:val="141"/>
          <w:jc w:val="center"/>
        </w:trPr>
        <w:tc>
          <w:tcPr>
            <w:tcW w:w="2855" w:type="dxa"/>
            <w:tcBorders>
              <w:top w:val="nil"/>
              <w:bottom w:val="nil"/>
            </w:tcBorders>
            <w:shd w:val="clear" w:color="auto" w:fill="auto"/>
            <w:vAlign w:val="center"/>
          </w:tcPr>
          <w:p w14:paraId="3D67EADC"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Pantai Pintu Kota</w:t>
            </w:r>
          </w:p>
        </w:tc>
        <w:tc>
          <w:tcPr>
            <w:tcW w:w="2491" w:type="dxa"/>
            <w:tcBorders>
              <w:top w:val="nil"/>
              <w:bottom w:val="nil"/>
            </w:tcBorders>
            <w:shd w:val="clear" w:color="auto" w:fill="auto"/>
            <w:vAlign w:val="center"/>
          </w:tcPr>
          <w:p w14:paraId="56A9BEDB"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44.747,50</w:t>
            </w:r>
          </w:p>
        </w:tc>
        <w:tc>
          <w:tcPr>
            <w:tcW w:w="3493" w:type="dxa"/>
            <w:tcBorders>
              <w:top w:val="nil"/>
              <w:bottom w:val="nil"/>
            </w:tcBorders>
            <w:shd w:val="clear" w:color="auto" w:fill="auto"/>
            <w:vAlign w:val="center"/>
          </w:tcPr>
          <w:p w14:paraId="490BB598"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69.806.100,00</w:t>
            </w:r>
          </w:p>
        </w:tc>
      </w:tr>
      <w:tr w:rsidR="007E2B6C" w:rsidRPr="007E2B6C" w14:paraId="6328BB31" w14:textId="77777777" w:rsidTr="00194E23">
        <w:tblPrEx>
          <w:tblBorders>
            <w:top w:val="single" w:sz="4" w:space="0" w:color="auto"/>
            <w:bottom w:val="single" w:sz="4" w:space="0" w:color="auto"/>
            <w:insideH w:val="single" w:sz="4" w:space="0" w:color="auto"/>
          </w:tblBorders>
          <w:tblLook w:val="04A0" w:firstRow="1" w:lastRow="0" w:firstColumn="1" w:lastColumn="0" w:noHBand="0" w:noVBand="1"/>
        </w:tblPrEx>
        <w:trPr>
          <w:cantSplit/>
          <w:trHeight w:val="160"/>
          <w:jc w:val="center"/>
        </w:trPr>
        <w:tc>
          <w:tcPr>
            <w:tcW w:w="2855" w:type="dxa"/>
            <w:tcBorders>
              <w:top w:val="nil"/>
              <w:bottom w:val="nil"/>
            </w:tcBorders>
            <w:shd w:val="clear" w:color="auto" w:fill="auto"/>
            <w:vAlign w:val="center"/>
          </w:tcPr>
          <w:p w14:paraId="4A7C4DD6"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Pantai Felawatu</w:t>
            </w:r>
          </w:p>
        </w:tc>
        <w:tc>
          <w:tcPr>
            <w:tcW w:w="2491" w:type="dxa"/>
            <w:tcBorders>
              <w:top w:val="nil"/>
              <w:bottom w:val="nil"/>
            </w:tcBorders>
            <w:shd w:val="clear" w:color="auto" w:fill="auto"/>
            <w:vAlign w:val="center"/>
          </w:tcPr>
          <w:p w14:paraId="1DC2EDF3"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70.210,20</w:t>
            </w:r>
          </w:p>
        </w:tc>
        <w:tc>
          <w:tcPr>
            <w:tcW w:w="3493" w:type="dxa"/>
            <w:tcBorders>
              <w:top w:val="nil"/>
              <w:bottom w:val="nil"/>
            </w:tcBorders>
            <w:shd w:val="clear" w:color="auto" w:fill="auto"/>
            <w:vAlign w:val="center"/>
          </w:tcPr>
          <w:p w14:paraId="5A2F49A2"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29.207.443,00</w:t>
            </w:r>
          </w:p>
        </w:tc>
      </w:tr>
      <w:tr w:rsidR="007E2B6C" w:rsidRPr="007E2B6C" w14:paraId="041F3E1C" w14:textId="77777777" w:rsidTr="00194E23">
        <w:tblPrEx>
          <w:tblBorders>
            <w:top w:val="single" w:sz="4" w:space="0" w:color="auto"/>
            <w:bottom w:val="single" w:sz="4" w:space="0" w:color="auto"/>
            <w:insideH w:val="single" w:sz="4" w:space="0" w:color="auto"/>
          </w:tblBorders>
          <w:tblLook w:val="04A0" w:firstRow="1" w:lastRow="0" w:firstColumn="1" w:lastColumn="0" w:noHBand="0" w:noVBand="1"/>
        </w:tblPrEx>
        <w:trPr>
          <w:cantSplit/>
          <w:trHeight w:val="206"/>
          <w:jc w:val="center"/>
        </w:trPr>
        <w:tc>
          <w:tcPr>
            <w:tcW w:w="2855" w:type="dxa"/>
            <w:tcBorders>
              <w:top w:val="nil"/>
              <w:bottom w:val="nil"/>
            </w:tcBorders>
            <w:shd w:val="clear" w:color="auto" w:fill="auto"/>
            <w:vAlign w:val="center"/>
          </w:tcPr>
          <w:p w14:paraId="2CA243DC"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lastRenderedPageBreak/>
              <w:t>Pantai Santai</w:t>
            </w:r>
          </w:p>
        </w:tc>
        <w:tc>
          <w:tcPr>
            <w:tcW w:w="2491" w:type="dxa"/>
            <w:tcBorders>
              <w:top w:val="nil"/>
              <w:bottom w:val="nil"/>
            </w:tcBorders>
            <w:shd w:val="clear" w:color="auto" w:fill="auto"/>
            <w:vAlign w:val="center"/>
          </w:tcPr>
          <w:p w14:paraId="68120877"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38.837,50</w:t>
            </w:r>
          </w:p>
        </w:tc>
        <w:tc>
          <w:tcPr>
            <w:tcW w:w="3493" w:type="dxa"/>
            <w:tcBorders>
              <w:top w:val="nil"/>
              <w:bottom w:val="nil"/>
            </w:tcBorders>
            <w:shd w:val="clear" w:color="auto" w:fill="auto"/>
            <w:vAlign w:val="center"/>
          </w:tcPr>
          <w:p w14:paraId="16DBAA41"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60.586.500,00</w:t>
            </w:r>
          </w:p>
        </w:tc>
      </w:tr>
      <w:tr w:rsidR="007E2B6C" w:rsidRPr="007E2B6C" w14:paraId="7016F0CA" w14:textId="77777777" w:rsidTr="00194E23">
        <w:tblPrEx>
          <w:tblBorders>
            <w:top w:val="single" w:sz="4" w:space="0" w:color="auto"/>
            <w:bottom w:val="single" w:sz="4" w:space="0" w:color="auto"/>
            <w:insideH w:val="single" w:sz="4" w:space="0" w:color="auto"/>
          </w:tblBorders>
          <w:tblLook w:val="04A0" w:firstRow="1" w:lastRow="0" w:firstColumn="1" w:lastColumn="0" w:noHBand="0" w:noVBand="1"/>
        </w:tblPrEx>
        <w:trPr>
          <w:cantSplit/>
          <w:trHeight w:val="232"/>
          <w:jc w:val="center"/>
        </w:trPr>
        <w:tc>
          <w:tcPr>
            <w:tcW w:w="2855" w:type="dxa"/>
            <w:tcBorders>
              <w:top w:val="nil"/>
              <w:bottom w:val="nil"/>
            </w:tcBorders>
            <w:shd w:val="clear" w:color="auto" w:fill="auto"/>
            <w:vAlign w:val="center"/>
          </w:tcPr>
          <w:p w14:paraId="3D9E5804"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Pantai Namalatu</w:t>
            </w:r>
          </w:p>
        </w:tc>
        <w:tc>
          <w:tcPr>
            <w:tcW w:w="2491" w:type="dxa"/>
            <w:tcBorders>
              <w:top w:val="nil"/>
              <w:bottom w:val="nil"/>
            </w:tcBorders>
            <w:shd w:val="clear" w:color="auto" w:fill="auto"/>
            <w:vAlign w:val="center"/>
          </w:tcPr>
          <w:p w14:paraId="7EA372DB"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85.797,36</w:t>
            </w:r>
          </w:p>
        </w:tc>
        <w:tc>
          <w:tcPr>
            <w:tcW w:w="3493" w:type="dxa"/>
            <w:tcBorders>
              <w:top w:val="nil"/>
              <w:bottom w:val="nil"/>
            </w:tcBorders>
            <w:shd w:val="clear" w:color="auto" w:fill="auto"/>
            <w:vAlign w:val="center"/>
          </w:tcPr>
          <w:p w14:paraId="5F7A40DB"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133.843.881,60</w:t>
            </w:r>
          </w:p>
        </w:tc>
      </w:tr>
      <w:tr w:rsidR="007E2B6C" w:rsidRPr="007E2B6C" w14:paraId="68BD1989" w14:textId="77777777" w:rsidTr="00194E23">
        <w:tblPrEx>
          <w:tblBorders>
            <w:top w:val="single" w:sz="4" w:space="0" w:color="auto"/>
            <w:bottom w:val="single" w:sz="4" w:space="0" w:color="auto"/>
            <w:insideH w:val="single" w:sz="4" w:space="0" w:color="auto"/>
          </w:tblBorders>
          <w:tblLook w:val="04A0" w:firstRow="1" w:lastRow="0" w:firstColumn="1" w:lastColumn="0" w:noHBand="0" w:noVBand="1"/>
        </w:tblPrEx>
        <w:trPr>
          <w:cantSplit/>
          <w:trHeight w:val="135"/>
          <w:jc w:val="center"/>
        </w:trPr>
        <w:tc>
          <w:tcPr>
            <w:tcW w:w="2855" w:type="dxa"/>
            <w:tcBorders>
              <w:top w:val="nil"/>
              <w:bottom w:val="nil"/>
            </w:tcBorders>
            <w:shd w:val="clear" w:color="auto" w:fill="auto"/>
            <w:vAlign w:val="center"/>
          </w:tcPr>
          <w:p w14:paraId="3B20706A"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Pantai Sumber Jaya</w:t>
            </w:r>
          </w:p>
        </w:tc>
        <w:tc>
          <w:tcPr>
            <w:tcW w:w="2491" w:type="dxa"/>
            <w:tcBorders>
              <w:top w:val="nil"/>
              <w:bottom w:val="nil"/>
            </w:tcBorders>
            <w:shd w:val="clear" w:color="auto" w:fill="auto"/>
            <w:vAlign w:val="center"/>
          </w:tcPr>
          <w:p w14:paraId="66857616"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12.545,50</w:t>
            </w:r>
          </w:p>
        </w:tc>
        <w:tc>
          <w:tcPr>
            <w:tcW w:w="3493" w:type="dxa"/>
            <w:tcBorders>
              <w:top w:val="nil"/>
              <w:bottom w:val="nil"/>
            </w:tcBorders>
            <w:shd w:val="clear" w:color="auto" w:fill="auto"/>
            <w:vAlign w:val="center"/>
          </w:tcPr>
          <w:p w14:paraId="29101331"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8.480.758,00</w:t>
            </w:r>
          </w:p>
        </w:tc>
      </w:tr>
      <w:tr w:rsidR="007E2B6C" w:rsidRPr="007E2B6C" w14:paraId="4DA98104" w14:textId="77777777" w:rsidTr="00B06175">
        <w:tblPrEx>
          <w:tblBorders>
            <w:top w:val="single" w:sz="4" w:space="0" w:color="auto"/>
            <w:bottom w:val="single" w:sz="4" w:space="0" w:color="auto"/>
            <w:insideH w:val="single" w:sz="4" w:space="0" w:color="auto"/>
          </w:tblBorders>
          <w:tblLook w:val="04A0" w:firstRow="1" w:lastRow="0" w:firstColumn="1" w:lastColumn="0" w:noHBand="0" w:noVBand="1"/>
        </w:tblPrEx>
        <w:trPr>
          <w:cantSplit/>
          <w:trHeight w:val="167"/>
          <w:jc w:val="center"/>
        </w:trPr>
        <w:tc>
          <w:tcPr>
            <w:tcW w:w="2855" w:type="dxa"/>
            <w:tcBorders>
              <w:top w:val="nil"/>
              <w:bottom w:val="single" w:sz="4" w:space="0" w:color="auto"/>
            </w:tcBorders>
            <w:shd w:val="clear" w:color="auto" w:fill="auto"/>
            <w:vAlign w:val="center"/>
          </w:tcPr>
          <w:p w14:paraId="39899BB3" w14:textId="77777777" w:rsidR="007E2B6C" w:rsidRPr="007E2B6C" w:rsidRDefault="007E2B6C" w:rsidP="00194E23">
            <w:pPr>
              <w:spacing w:after="0" w:line="240" w:lineRule="auto"/>
              <w:rPr>
                <w:rFonts w:ascii="Cambria" w:hAnsi="Cambria" w:cs="Times New Roman"/>
                <w:sz w:val="21"/>
                <w:szCs w:val="21"/>
              </w:rPr>
            </w:pPr>
            <w:r w:rsidRPr="007E2B6C">
              <w:rPr>
                <w:rFonts w:ascii="Cambria" w:hAnsi="Cambria" w:cs="Times New Roman"/>
                <w:sz w:val="21"/>
                <w:szCs w:val="21"/>
              </w:rPr>
              <w:t>Pantai Tanjung Batu Konde</w:t>
            </w:r>
          </w:p>
        </w:tc>
        <w:tc>
          <w:tcPr>
            <w:tcW w:w="2491" w:type="dxa"/>
            <w:tcBorders>
              <w:top w:val="nil"/>
              <w:bottom w:val="single" w:sz="4" w:space="0" w:color="auto"/>
            </w:tcBorders>
            <w:shd w:val="clear" w:color="auto" w:fill="auto"/>
            <w:vAlign w:val="center"/>
          </w:tcPr>
          <w:p w14:paraId="6F26F053"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208.355,00</w:t>
            </w:r>
          </w:p>
        </w:tc>
        <w:tc>
          <w:tcPr>
            <w:tcW w:w="3493" w:type="dxa"/>
            <w:tcBorders>
              <w:top w:val="nil"/>
              <w:bottom w:val="single" w:sz="4" w:space="0" w:color="auto"/>
            </w:tcBorders>
            <w:shd w:val="clear" w:color="auto" w:fill="auto"/>
            <w:vAlign w:val="center"/>
          </w:tcPr>
          <w:p w14:paraId="43DE993D" w14:textId="77777777" w:rsidR="007E2B6C" w:rsidRPr="007E2B6C" w:rsidRDefault="007E2B6C" w:rsidP="00194E23">
            <w:pPr>
              <w:spacing w:after="0" w:line="240" w:lineRule="auto"/>
              <w:jc w:val="center"/>
              <w:rPr>
                <w:rFonts w:ascii="Cambria" w:hAnsi="Cambria" w:cs="Times New Roman"/>
                <w:sz w:val="21"/>
                <w:szCs w:val="21"/>
              </w:rPr>
            </w:pPr>
            <w:r w:rsidRPr="007E2B6C">
              <w:rPr>
                <w:rFonts w:ascii="Cambria" w:hAnsi="Cambria" w:cs="Times New Roman"/>
                <w:sz w:val="21"/>
                <w:szCs w:val="21"/>
              </w:rPr>
              <w:t>352.033.800,00</w:t>
            </w:r>
          </w:p>
        </w:tc>
      </w:tr>
    </w:tbl>
    <w:p w14:paraId="7AC757B5" w14:textId="77777777" w:rsidR="007E2B6C" w:rsidRPr="007E2B6C" w:rsidRDefault="007E2B6C" w:rsidP="007E2B6C">
      <w:pPr>
        <w:spacing w:after="0" w:line="240" w:lineRule="auto"/>
        <w:ind w:firstLine="709"/>
        <w:jc w:val="both"/>
        <w:rPr>
          <w:rFonts w:ascii="Cambria" w:hAnsi="Cambria" w:cs="Times New Roman"/>
          <w:sz w:val="21"/>
          <w:szCs w:val="21"/>
        </w:rPr>
      </w:pPr>
    </w:p>
    <w:p w14:paraId="4C7CB21D" w14:textId="77777777" w:rsidR="007E2B6C" w:rsidRPr="007E2B6C" w:rsidRDefault="007E2B6C" w:rsidP="007E2B6C">
      <w:pPr>
        <w:spacing w:after="0" w:line="240" w:lineRule="auto"/>
        <w:ind w:firstLine="709"/>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The summary of the data above explains that the highest Consumer Surplus Value is in Tanjung Batu Konde Beach, which is Rp.208</w:t>
      </w:r>
      <w:proofErr w:type="gramStart"/>
      <w:r w:rsidRPr="007E2B6C">
        <w:rPr>
          <w:rFonts w:ascii="Cambria" w:hAnsi="Cambria" w:cs="Times New Roman"/>
          <w:color w:val="000000"/>
          <w:sz w:val="21"/>
          <w:szCs w:val="21"/>
          <w:lang w:val="en-ID"/>
        </w:rPr>
        <w:t>,355.00</w:t>
      </w:r>
      <w:proofErr w:type="gramEnd"/>
      <w:r w:rsidRPr="007E2B6C">
        <w:rPr>
          <w:rFonts w:ascii="Cambria" w:hAnsi="Cambria" w:cs="Times New Roman"/>
          <w:color w:val="000000"/>
          <w:sz w:val="21"/>
          <w:szCs w:val="21"/>
          <w:lang w:val="en-ID"/>
        </w:rPr>
        <w:t>. Based on the data obtained, it turns out that the furthest visitors came from Poka. It indicates that visitors to remote locations are willing to pay more to get to this tourist attraction location. In addition, the low entrance fee and the offer of comfort and beauty of tourist sites can be the main trigger for visitors to want to come to this location. In line with the opinion conveyed by Samuelson and Nordhaus </w:t>
      </w:r>
      <w:r w:rsidRPr="007E2B6C">
        <w:rPr>
          <w:rFonts w:ascii="Cambria" w:hAnsi="Cambria" w:cs="Times New Roman"/>
          <w:i/>
          <w:iCs/>
          <w:color w:val="000000"/>
          <w:sz w:val="21"/>
          <w:szCs w:val="21"/>
          <w:lang w:val="en-ID"/>
        </w:rPr>
        <w:t>in </w:t>
      </w:r>
      <w:r w:rsidRPr="007E2B6C">
        <w:rPr>
          <w:rFonts w:ascii="Cambria" w:hAnsi="Cambria" w:cs="Times New Roman"/>
          <w:color w:val="000000"/>
          <w:sz w:val="21"/>
          <w:szCs w:val="21"/>
          <w:lang w:val="en-ID"/>
        </w:rPr>
        <w:t>Susilowati (1990) that consumer surplus reflects the benefits derived from being able to buy all units of goods at a lower price level. Likewise, Fahridin (2001) concept, with high consumer surplus costs, managers can set or increase entrance ticket rates. Therefore, these costs can be used to meet the needs of the ODTW.</w:t>
      </w:r>
    </w:p>
    <w:p w14:paraId="66C9EA02" w14:textId="77777777" w:rsidR="007E2B6C" w:rsidRPr="007E2B6C" w:rsidRDefault="007E2B6C" w:rsidP="007E2B6C">
      <w:pPr>
        <w:spacing w:after="0" w:line="240" w:lineRule="auto"/>
        <w:ind w:firstLine="709"/>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In addition to the high Consumer Surplus Value at Tanjung Batu Konde Beach, it turns out that this tourist attraction is also able to provide a high Total Economic Value compared to other tourist locations where this research was carried out which is Rp. 352,033,800.00. Following the description described in section 5.3.8 regarding the economic value of the Tanjung Batu Konde beach, it is necessary to take these tourist attraction development plans seriously in the future. Development planning can be carried out by the government, private sector, or in the form of self-help groups.</w:t>
      </w:r>
    </w:p>
    <w:p w14:paraId="6B234902" w14:textId="77777777" w:rsidR="007E2B6C" w:rsidRPr="007E2B6C" w:rsidRDefault="007E2B6C" w:rsidP="007E2B6C">
      <w:pPr>
        <w:spacing w:after="0" w:line="240" w:lineRule="auto"/>
        <w:jc w:val="both"/>
        <w:rPr>
          <w:rFonts w:ascii="Cambria" w:hAnsi="Cambria" w:cs="Times New Roman"/>
          <w:color w:val="000000"/>
          <w:sz w:val="21"/>
          <w:szCs w:val="21"/>
          <w:lang w:val="en-ID"/>
        </w:rPr>
      </w:pPr>
      <w:r w:rsidRPr="007E2B6C">
        <w:rPr>
          <w:rFonts w:ascii="Cambria" w:hAnsi="Cambria" w:cs="Times New Roman"/>
          <w:b/>
          <w:bCs/>
          <w:color w:val="000000"/>
          <w:sz w:val="21"/>
          <w:szCs w:val="21"/>
          <w:lang w:val="en-ID"/>
        </w:rPr>
        <w:t>Social and Economic Relationship of Peninsular Communities with Tourist Object Locations</w:t>
      </w:r>
    </w:p>
    <w:p w14:paraId="43B4BC5A" w14:textId="77777777" w:rsidR="007E2B6C" w:rsidRPr="007E2B6C" w:rsidRDefault="007E2B6C" w:rsidP="007E2B6C">
      <w:pPr>
        <w:spacing w:after="0" w:line="240" w:lineRule="auto"/>
        <w:jc w:val="both"/>
        <w:rPr>
          <w:rFonts w:ascii="Cambria" w:hAnsi="Cambria" w:cs="Times New Roman"/>
          <w:color w:val="000000"/>
          <w:sz w:val="21"/>
          <w:szCs w:val="21"/>
          <w:lang w:val="en-ID"/>
        </w:rPr>
      </w:pPr>
      <w:r w:rsidRPr="007E2B6C">
        <w:rPr>
          <w:rFonts w:ascii="Cambria" w:hAnsi="Cambria" w:cs="Times New Roman"/>
          <w:b/>
          <w:bCs/>
          <w:i/>
          <w:iCs/>
          <w:color w:val="000000"/>
          <w:sz w:val="21"/>
          <w:szCs w:val="21"/>
          <w:lang w:val="en-ID"/>
        </w:rPr>
        <w:t>Characteristics of Respondents on the Nusaniwe Peninsula </w:t>
      </w:r>
    </w:p>
    <w:p w14:paraId="07AA8E75" w14:textId="77777777" w:rsidR="007E2B6C" w:rsidRPr="007E2B6C" w:rsidRDefault="007E2B6C" w:rsidP="007E2B6C">
      <w:pPr>
        <w:spacing w:after="0" w:line="240" w:lineRule="auto"/>
        <w:ind w:firstLine="709"/>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 xml:space="preserve">Community respondents' characteristics observed consisted of age, education level, income, and some dependents in the family. These characteristics are directly related to tourism activities and their influence on tourism activities. The age distribution is more dominant at 17-35 years or 70% of the total number of selected community respondents. According to </w:t>
      </w:r>
      <w:r w:rsidRPr="007E2B6C">
        <w:rPr>
          <w:rFonts w:ascii="Cambria" w:hAnsi="Cambria" w:cs="Times New Roman"/>
          <w:color w:val="000000"/>
          <w:sz w:val="21"/>
          <w:szCs w:val="21"/>
          <w:lang w:val="en-ID"/>
        </w:rPr>
        <w:fldChar w:fldCharType="begin" w:fldLock="1"/>
      </w:r>
      <w:r w:rsidRPr="007E2B6C">
        <w:rPr>
          <w:rFonts w:ascii="Cambria" w:hAnsi="Cambria" w:cs="Times New Roman"/>
          <w:color w:val="000000"/>
          <w:sz w:val="21"/>
          <w:szCs w:val="21"/>
          <w:lang w:val="en-ID"/>
        </w:rPr>
        <w:instrText>ADDIN CSL_CITATION {"citationItems":[{"id":"ITEM-1","itemData":{"DOI":"10.1155/2020/1014891","ISSN":"20402309","PMID":"32952987","abstract":"Background. Although physical activity (PA) is a noninvasive and cost-effective method of improving the quality of health, global statistics show that only a few middle-aged and older adults engage in the recommended PAs. This is due to a lack of motivation and companionship. Objective. This study analyses the attitudes and self-determined motivation of Chinese middle-aged and older adults for PAs and their eagerness to participate in PAs such as sports, exercise, and recreational and cultural activities (RCAs), from attitudinal, eagerness, and motivational objectives of PAs perspective. Methods. A cross-sectional study was carried out on 840 middle-aged (35-54 years) and older adults (55+ years). To determine their attitude, eagerness, and self-determined motivation for PA, we used attitudinal, Eagerness for Physical Activity Scale (EPAS), and Situational Motivational Scale (SIMS). The data were analyzed with SPSS 23.0. Results. The results show that 39.1% of the participants were not satisfied with PAs. Compared with females, males reported a less positive attitude towards PAs. Moreover, a positive attitude decreases with age. Participants' motivation and eagerness in activities such as RCAs, exercise, and sports are decreasing. Regarding self-determined motivation, there are gender differences in RCAs, but there is none for exercise and sports participation. Conclusion. The findings show the importance of RCAs and the support of family and friends enhancing the eagerness, attitude, and motivation to participate in PAs. Furthermore, the findings can help to create more effective PA programs for middle-aged and older adults. By engaging in RCAs, participants can reap the benefits of PAs. Participating in RCAs can lead to social equity in health.","author":[{"dropping-particle":"","family":"Rahman","given":"Md Mizanur","non-dropping-particle":"","parse-names":false,"suffix":""},{"dropping-particle":"","family":"Gu","given":"Dongxiao","non-dropping-particle":"","parse-names":false,"suffix":""},{"dropping-particle":"","family":"Liang","given":"Changyong","non-dropping-particle":"","parse-names":false,"suffix":""},{"dropping-particle":"","family":"Rashid","given":"Rao Muhammad","non-dropping-particle":"","parse-names":false,"suffix":""},{"dropping-particle":"","family":"Akter","given":"Monira","non-dropping-particle":"","parse-names":false,"suffix":""}],"container-title":"Journal of Healthcare Engineering","id":"ITEM-1","issued":{"date-parts":[["2020"]]},"title":"Effects of Attitude, Motivation, and Eagerness for Physical Activity among Middle-Aged and Older Adults","type":"article-journal","volume":"2020"},"uris":["http://www.mendeley.com/documents/?uuid=2bffbc84-6f43-40e0-9697-954c7d2ad118"]}],"mendeley":{"formattedCitation":"(Rahman et al., 2020)","manualFormatting":"Rahman et al., (2020)","plainTextFormattedCitation":"(Rahman et al., 2020)","previouslyFormattedCitation":"(Rahman et al., 2020)"},"properties":{"noteIndex":0},"schema":"https://github.com/citation-style-language/schema/raw/master/csl-citation.json"}</w:instrText>
      </w:r>
      <w:r w:rsidRPr="007E2B6C">
        <w:rPr>
          <w:rFonts w:ascii="Cambria" w:hAnsi="Cambria" w:cs="Times New Roman"/>
          <w:color w:val="000000"/>
          <w:sz w:val="21"/>
          <w:szCs w:val="21"/>
          <w:lang w:val="en-ID"/>
        </w:rPr>
        <w:fldChar w:fldCharType="separate"/>
      </w:r>
      <w:r w:rsidRPr="007E2B6C">
        <w:rPr>
          <w:rFonts w:ascii="Cambria" w:hAnsi="Cambria" w:cs="Times New Roman"/>
          <w:noProof/>
          <w:color w:val="000000"/>
          <w:sz w:val="21"/>
          <w:szCs w:val="21"/>
          <w:lang w:val="en-ID"/>
        </w:rPr>
        <w:t>Rahman et al., (2020)</w:t>
      </w:r>
      <w:r w:rsidRPr="007E2B6C">
        <w:rPr>
          <w:rFonts w:ascii="Cambria" w:hAnsi="Cambria" w:cs="Times New Roman"/>
          <w:color w:val="000000"/>
          <w:sz w:val="21"/>
          <w:szCs w:val="21"/>
          <w:lang w:val="en-ID"/>
        </w:rPr>
        <w:fldChar w:fldCharType="end"/>
      </w:r>
      <w:r w:rsidRPr="007E2B6C">
        <w:rPr>
          <w:rFonts w:ascii="Cambria" w:hAnsi="Cambria" w:cs="Times New Roman"/>
          <w:color w:val="000000"/>
          <w:sz w:val="21"/>
          <w:szCs w:val="21"/>
          <w:lang w:val="en-ID"/>
        </w:rPr>
        <w:t xml:space="preserve">, the age factor is a factor that influences a person's attitude towards existing social activities. Those from the upper-middle age group (17-55 years) with stronger moral attachment to values </w:t>
      </w:r>
      <w:r w:rsidRPr="007E2B6C">
        <w:rPr>
          <w:rFonts w:ascii="Cambria" w:hAnsi="Cambria"/>
          <w:color w:val="000000"/>
          <w:sz w:val="21"/>
          <w:szCs w:val="21"/>
          <w:lang w:val="en-ID"/>
        </w:rPr>
        <w:t>​​</w:t>
      </w:r>
      <w:r w:rsidRPr="007E2B6C">
        <w:rPr>
          <w:rFonts w:ascii="Cambria" w:hAnsi="Cambria" w:cs="Times New Roman"/>
          <w:color w:val="000000"/>
          <w:sz w:val="21"/>
          <w:szCs w:val="21"/>
          <w:lang w:val="en-ID"/>
        </w:rPr>
        <w:t>and norms tend to participate more than those from other age groups. Following the conditions in the field, the number of people who participate in the use of tourist attractions is higher than the age above 55 years. </w:t>
      </w:r>
    </w:p>
    <w:p w14:paraId="3527D61A" w14:textId="77777777" w:rsidR="007E2B6C" w:rsidRPr="007E2B6C" w:rsidRDefault="007E2B6C" w:rsidP="007E2B6C">
      <w:pPr>
        <w:spacing w:after="0" w:line="240" w:lineRule="auto"/>
        <w:ind w:firstLine="709"/>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 xml:space="preserve">The education level of community respondents directly related to ecotourism locations on the Nusaniwe peninsula is at the level of high school education as many as 18 respondents or 60%. According to research by </w:t>
      </w:r>
      <w:r w:rsidRPr="007E2B6C">
        <w:rPr>
          <w:rFonts w:ascii="Cambria" w:hAnsi="Cambria" w:cs="Times New Roman"/>
          <w:color w:val="000000"/>
          <w:sz w:val="21"/>
          <w:szCs w:val="21"/>
          <w:lang w:val="en-ID"/>
        </w:rPr>
        <w:fldChar w:fldCharType="begin" w:fldLock="1"/>
      </w:r>
      <w:r w:rsidRPr="007E2B6C">
        <w:rPr>
          <w:rFonts w:ascii="Cambria" w:hAnsi="Cambria" w:cs="Times New Roman"/>
          <w:color w:val="000000"/>
          <w:sz w:val="21"/>
          <w:szCs w:val="21"/>
          <w:lang w:val="en-ID"/>
        </w:rPr>
        <w:instrText>ADDIN CSL_CITATION {"citationItems":[{"id":"ITEM-1","itemData":{"DOI":"10.11591/IJERE.V10I3.21713","ISSN":"26205440","abstract":"Many future studies have been developed by scientists today in the form of methods, models, strategies, and techniques in improving student learning outcomes that are oriented to psychology and the development of students' intelligence. One of the latest innovations in learning offered in this study is the homogeneity psycho cognition (HPC) strategy. The research objective was to develop the latest learning strategies in physical education, sports, and health learning. This development research uses a 4D model consisting of four stages: define, design, develop, and disseminate to produce products in the form of an HPC learning strategy. This study involved 115 elementary school students in several sample schools in Ambon City as participants. This study found that the HPC learning strategy had been developed following the relevant development directions and procedures. The validation of the HPC strategy by experts indicates that the HPC strategy is feasible to implement with due regard to minor revisions. The results of small and medium-scale trials show that the HPC strategy can improve student learning outcomes.","author":[{"dropping-particle":"","family":"Fenanlampir","given":"Albertus","non-dropping-particle":"","parse-names":false,"suffix":""},{"dropping-particle":"","family":"Leasa","given":"Marleny","non-dropping-particle":"","parse-names":false,"suffix":""},{"dropping-particle":"","family":"Batlolona","given":"John Rafafy","non-dropping-particle":"","parse-names":false,"suffix":""}],"container-title":"International Journal of Evaluation and Research in Education","id":"ITEM-1","issue":"3","issued":{"date-parts":[["2021"]]},"page":"1047-1059","title":"The development of homogeneity psycho cognition learning strategy in physical education learning","type":"article-journal","volume":"10"},"uris":["http://www.mendeley.com/documents/?uuid=fb0b0965-8326-4f3a-a6a4-c306c50ca20a"]}],"mendeley":{"formattedCitation":"(Fenanlampir et al., 2021)","manualFormatting":"Fenanlampir et al. (2021)","plainTextFormattedCitation":"(Fenanlampir et al., 2021)","previouslyFormattedCitation":"(Fenanlampir et al., 2021)"},"properties":{"noteIndex":0},"schema":"https://github.com/citation-style-language/schema/raw/master/csl-citation.json"}</w:instrText>
      </w:r>
      <w:r w:rsidRPr="007E2B6C">
        <w:rPr>
          <w:rFonts w:ascii="Cambria" w:hAnsi="Cambria" w:cs="Times New Roman"/>
          <w:color w:val="000000"/>
          <w:sz w:val="21"/>
          <w:szCs w:val="21"/>
          <w:lang w:val="en-ID"/>
        </w:rPr>
        <w:fldChar w:fldCharType="separate"/>
      </w:r>
      <w:r w:rsidRPr="007E2B6C">
        <w:rPr>
          <w:rFonts w:ascii="Cambria" w:hAnsi="Cambria" w:cs="Times New Roman"/>
          <w:noProof/>
          <w:color w:val="000000"/>
          <w:sz w:val="21"/>
          <w:szCs w:val="21"/>
          <w:lang w:val="en-ID"/>
        </w:rPr>
        <w:t>Fenanlampir et al. (2021)</w:t>
      </w:r>
      <w:r w:rsidRPr="007E2B6C">
        <w:rPr>
          <w:rFonts w:ascii="Cambria" w:hAnsi="Cambria" w:cs="Times New Roman"/>
          <w:color w:val="000000"/>
          <w:sz w:val="21"/>
          <w:szCs w:val="21"/>
          <w:lang w:val="en-ID"/>
        </w:rPr>
        <w:fldChar w:fldCharType="end"/>
      </w:r>
      <w:r w:rsidRPr="007E2B6C">
        <w:rPr>
          <w:rFonts w:ascii="Cambria" w:hAnsi="Cambria" w:cs="Times New Roman"/>
          <w:color w:val="000000"/>
          <w:sz w:val="21"/>
          <w:szCs w:val="21"/>
          <w:lang w:val="en-ID"/>
        </w:rPr>
        <w:t>, the low level of education has caused people to not compete in channeling their expertise outside the region and try their luck in various activities. Therefore, it will rely on the fate of its regional resources. Meanwhile, based on the results in the field, it was found that a person's level of education did not affect a person's participation in the use of tourist attractions to increase the family's economic income.</w:t>
      </w:r>
    </w:p>
    <w:p w14:paraId="544D74BE" w14:textId="77777777" w:rsidR="007E2B6C" w:rsidRPr="007E2B6C" w:rsidRDefault="007E2B6C" w:rsidP="007E2B6C">
      <w:pPr>
        <w:spacing w:after="0" w:line="240" w:lineRule="auto"/>
        <w:ind w:firstLine="709"/>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 Income can also influence a person in carrying out their economic activities. It means that if the level of income obtained from the tourist attraction location is high, it will affect public participation in the location of the tourist attraction itself. Work also influences a person to participate in the management of ecotourism areas. According to the study results, it was found that 19 respondents, or 63% of the people in tourist attraction locations, were actively involved in carrying out economic activities as entrepreneurs.</w:t>
      </w:r>
    </w:p>
    <w:p w14:paraId="3A8479EF" w14:textId="77777777" w:rsidR="007E2B6C" w:rsidRPr="007E2B6C" w:rsidRDefault="007E2B6C" w:rsidP="007E2B6C">
      <w:pPr>
        <w:spacing w:after="0" w:line="240" w:lineRule="auto"/>
        <w:ind w:firstLine="709"/>
        <w:jc w:val="both"/>
        <w:rPr>
          <w:rFonts w:ascii="Cambria" w:hAnsi="Cambria" w:cs="Times New Roman"/>
          <w:color w:val="000000"/>
          <w:sz w:val="21"/>
          <w:szCs w:val="21"/>
          <w:lang w:val="en-ID"/>
        </w:rPr>
      </w:pPr>
      <w:r w:rsidRPr="007E2B6C">
        <w:rPr>
          <w:rFonts w:ascii="Cambria" w:hAnsi="Cambria" w:cs="Times New Roman"/>
          <w:color w:val="000000"/>
          <w:sz w:val="21"/>
          <w:szCs w:val="21"/>
          <w:lang w:val="en-ID"/>
        </w:rPr>
        <w:t xml:space="preserve">The sample of community respondents in this study was taken as many as 30 respondents divided proportionally into three main locations, namely 10 respondents for Amahusu </w:t>
      </w:r>
      <w:r w:rsidRPr="007E2B6C">
        <w:rPr>
          <w:rFonts w:ascii="Cambria" w:hAnsi="Cambria" w:cs="Times New Roman"/>
          <w:i/>
          <w:iCs/>
          <w:color w:val="000000"/>
          <w:sz w:val="21"/>
          <w:szCs w:val="21"/>
          <w:lang w:val="en-ID"/>
        </w:rPr>
        <w:t>negeri</w:t>
      </w:r>
      <w:r w:rsidRPr="007E2B6C">
        <w:rPr>
          <w:rFonts w:ascii="Cambria" w:hAnsi="Cambria" w:cs="Times New Roman"/>
          <w:color w:val="000000"/>
          <w:sz w:val="21"/>
          <w:szCs w:val="21"/>
          <w:lang w:val="en-ID"/>
        </w:rPr>
        <w:t xml:space="preserve">, 10 respondents for Nusaniwe </w:t>
      </w:r>
      <w:r w:rsidRPr="007E2B6C">
        <w:rPr>
          <w:rFonts w:ascii="Cambria" w:hAnsi="Cambria" w:cs="Times New Roman"/>
          <w:i/>
          <w:iCs/>
          <w:color w:val="000000"/>
          <w:sz w:val="21"/>
          <w:szCs w:val="21"/>
          <w:lang w:val="en-ID"/>
        </w:rPr>
        <w:t>Negeri</w:t>
      </w:r>
      <w:r w:rsidRPr="007E2B6C">
        <w:rPr>
          <w:rFonts w:ascii="Cambria" w:hAnsi="Cambria" w:cs="Times New Roman"/>
          <w:color w:val="000000"/>
          <w:sz w:val="21"/>
          <w:szCs w:val="21"/>
          <w:lang w:val="en-ID"/>
        </w:rPr>
        <w:t xml:space="preserve">, and 10 respondents for Latuhalat </w:t>
      </w:r>
      <w:r w:rsidRPr="007E2B6C">
        <w:rPr>
          <w:rFonts w:ascii="Cambria" w:hAnsi="Cambria" w:cs="Times New Roman"/>
          <w:i/>
          <w:iCs/>
          <w:color w:val="000000"/>
          <w:sz w:val="21"/>
          <w:szCs w:val="21"/>
          <w:lang w:val="en-ID"/>
        </w:rPr>
        <w:t>negeri</w:t>
      </w:r>
      <w:r w:rsidRPr="007E2B6C">
        <w:rPr>
          <w:rFonts w:ascii="Cambria" w:hAnsi="Cambria" w:cs="Times New Roman"/>
          <w:color w:val="000000"/>
          <w:sz w:val="21"/>
          <w:szCs w:val="21"/>
          <w:lang w:val="en-ID"/>
        </w:rPr>
        <w:t xml:space="preserve">. The details related to </w:t>
      </w:r>
      <w:r w:rsidRPr="007E2B6C">
        <w:rPr>
          <w:rFonts w:ascii="Cambria" w:hAnsi="Cambria" w:cs="Times New Roman"/>
          <w:color w:val="000000"/>
          <w:sz w:val="21"/>
          <w:szCs w:val="21"/>
          <w:lang w:val="en-ID"/>
        </w:rPr>
        <w:lastRenderedPageBreak/>
        <w:t>the characteristics of community respondents at the research location can be seen in the table below</w:t>
      </w:r>
    </w:p>
    <w:p w14:paraId="53000E3B" w14:textId="097B7175" w:rsidR="007E2B6C" w:rsidRPr="007E2B6C" w:rsidRDefault="007E2B6C" w:rsidP="00B06175">
      <w:pPr>
        <w:tabs>
          <w:tab w:val="left" w:pos="0"/>
        </w:tabs>
        <w:spacing w:after="0" w:line="240" w:lineRule="auto"/>
        <w:jc w:val="center"/>
        <w:rPr>
          <w:rFonts w:ascii="Cambria" w:hAnsi="Cambria" w:cs="Times New Roman"/>
          <w:sz w:val="21"/>
          <w:szCs w:val="21"/>
        </w:rPr>
      </w:pPr>
      <w:proofErr w:type="gramStart"/>
      <w:r w:rsidRPr="007E2B6C">
        <w:rPr>
          <w:rFonts w:ascii="Cambria" w:hAnsi="Cambria" w:cs="Times New Roman"/>
          <w:sz w:val="21"/>
          <w:szCs w:val="21"/>
        </w:rPr>
        <w:t>Table 6</w:t>
      </w:r>
      <w:r w:rsidR="00B06175">
        <w:rPr>
          <w:rFonts w:ascii="Cambria" w:hAnsi="Cambria" w:cs="Times New Roman"/>
          <w:sz w:val="21"/>
          <w:szCs w:val="21"/>
        </w:rPr>
        <w:t>.</w:t>
      </w:r>
      <w:proofErr w:type="gramEnd"/>
      <w:r w:rsidR="00B06175">
        <w:rPr>
          <w:rFonts w:ascii="Cambria" w:hAnsi="Cambria" w:cs="Times New Roman"/>
          <w:sz w:val="21"/>
          <w:szCs w:val="21"/>
        </w:rPr>
        <w:t xml:space="preserve"> </w:t>
      </w:r>
      <w:r w:rsidRPr="007E2B6C">
        <w:rPr>
          <w:rFonts w:ascii="Cambria" w:hAnsi="Cambria" w:cs="Times New Roman"/>
          <w:sz w:val="21"/>
          <w:szCs w:val="21"/>
        </w:rPr>
        <w:t xml:space="preserve">Characteristics </w:t>
      </w:r>
      <w:r w:rsidR="002B31FF">
        <w:rPr>
          <w:rFonts w:ascii="Cambria" w:hAnsi="Cambria" w:cs="Times New Roman"/>
          <w:sz w:val="21"/>
          <w:szCs w:val="21"/>
        </w:rPr>
        <w:t>o</w:t>
      </w:r>
      <w:r w:rsidR="00B06175" w:rsidRPr="007E2B6C">
        <w:rPr>
          <w:rFonts w:ascii="Cambria" w:hAnsi="Cambria" w:cs="Times New Roman"/>
          <w:sz w:val="21"/>
          <w:szCs w:val="21"/>
        </w:rPr>
        <w:t xml:space="preserve">f Respondents </w:t>
      </w:r>
      <w:proofErr w:type="gramStart"/>
      <w:r w:rsidR="00B06175" w:rsidRPr="007E2B6C">
        <w:rPr>
          <w:rFonts w:ascii="Cambria" w:hAnsi="Cambria" w:cs="Times New Roman"/>
          <w:sz w:val="21"/>
          <w:szCs w:val="21"/>
        </w:rPr>
        <w:t>In</w:t>
      </w:r>
      <w:proofErr w:type="gramEnd"/>
      <w:r w:rsidR="00B06175" w:rsidRPr="007E2B6C">
        <w:rPr>
          <w:rFonts w:ascii="Cambria" w:hAnsi="Cambria" w:cs="Times New Roman"/>
          <w:sz w:val="21"/>
          <w:szCs w:val="21"/>
        </w:rPr>
        <w:t xml:space="preserve"> The Nusaniwe Peninsula Community</w:t>
      </w:r>
    </w:p>
    <w:tbl>
      <w:tblPr>
        <w:tblW w:w="7074" w:type="dxa"/>
        <w:jc w:val="center"/>
        <w:tblInd w:w="-87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546"/>
        <w:gridCol w:w="2613"/>
        <w:gridCol w:w="1054"/>
        <w:gridCol w:w="1861"/>
      </w:tblGrid>
      <w:tr w:rsidR="007E2B6C" w:rsidRPr="007E2B6C" w14:paraId="7C59CB1F" w14:textId="77777777" w:rsidTr="00B06175">
        <w:trPr>
          <w:tblHeader/>
          <w:jc w:val="center"/>
        </w:trPr>
        <w:tc>
          <w:tcPr>
            <w:tcW w:w="1546" w:type="dxa"/>
            <w:tcBorders>
              <w:top w:val="single" w:sz="4" w:space="0" w:color="auto"/>
              <w:bottom w:val="single" w:sz="4" w:space="0" w:color="000000"/>
            </w:tcBorders>
            <w:shd w:val="clear" w:color="auto" w:fill="auto"/>
            <w:vAlign w:val="center"/>
          </w:tcPr>
          <w:p w14:paraId="442EC241"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Parameter</w:t>
            </w:r>
          </w:p>
        </w:tc>
        <w:tc>
          <w:tcPr>
            <w:tcW w:w="2613" w:type="dxa"/>
            <w:tcBorders>
              <w:top w:val="single" w:sz="4" w:space="0" w:color="auto"/>
              <w:bottom w:val="single" w:sz="4" w:space="0" w:color="000000"/>
            </w:tcBorders>
            <w:shd w:val="clear" w:color="auto" w:fill="auto"/>
            <w:vAlign w:val="center"/>
          </w:tcPr>
          <w:p w14:paraId="50DF02C4"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Criteria</w:t>
            </w:r>
          </w:p>
        </w:tc>
        <w:tc>
          <w:tcPr>
            <w:tcW w:w="1054" w:type="dxa"/>
            <w:tcBorders>
              <w:top w:val="single" w:sz="4" w:space="0" w:color="auto"/>
              <w:bottom w:val="single" w:sz="4" w:space="0" w:color="000000"/>
            </w:tcBorders>
            <w:shd w:val="clear" w:color="auto" w:fill="auto"/>
            <w:vAlign w:val="center"/>
          </w:tcPr>
          <w:p w14:paraId="1679FA2A"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Total</w:t>
            </w:r>
          </w:p>
        </w:tc>
        <w:tc>
          <w:tcPr>
            <w:tcW w:w="1861" w:type="dxa"/>
            <w:tcBorders>
              <w:top w:val="single" w:sz="4" w:space="0" w:color="auto"/>
              <w:bottom w:val="single" w:sz="4" w:space="0" w:color="000000"/>
            </w:tcBorders>
            <w:shd w:val="clear" w:color="auto" w:fill="auto"/>
            <w:vAlign w:val="center"/>
          </w:tcPr>
          <w:p w14:paraId="607ED261"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Percentage (%)</w:t>
            </w:r>
          </w:p>
        </w:tc>
      </w:tr>
      <w:tr w:rsidR="007E2B6C" w:rsidRPr="007E2B6C" w14:paraId="76ED574F" w14:textId="77777777" w:rsidTr="00194E23">
        <w:trPr>
          <w:trHeight w:val="643"/>
          <w:jc w:val="center"/>
        </w:trPr>
        <w:tc>
          <w:tcPr>
            <w:tcW w:w="1546" w:type="dxa"/>
            <w:tcBorders>
              <w:bottom w:val="nil"/>
            </w:tcBorders>
            <w:shd w:val="clear" w:color="auto" w:fill="auto"/>
            <w:vAlign w:val="center"/>
          </w:tcPr>
          <w:p w14:paraId="1BD25615" w14:textId="77777777" w:rsidR="007E2B6C" w:rsidRPr="007E2B6C" w:rsidRDefault="007E2B6C" w:rsidP="00194E23">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Age</w:t>
            </w:r>
          </w:p>
        </w:tc>
        <w:tc>
          <w:tcPr>
            <w:tcW w:w="2613" w:type="dxa"/>
            <w:tcBorders>
              <w:bottom w:val="nil"/>
            </w:tcBorders>
            <w:shd w:val="clear" w:color="auto" w:fill="auto"/>
            <w:vAlign w:val="center"/>
          </w:tcPr>
          <w:p w14:paraId="6F3D13CE" w14:textId="77777777" w:rsidR="007E2B6C" w:rsidRPr="007E2B6C" w:rsidRDefault="007E2B6C" w:rsidP="00194E23">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a. 17 – 35 years</w:t>
            </w:r>
          </w:p>
          <w:p w14:paraId="152DBE2C" w14:textId="77777777" w:rsidR="007E2B6C" w:rsidRPr="007E2B6C" w:rsidRDefault="007E2B6C" w:rsidP="00194E23">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b. 36 – 55 years</w:t>
            </w:r>
          </w:p>
          <w:p w14:paraId="16E56CE3" w14:textId="77777777" w:rsidR="007E2B6C" w:rsidRPr="007E2B6C" w:rsidRDefault="007E2B6C" w:rsidP="00194E23">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c. &gt; 56 years</w:t>
            </w:r>
          </w:p>
        </w:tc>
        <w:tc>
          <w:tcPr>
            <w:tcW w:w="1054" w:type="dxa"/>
            <w:tcBorders>
              <w:bottom w:val="nil"/>
            </w:tcBorders>
            <w:shd w:val="clear" w:color="auto" w:fill="auto"/>
            <w:vAlign w:val="center"/>
          </w:tcPr>
          <w:p w14:paraId="7A8EFE34"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21</w:t>
            </w:r>
          </w:p>
          <w:p w14:paraId="5ABB0481"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7</w:t>
            </w:r>
          </w:p>
          <w:p w14:paraId="53A8AD31"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2</w:t>
            </w:r>
          </w:p>
        </w:tc>
        <w:tc>
          <w:tcPr>
            <w:tcW w:w="1861" w:type="dxa"/>
            <w:tcBorders>
              <w:bottom w:val="nil"/>
            </w:tcBorders>
            <w:shd w:val="clear" w:color="auto" w:fill="auto"/>
            <w:vAlign w:val="center"/>
          </w:tcPr>
          <w:p w14:paraId="090912F6"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70</w:t>
            </w:r>
          </w:p>
          <w:p w14:paraId="3C2918E5"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23</w:t>
            </w:r>
          </w:p>
          <w:p w14:paraId="0FACE582"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7</w:t>
            </w:r>
          </w:p>
        </w:tc>
      </w:tr>
      <w:tr w:rsidR="007E2B6C" w:rsidRPr="007E2B6C" w14:paraId="28741F9E" w14:textId="77777777" w:rsidTr="00194E23">
        <w:trPr>
          <w:jc w:val="center"/>
        </w:trPr>
        <w:tc>
          <w:tcPr>
            <w:tcW w:w="1546" w:type="dxa"/>
            <w:tcBorders>
              <w:top w:val="nil"/>
              <w:bottom w:val="nil"/>
            </w:tcBorders>
            <w:shd w:val="clear" w:color="auto" w:fill="auto"/>
            <w:vAlign w:val="center"/>
          </w:tcPr>
          <w:p w14:paraId="0A3B5C8D" w14:textId="77777777" w:rsidR="007E2B6C" w:rsidRPr="007E2B6C" w:rsidRDefault="007E2B6C" w:rsidP="00194E23">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Education</w:t>
            </w:r>
          </w:p>
        </w:tc>
        <w:tc>
          <w:tcPr>
            <w:tcW w:w="2613" w:type="dxa"/>
            <w:tcBorders>
              <w:top w:val="nil"/>
              <w:bottom w:val="nil"/>
            </w:tcBorders>
            <w:shd w:val="clear" w:color="auto" w:fill="auto"/>
            <w:vAlign w:val="center"/>
          </w:tcPr>
          <w:p w14:paraId="225A4173" w14:textId="77777777" w:rsidR="007E2B6C" w:rsidRPr="007E2B6C" w:rsidRDefault="007E2B6C" w:rsidP="007E2B6C">
            <w:pPr>
              <w:pStyle w:val="ListParagraph"/>
              <w:numPr>
                <w:ilvl w:val="1"/>
                <w:numId w:val="34"/>
              </w:numPr>
              <w:tabs>
                <w:tab w:val="left" w:pos="0"/>
              </w:tabs>
              <w:spacing w:after="0" w:line="240" w:lineRule="auto"/>
              <w:ind w:left="303" w:hanging="303"/>
              <w:contextualSpacing/>
              <w:rPr>
                <w:rFonts w:ascii="Cambria" w:hAnsi="Cambria"/>
                <w:sz w:val="21"/>
                <w:szCs w:val="21"/>
              </w:rPr>
            </w:pPr>
            <w:r w:rsidRPr="007E2B6C">
              <w:rPr>
                <w:rFonts w:ascii="Cambria" w:hAnsi="Cambria"/>
                <w:sz w:val="21"/>
                <w:szCs w:val="21"/>
              </w:rPr>
              <w:t>elementary school</w:t>
            </w:r>
          </w:p>
          <w:p w14:paraId="7B8DA367" w14:textId="77777777" w:rsidR="007E2B6C" w:rsidRPr="007E2B6C" w:rsidRDefault="007E2B6C" w:rsidP="007E2B6C">
            <w:pPr>
              <w:pStyle w:val="ListParagraph"/>
              <w:numPr>
                <w:ilvl w:val="0"/>
                <w:numId w:val="34"/>
              </w:numPr>
              <w:tabs>
                <w:tab w:val="left" w:pos="0"/>
              </w:tabs>
              <w:spacing w:after="0" w:line="240" w:lineRule="auto"/>
              <w:ind w:left="303" w:hanging="303"/>
              <w:contextualSpacing/>
              <w:rPr>
                <w:rFonts w:ascii="Cambria" w:hAnsi="Cambria"/>
                <w:sz w:val="21"/>
                <w:szCs w:val="21"/>
              </w:rPr>
            </w:pPr>
            <w:r w:rsidRPr="007E2B6C">
              <w:rPr>
                <w:rFonts w:ascii="Cambria" w:hAnsi="Cambria"/>
                <w:sz w:val="21"/>
                <w:szCs w:val="21"/>
              </w:rPr>
              <w:t>junior high school</w:t>
            </w:r>
          </w:p>
          <w:p w14:paraId="03C2A354" w14:textId="77777777" w:rsidR="007E2B6C" w:rsidRPr="007E2B6C" w:rsidRDefault="007E2B6C" w:rsidP="007E2B6C">
            <w:pPr>
              <w:pStyle w:val="ListParagraph"/>
              <w:numPr>
                <w:ilvl w:val="0"/>
                <w:numId w:val="34"/>
              </w:numPr>
              <w:tabs>
                <w:tab w:val="left" w:pos="0"/>
              </w:tabs>
              <w:spacing w:after="0" w:line="240" w:lineRule="auto"/>
              <w:ind w:left="303" w:hanging="303"/>
              <w:contextualSpacing/>
              <w:rPr>
                <w:rFonts w:ascii="Cambria" w:hAnsi="Cambria"/>
                <w:sz w:val="21"/>
                <w:szCs w:val="21"/>
              </w:rPr>
            </w:pPr>
            <w:r w:rsidRPr="007E2B6C">
              <w:rPr>
                <w:rFonts w:ascii="Cambria" w:hAnsi="Cambria"/>
                <w:sz w:val="21"/>
                <w:szCs w:val="21"/>
              </w:rPr>
              <w:t>senior high school</w:t>
            </w:r>
          </w:p>
          <w:p w14:paraId="5D007933" w14:textId="77777777" w:rsidR="007E2B6C" w:rsidRPr="007E2B6C" w:rsidRDefault="007E2B6C" w:rsidP="007E2B6C">
            <w:pPr>
              <w:pStyle w:val="ListParagraph"/>
              <w:numPr>
                <w:ilvl w:val="0"/>
                <w:numId w:val="34"/>
              </w:numPr>
              <w:tabs>
                <w:tab w:val="left" w:pos="0"/>
              </w:tabs>
              <w:spacing w:after="0" w:line="240" w:lineRule="auto"/>
              <w:ind w:left="303" w:hanging="303"/>
              <w:contextualSpacing/>
              <w:rPr>
                <w:rFonts w:ascii="Cambria" w:hAnsi="Cambria"/>
                <w:sz w:val="21"/>
                <w:szCs w:val="21"/>
              </w:rPr>
            </w:pPr>
            <w:r w:rsidRPr="007E2B6C">
              <w:rPr>
                <w:rFonts w:ascii="Cambria" w:hAnsi="Cambria"/>
                <w:sz w:val="21"/>
                <w:szCs w:val="21"/>
              </w:rPr>
              <w:t>College school</w:t>
            </w:r>
          </w:p>
        </w:tc>
        <w:tc>
          <w:tcPr>
            <w:tcW w:w="1054" w:type="dxa"/>
            <w:tcBorders>
              <w:top w:val="nil"/>
              <w:bottom w:val="nil"/>
            </w:tcBorders>
            <w:shd w:val="clear" w:color="auto" w:fill="auto"/>
            <w:vAlign w:val="center"/>
          </w:tcPr>
          <w:p w14:paraId="76366F64"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w:t>
            </w:r>
          </w:p>
          <w:p w14:paraId="215C55AD"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4</w:t>
            </w:r>
          </w:p>
          <w:p w14:paraId="6E4F9B8C"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18</w:t>
            </w:r>
          </w:p>
          <w:p w14:paraId="7F0F318E"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8</w:t>
            </w:r>
          </w:p>
        </w:tc>
        <w:tc>
          <w:tcPr>
            <w:tcW w:w="1861" w:type="dxa"/>
            <w:tcBorders>
              <w:top w:val="nil"/>
              <w:bottom w:val="nil"/>
            </w:tcBorders>
            <w:shd w:val="clear" w:color="auto" w:fill="auto"/>
            <w:vAlign w:val="center"/>
          </w:tcPr>
          <w:p w14:paraId="04ED23C7"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w:t>
            </w:r>
          </w:p>
          <w:p w14:paraId="18824144"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13</w:t>
            </w:r>
          </w:p>
          <w:p w14:paraId="580E9B7A"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60</w:t>
            </w:r>
          </w:p>
          <w:p w14:paraId="436F85FD"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27</w:t>
            </w:r>
          </w:p>
        </w:tc>
      </w:tr>
      <w:tr w:rsidR="007E2B6C" w:rsidRPr="007E2B6C" w14:paraId="0D2FE666" w14:textId="77777777" w:rsidTr="00B06175">
        <w:trPr>
          <w:jc w:val="center"/>
        </w:trPr>
        <w:tc>
          <w:tcPr>
            <w:tcW w:w="1546" w:type="dxa"/>
            <w:tcBorders>
              <w:top w:val="nil"/>
              <w:bottom w:val="nil"/>
            </w:tcBorders>
            <w:shd w:val="clear" w:color="auto" w:fill="auto"/>
            <w:vAlign w:val="center"/>
          </w:tcPr>
          <w:p w14:paraId="09EDA8AC" w14:textId="77777777" w:rsidR="007E2B6C" w:rsidRPr="007E2B6C" w:rsidRDefault="007E2B6C" w:rsidP="00194E23">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Occupation</w:t>
            </w:r>
          </w:p>
        </w:tc>
        <w:tc>
          <w:tcPr>
            <w:tcW w:w="2613" w:type="dxa"/>
            <w:tcBorders>
              <w:top w:val="nil"/>
              <w:bottom w:val="nil"/>
            </w:tcBorders>
            <w:shd w:val="clear" w:color="auto" w:fill="auto"/>
            <w:vAlign w:val="center"/>
          </w:tcPr>
          <w:p w14:paraId="7D6C91C4" w14:textId="77777777" w:rsidR="007E2B6C" w:rsidRPr="007E2B6C" w:rsidRDefault="007E2B6C" w:rsidP="00194E23">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a. civil servants</w:t>
            </w:r>
          </w:p>
          <w:p w14:paraId="492110C0" w14:textId="77777777" w:rsidR="007E2B6C" w:rsidRPr="007E2B6C" w:rsidRDefault="007E2B6C" w:rsidP="00194E23">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b. Entrepreneur</w:t>
            </w:r>
          </w:p>
          <w:p w14:paraId="148C7C08" w14:textId="77777777" w:rsidR="007E2B6C" w:rsidRPr="007E2B6C" w:rsidRDefault="007E2B6C" w:rsidP="00194E23">
            <w:pPr>
              <w:tabs>
                <w:tab w:val="left" w:pos="0"/>
              </w:tabs>
              <w:spacing w:after="0" w:line="240" w:lineRule="auto"/>
              <w:jc w:val="both"/>
              <w:rPr>
                <w:rFonts w:ascii="Cambria" w:hAnsi="Cambria" w:cs="Times New Roman"/>
                <w:sz w:val="21"/>
                <w:szCs w:val="21"/>
              </w:rPr>
            </w:pPr>
            <w:r w:rsidRPr="007E2B6C">
              <w:rPr>
                <w:rFonts w:ascii="Cambria" w:hAnsi="Cambria" w:cs="Times New Roman"/>
                <w:sz w:val="21"/>
                <w:szCs w:val="21"/>
              </w:rPr>
              <w:t>c. Others</w:t>
            </w:r>
          </w:p>
        </w:tc>
        <w:tc>
          <w:tcPr>
            <w:tcW w:w="1054" w:type="dxa"/>
            <w:tcBorders>
              <w:top w:val="nil"/>
              <w:bottom w:val="nil"/>
            </w:tcBorders>
            <w:shd w:val="clear" w:color="auto" w:fill="auto"/>
            <w:vAlign w:val="center"/>
          </w:tcPr>
          <w:p w14:paraId="6C7EF00F"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1</w:t>
            </w:r>
          </w:p>
          <w:p w14:paraId="5CCC4F48"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19</w:t>
            </w:r>
          </w:p>
          <w:p w14:paraId="250A6349"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10</w:t>
            </w:r>
          </w:p>
        </w:tc>
        <w:tc>
          <w:tcPr>
            <w:tcW w:w="1861" w:type="dxa"/>
            <w:tcBorders>
              <w:top w:val="nil"/>
              <w:bottom w:val="nil"/>
            </w:tcBorders>
            <w:shd w:val="clear" w:color="auto" w:fill="auto"/>
            <w:vAlign w:val="center"/>
          </w:tcPr>
          <w:p w14:paraId="1A8FB11A"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3</w:t>
            </w:r>
          </w:p>
          <w:p w14:paraId="1589F429"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63</w:t>
            </w:r>
          </w:p>
          <w:p w14:paraId="686887D5" w14:textId="77777777" w:rsidR="007E2B6C" w:rsidRPr="007E2B6C" w:rsidRDefault="007E2B6C" w:rsidP="00194E23">
            <w:pPr>
              <w:tabs>
                <w:tab w:val="left" w:pos="0"/>
              </w:tabs>
              <w:spacing w:after="0" w:line="240" w:lineRule="auto"/>
              <w:jc w:val="center"/>
              <w:rPr>
                <w:rFonts w:ascii="Cambria" w:hAnsi="Cambria" w:cs="Times New Roman"/>
                <w:sz w:val="21"/>
                <w:szCs w:val="21"/>
              </w:rPr>
            </w:pPr>
            <w:r w:rsidRPr="007E2B6C">
              <w:rPr>
                <w:rFonts w:ascii="Cambria" w:hAnsi="Cambria" w:cs="Times New Roman"/>
                <w:sz w:val="21"/>
                <w:szCs w:val="21"/>
              </w:rPr>
              <w:t>33</w:t>
            </w:r>
          </w:p>
        </w:tc>
      </w:tr>
    </w:tbl>
    <w:p w14:paraId="01A69FBD" w14:textId="77777777" w:rsidR="007E2B6C" w:rsidRPr="007E2B6C" w:rsidRDefault="007E2B6C" w:rsidP="007E2B6C">
      <w:pPr>
        <w:tabs>
          <w:tab w:val="left" w:pos="1134"/>
        </w:tabs>
        <w:spacing w:after="0" w:line="240" w:lineRule="auto"/>
        <w:jc w:val="both"/>
        <w:rPr>
          <w:rFonts w:ascii="Cambria" w:hAnsi="Cambria" w:cs="Times New Roman"/>
          <w:b/>
          <w:sz w:val="21"/>
          <w:szCs w:val="21"/>
        </w:rPr>
      </w:pPr>
      <w:r w:rsidRPr="007E2B6C">
        <w:rPr>
          <w:rFonts w:ascii="Cambria" w:hAnsi="Cambria" w:cs="Times New Roman"/>
          <w:sz w:val="21"/>
          <w:szCs w:val="21"/>
        </w:rPr>
        <w:t xml:space="preserve">                 </w:t>
      </w:r>
    </w:p>
    <w:p w14:paraId="704AD07A" w14:textId="77777777" w:rsidR="007E2B6C" w:rsidRPr="007E2B6C" w:rsidRDefault="007E2B6C" w:rsidP="007E2B6C">
      <w:pPr>
        <w:tabs>
          <w:tab w:val="left" w:pos="0"/>
        </w:tabs>
        <w:spacing w:after="0" w:line="240" w:lineRule="auto"/>
        <w:jc w:val="both"/>
        <w:rPr>
          <w:rFonts w:ascii="Cambria" w:hAnsi="Cambria" w:cs="Times New Roman"/>
          <w:b/>
          <w:i/>
          <w:sz w:val="21"/>
          <w:szCs w:val="21"/>
        </w:rPr>
      </w:pPr>
      <w:r w:rsidRPr="007E2B6C">
        <w:rPr>
          <w:rFonts w:ascii="Cambria" w:hAnsi="Cambria" w:cs="Times New Roman"/>
          <w:b/>
          <w:i/>
          <w:sz w:val="21"/>
          <w:szCs w:val="21"/>
        </w:rPr>
        <w:t>Community Perceptions</w:t>
      </w:r>
    </w:p>
    <w:p w14:paraId="012CC8B8" w14:textId="77777777" w:rsidR="007E2B6C" w:rsidRPr="007E2B6C" w:rsidRDefault="007E2B6C" w:rsidP="007E2B6C">
      <w:pPr>
        <w:spacing w:after="0" w:line="240" w:lineRule="auto"/>
        <w:ind w:firstLine="709"/>
        <w:jc w:val="both"/>
        <w:rPr>
          <w:rFonts w:ascii="Cambria" w:hAnsi="Cambria" w:cs="Times New Roman"/>
          <w:sz w:val="21"/>
          <w:szCs w:val="21"/>
        </w:rPr>
      </w:pPr>
      <w:r w:rsidRPr="007E2B6C">
        <w:rPr>
          <w:rFonts w:ascii="Cambria" w:hAnsi="Cambria" w:cs="Times New Roman"/>
          <w:sz w:val="21"/>
          <w:szCs w:val="21"/>
        </w:rPr>
        <w:tab/>
        <w:t xml:space="preserve">According to the results of interviews about the development of ecotourism potential in the Nusaniwe peninsula, public perceptions need to be shaped in terms of area utilization adapted to ecotourism principles so that people can benefit the continuation. </w:t>
      </w:r>
      <w:proofErr w:type="gramStart"/>
      <w:r w:rsidRPr="007E2B6C">
        <w:rPr>
          <w:rFonts w:ascii="Cambria" w:hAnsi="Cambria" w:cs="Times New Roman"/>
          <w:sz w:val="21"/>
          <w:szCs w:val="21"/>
        </w:rPr>
        <w:t>Because people on the Nusaniwe peninsula also take advantage of tourist attraction for economic improvement.</w:t>
      </w:r>
      <w:proofErr w:type="gramEnd"/>
      <w:r w:rsidRPr="007E2B6C">
        <w:rPr>
          <w:rFonts w:ascii="Cambria" w:hAnsi="Cambria" w:cs="Times New Roman"/>
          <w:sz w:val="21"/>
          <w:szCs w:val="21"/>
        </w:rPr>
        <w:t xml:space="preserve"> Regarding public perception, this research is divided into three parts, namely:</w:t>
      </w:r>
    </w:p>
    <w:p w14:paraId="2E1CE52E" w14:textId="77777777" w:rsidR="007E2B6C" w:rsidRPr="007E2B6C" w:rsidRDefault="007E2B6C" w:rsidP="007E2B6C">
      <w:pPr>
        <w:numPr>
          <w:ilvl w:val="0"/>
          <w:numId w:val="32"/>
        </w:numPr>
        <w:pBdr>
          <w:top w:val="nil"/>
          <w:left w:val="nil"/>
          <w:bottom w:val="nil"/>
          <w:right w:val="nil"/>
          <w:between w:val="nil"/>
        </w:pBdr>
        <w:spacing w:after="0" w:line="240" w:lineRule="auto"/>
        <w:ind w:left="284" w:hanging="284"/>
        <w:jc w:val="both"/>
        <w:rPr>
          <w:rFonts w:ascii="Cambria" w:hAnsi="Cambria" w:cs="Times New Roman"/>
          <w:color w:val="000000"/>
          <w:sz w:val="21"/>
          <w:szCs w:val="21"/>
        </w:rPr>
      </w:pPr>
      <w:r w:rsidRPr="007E2B6C">
        <w:rPr>
          <w:rFonts w:ascii="Cambria" w:hAnsi="Cambria" w:cs="Times New Roman"/>
          <w:color w:val="000000"/>
          <w:sz w:val="21"/>
          <w:szCs w:val="21"/>
        </w:rPr>
        <w:t>Perception of knowledge related to tourist attraction; People's perceptions according to age, education and occupation levels can be described, that most people already know the tourism potentials that exist on the Nusaniwe peninsula including nature tourism, community cultural history tourism and seasonal tourism.</w:t>
      </w:r>
    </w:p>
    <w:p w14:paraId="2590E13E" w14:textId="77777777" w:rsidR="007E2B6C" w:rsidRPr="007E2B6C" w:rsidRDefault="007E2B6C" w:rsidP="007E2B6C">
      <w:pPr>
        <w:numPr>
          <w:ilvl w:val="0"/>
          <w:numId w:val="32"/>
        </w:numPr>
        <w:pBdr>
          <w:top w:val="nil"/>
          <w:left w:val="nil"/>
          <w:bottom w:val="nil"/>
          <w:right w:val="nil"/>
          <w:between w:val="nil"/>
        </w:pBdr>
        <w:spacing w:after="0" w:line="240" w:lineRule="auto"/>
        <w:ind w:left="284" w:hanging="284"/>
        <w:jc w:val="both"/>
        <w:rPr>
          <w:rFonts w:ascii="Cambria" w:hAnsi="Cambria" w:cs="Times New Roman"/>
          <w:color w:val="000000"/>
          <w:sz w:val="21"/>
          <w:szCs w:val="21"/>
        </w:rPr>
      </w:pPr>
      <w:r w:rsidRPr="007E2B6C">
        <w:rPr>
          <w:rFonts w:ascii="Cambria" w:hAnsi="Cambria" w:cs="Times New Roman"/>
          <w:color w:val="000000"/>
          <w:sz w:val="21"/>
          <w:szCs w:val="21"/>
        </w:rPr>
        <w:t xml:space="preserve">Perceptions related to people's attitudes; </w:t>
      </w:r>
      <w:proofErr w:type="gramStart"/>
      <w:r w:rsidRPr="007E2B6C">
        <w:rPr>
          <w:rFonts w:ascii="Cambria" w:hAnsi="Cambria" w:cs="Times New Roman"/>
          <w:color w:val="000000"/>
          <w:sz w:val="21"/>
          <w:szCs w:val="21"/>
        </w:rPr>
        <w:t>The</w:t>
      </w:r>
      <w:proofErr w:type="gramEnd"/>
      <w:r w:rsidRPr="007E2B6C">
        <w:rPr>
          <w:rFonts w:ascii="Cambria" w:hAnsi="Cambria" w:cs="Times New Roman"/>
          <w:color w:val="000000"/>
          <w:sz w:val="21"/>
          <w:szCs w:val="21"/>
        </w:rPr>
        <w:t xml:space="preserve"> people of the Nusaniwe peninsula are very supportive and pay great attention to developing the tourism potential of the Nusaniwe peninsula. This is because the Nusaniwe peninsula, especially the Amahusu </w:t>
      </w:r>
      <w:r w:rsidRPr="007E2B6C">
        <w:rPr>
          <w:rFonts w:ascii="Cambria" w:hAnsi="Cambria" w:cs="Times New Roman"/>
          <w:i/>
          <w:iCs/>
          <w:color w:val="000000"/>
          <w:sz w:val="21"/>
          <w:szCs w:val="21"/>
        </w:rPr>
        <w:t>negeri</w:t>
      </w:r>
      <w:r w:rsidRPr="007E2B6C">
        <w:rPr>
          <w:rFonts w:ascii="Cambria" w:hAnsi="Cambria" w:cs="Times New Roman"/>
          <w:color w:val="000000"/>
          <w:sz w:val="21"/>
          <w:szCs w:val="21"/>
        </w:rPr>
        <w:t xml:space="preserve">, the Nusaniwe </w:t>
      </w:r>
      <w:r w:rsidRPr="007E2B6C">
        <w:rPr>
          <w:rFonts w:ascii="Cambria" w:hAnsi="Cambria" w:cs="Times New Roman"/>
          <w:i/>
          <w:iCs/>
          <w:color w:val="000000"/>
          <w:sz w:val="21"/>
          <w:szCs w:val="21"/>
        </w:rPr>
        <w:t>negeri</w:t>
      </w:r>
      <w:r w:rsidRPr="007E2B6C">
        <w:rPr>
          <w:rFonts w:ascii="Cambria" w:hAnsi="Cambria" w:cs="Times New Roman"/>
          <w:color w:val="000000"/>
          <w:sz w:val="21"/>
          <w:szCs w:val="21"/>
        </w:rPr>
        <w:t xml:space="preserve">, the Seilale </w:t>
      </w:r>
      <w:r w:rsidRPr="007E2B6C">
        <w:rPr>
          <w:rFonts w:ascii="Cambria" w:hAnsi="Cambria" w:cs="Times New Roman"/>
          <w:i/>
          <w:iCs/>
          <w:color w:val="000000"/>
          <w:sz w:val="21"/>
          <w:szCs w:val="21"/>
        </w:rPr>
        <w:t>negeri</w:t>
      </w:r>
      <w:r w:rsidRPr="007E2B6C">
        <w:rPr>
          <w:rFonts w:ascii="Cambria" w:hAnsi="Cambria" w:cs="Times New Roman"/>
          <w:color w:val="000000"/>
          <w:sz w:val="21"/>
          <w:szCs w:val="21"/>
        </w:rPr>
        <w:t>, and the Latuhalat ngeri are rich in tourism potential, both natural tourism and cultural history tourism, which should be developed so that they do not disappear over time. Therefore, the improvement of the concept of people's thinking in general has begun to be applied in order to be able to maintain attitudes and behaviors that are able to create safe, comfortable, and conducive conditions for visitors who want to come for tours.</w:t>
      </w:r>
    </w:p>
    <w:p w14:paraId="421DCA19" w14:textId="77777777" w:rsidR="007E2B6C" w:rsidRPr="007E2B6C" w:rsidRDefault="007E2B6C" w:rsidP="007E2B6C">
      <w:pPr>
        <w:numPr>
          <w:ilvl w:val="0"/>
          <w:numId w:val="32"/>
        </w:numPr>
        <w:pBdr>
          <w:top w:val="nil"/>
          <w:left w:val="nil"/>
          <w:bottom w:val="nil"/>
          <w:right w:val="nil"/>
          <w:between w:val="nil"/>
        </w:pBdr>
        <w:spacing w:after="0" w:line="240" w:lineRule="auto"/>
        <w:ind w:left="284" w:hanging="284"/>
        <w:jc w:val="both"/>
        <w:rPr>
          <w:rFonts w:ascii="Cambria" w:hAnsi="Cambria" w:cs="Times New Roman"/>
          <w:color w:val="000000"/>
          <w:sz w:val="21"/>
          <w:szCs w:val="21"/>
        </w:rPr>
      </w:pPr>
      <w:r w:rsidRPr="007E2B6C">
        <w:rPr>
          <w:rFonts w:ascii="Cambria" w:hAnsi="Cambria" w:cs="Times New Roman"/>
          <w:color w:val="000000"/>
          <w:sz w:val="21"/>
          <w:szCs w:val="21"/>
        </w:rPr>
        <w:t xml:space="preserve">Perceptions related to public opinion; </w:t>
      </w:r>
      <w:proofErr w:type="gramStart"/>
      <w:r w:rsidRPr="007E2B6C">
        <w:rPr>
          <w:rFonts w:ascii="Cambria" w:hAnsi="Cambria" w:cs="Times New Roman"/>
          <w:color w:val="000000"/>
          <w:sz w:val="21"/>
          <w:szCs w:val="21"/>
        </w:rPr>
        <w:t>The</w:t>
      </w:r>
      <w:proofErr w:type="gramEnd"/>
      <w:r w:rsidRPr="007E2B6C">
        <w:rPr>
          <w:rFonts w:ascii="Cambria" w:hAnsi="Cambria" w:cs="Times New Roman"/>
          <w:color w:val="000000"/>
          <w:sz w:val="21"/>
          <w:szCs w:val="21"/>
        </w:rPr>
        <w:t xml:space="preserve"> development of ecotourism on the Nusaniwe peninsula also involves the community in a participatory manner in the utilization of ODTW locations. This is evidenced by various forms of community involvement in the form of transportation services, food stalls, tour guides (diving) and rental facilities, which are carried out to increase people's income. This explains that public opinion based on three criteria (age, education and occupation) supports the development of ecotourism on the Nusaniwe peninsula. Thus, if the peninsula area is developed as ecotourism, more tourists will come to visit, it will also increase people's income by not neglecting the preservation of the natural environment (ecology).</w:t>
      </w:r>
    </w:p>
    <w:p w14:paraId="0BDEF69E" w14:textId="77777777" w:rsidR="007E2B6C" w:rsidRPr="007E2B6C" w:rsidRDefault="007E2B6C" w:rsidP="007E2B6C">
      <w:pPr>
        <w:pBdr>
          <w:top w:val="nil"/>
          <w:left w:val="nil"/>
          <w:bottom w:val="nil"/>
          <w:right w:val="nil"/>
          <w:between w:val="nil"/>
        </w:pBdr>
        <w:tabs>
          <w:tab w:val="left" w:pos="0"/>
        </w:tabs>
        <w:spacing w:after="0" w:line="240" w:lineRule="auto"/>
        <w:ind w:left="284"/>
        <w:jc w:val="both"/>
        <w:rPr>
          <w:rFonts w:ascii="Cambria" w:hAnsi="Cambria" w:cs="Times New Roman"/>
          <w:color w:val="000000"/>
          <w:sz w:val="21"/>
          <w:szCs w:val="21"/>
        </w:rPr>
      </w:pPr>
    </w:p>
    <w:p w14:paraId="03A7B8E2" w14:textId="77777777" w:rsidR="007E2B6C" w:rsidRPr="007E2B6C" w:rsidRDefault="007E2B6C" w:rsidP="007E2B6C">
      <w:pPr>
        <w:spacing w:after="0" w:line="240" w:lineRule="auto"/>
        <w:ind w:firstLine="709"/>
        <w:jc w:val="both"/>
        <w:rPr>
          <w:rFonts w:ascii="Cambria" w:hAnsi="Cambria" w:cs="Times New Roman"/>
          <w:sz w:val="21"/>
          <w:szCs w:val="21"/>
        </w:rPr>
      </w:pPr>
      <w:r w:rsidRPr="007E2B6C">
        <w:rPr>
          <w:rFonts w:ascii="Cambria" w:hAnsi="Cambria" w:cs="Times New Roman"/>
          <w:sz w:val="21"/>
          <w:szCs w:val="21"/>
        </w:rPr>
        <w:t xml:space="preserve">Local communities as an integral part of the area have the potential to participate, both as subjects directly related to the development of tourist objects and as objects of cultural attraction, which is one of the motivations of tourists to visit tourist objects. According to Sumahadi (1998), community participation in ecotourism as one of the activities of sustainable use of natural resources is largely determined by the extent to which the level of economic benefits that can be directly felt by the community, especially around ecotourism areas. </w:t>
      </w:r>
    </w:p>
    <w:p w14:paraId="546C7364" w14:textId="77777777" w:rsidR="007E2B6C" w:rsidRPr="007E2B6C" w:rsidRDefault="007E2B6C" w:rsidP="007E2B6C">
      <w:pPr>
        <w:spacing w:after="0" w:line="240" w:lineRule="auto"/>
        <w:ind w:firstLine="709"/>
        <w:jc w:val="both"/>
        <w:rPr>
          <w:rFonts w:ascii="Cambria" w:hAnsi="Cambria" w:cs="Times New Roman"/>
          <w:sz w:val="21"/>
          <w:szCs w:val="21"/>
        </w:rPr>
      </w:pPr>
      <w:r w:rsidRPr="007E2B6C">
        <w:rPr>
          <w:rFonts w:ascii="Cambria" w:hAnsi="Cambria" w:cs="Times New Roman"/>
          <w:sz w:val="21"/>
          <w:szCs w:val="21"/>
        </w:rPr>
        <w:tab/>
        <w:t xml:space="preserve">Ecotourism is a tourism activity that is able to increase the financial capacity of conservation areas as a capital for conservation activities, increase job opportunities for </w:t>
      </w:r>
      <w:r w:rsidRPr="007E2B6C">
        <w:rPr>
          <w:rFonts w:ascii="Cambria" w:hAnsi="Cambria" w:cs="Times New Roman"/>
          <w:sz w:val="21"/>
          <w:szCs w:val="21"/>
        </w:rPr>
        <w:lastRenderedPageBreak/>
        <w:t>communities around ecotourism areas, and increase public awareness of the importance of nature conservation efforts. The participation shown by the people on the Nusaniwe peninsula is in the form of energy participation, as well as community activity shown in the use of tourist attraction.</w:t>
      </w:r>
    </w:p>
    <w:p w14:paraId="20FE3CA9" w14:textId="62AED2A5" w:rsidR="00D97972" w:rsidRDefault="00D97972" w:rsidP="00D97972">
      <w:pPr>
        <w:pStyle w:val="07HEADA"/>
        <w:rPr>
          <w:rFonts w:eastAsia="Cambria"/>
        </w:rPr>
      </w:pPr>
      <w:bookmarkStart w:id="1" w:name="_heading=h.gjdgxs"/>
      <w:bookmarkEnd w:id="1"/>
      <w:r>
        <w:rPr>
          <w:rFonts w:eastAsia="Cambria"/>
        </w:rPr>
        <w:t>CONCLUSION</w:t>
      </w:r>
    </w:p>
    <w:p w14:paraId="4582A6DA" w14:textId="77777777" w:rsidR="00157498" w:rsidRDefault="00157498" w:rsidP="00157498">
      <w:pPr>
        <w:spacing w:after="0" w:line="240" w:lineRule="auto"/>
        <w:ind w:firstLine="720"/>
        <w:jc w:val="both"/>
        <w:rPr>
          <w:rFonts w:ascii="Cambria" w:hAnsi="Cambria"/>
          <w:color w:val="0E101A"/>
          <w:sz w:val="21"/>
          <w:szCs w:val="21"/>
        </w:rPr>
      </w:pPr>
      <w:r w:rsidRPr="00157498">
        <w:rPr>
          <w:rFonts w:ascii="Cambria" w:hAnsi="Cambria"/>
          <w:color w:val="0E101A"/>
          <w:sz w:val="21"/>
          <w:szCs w:val="21"/>
        </w:rPr>
        <w:t xml:space="preserve">Based on the results of the analysis and discussion in the previous chapter, it can be concluded as follows: 1) Tourism potential on the Nusaniwe Peninsula is divided into two. Some have been identified, and some have not been identified, namely for the Amahusu </w:t>
      </w:r>
      <w:r w:rsidRPr="00157498">
        <w:rPr>
          <w:rFonts w:ascii="Cambria" w:hAnsi="Cambria"/>
          <w:i/>
          <w:iCs/>
          <w:color w:val="0E101A"/>
          <w:sz w:val="21"/>
          <w:szCs w:val="21"/>
        </w:rPr>
        <w:t>negeri</w:t>
      </w:r>
      <w:r w:rsidRPr="00157498">
        <w:rPr>
          <w:rFonts w:ascii="Cambria" w:hAnsi="Cambria"/>
          <w:color w:val="0E101A"/>
          <w:sz w:val="21"/>
          <w:szCs w:val="21"/>
        </w:rPr>
        <w:t xml:space="preserve"> with the potential for beach tourism, namely Batu Capeu Batu Lubang Beach, Waititei Beach, and White Sand Beach. The community also has historical and cultural tourism potential, namely the Hasu Well, Dolmen (Batumeja), and historical heritage objects in Parang, Salawaku, and Tahuri (skin/big beans), which are 600 years old. In addition to this potential, the potential for agrotourism can be developed. The Nusaniwe </w:t>
      </w:r>
      <w:r w:rsidRPr="00157498">
        <w:rPr>
          <w:rFonts w:ascii="Cambria" w:hAnsi="Cambria"/>
          <w:i/>
          <w:iCs/>
          <w:color w:val="0E101A"/>
          <w:sz w:val="21"/>
          <w:szCs w:val="21"/>
        </w:rPr>
        <w:t>negeri</w:t>
      </w:r>
      <w:r w:rsidRPr="00157498">
        <w:rPr>
          <w:rFonts w:ascii="Cambria" w:hAnsi="Cambria"/>
          <w:color w:val="0E101A"/>
          <w:sz w:val="21"/>
          <w:szCs w:val="21"/>
        </w:rPr>
        <w:t xml:space="preserve"> has agrotourism potential. The natural tourism potentials are Pintu Kota Beach, Felawatu Beach, Bethesda Beach, and the natural panorama of Mount Dua, Lapoci, and Laponot Waterfall. Seilale </w:t>
      </w:r>
      <w:r w:rsidRPr="00157498">
        <w:rPr>
          <w:rFonts w:ascii="Cambria" w:hAnsi="Cambria"/>
          <w:i/>
          <w:iCs/>
          <w:color w:val="0E101A"/>
          <w:sz w:val="21"/>
          <w:szCs w:val="21"/>
        </w:rPr>
        <w:t>negeri</w:t>
      </w:r>
      <w:r w:rsidRPr="00157498">
        <w:rPr>
          <w:rFonts w:ascii="Cambria" w:hAnsi="Cambria"/>
          <w:color w:val="0E101A"/>
          <w:sz w:val="21"/>
          <w:szCs w:val="21"/>
        </w:rPr>
        <w:t xml:space="preserve"> has tourism potential of Seilale </w:t>
      </w:r>
      <w:proofErr w:type="gramStart"/>
      <w:r w:rsidRPr="00157498">
        <w:rPr>
          <w:rFonts w:ascii="Cambria" w:hAnsi="Cambria"/>
          <w:color w:val="0E101A"/>
          <w:sz w:val="21"/>
          <w:szCs w:val="21"/>
        </w:rPr>
        <w:t>marine park</w:t>
      </w:r>
      <w:proofErr w:type="gramEnd"/>
      <w:r w:rsidRPr="00157498">
        <w:rPr>
          <w:rFonts w:ascii="Cambria" w:hAnsi="Cambria"/>
          <w:color w:val="0E101A"/>
          <w:sz w:val="21"/>
          <w:szCs w:val="21"/>
        </w:rPr>
        <w:t xml:space="preserve">. The last </w:t>
      </w:r>
      <w:r w:rsidRPr="00157498">
        <w:rPr>
          <w:rFonts w:ascii="Cambria" w:hAnsi="Cambria"/>
          <w:i/>
          <w:iCs/>
          <w:color w:val="0E101A"/>
          <w:sz w:val="21"/>
          <w:szCs w:val="21"/>
        </w:rPr>
        <w:t>negeri</w:t>
      </w:r>
      <w:r w:rsidRPr="00157498">
        <w:rPr>
          <w:rFonts w:ascii="Cambria" w:hAnsi="Cambria"/>
          <w:color w:val="0E101A"/>
          <w:sz w:val="21"/>
          <w:szCs w:val="21"/>
        </w:rPr>
        <w:t xml:space="preserve"> is the land of Latuhalat with tourism potential of Santai Beach, Namalatu Beach, Sumber Jaya Beach and Tanjung Batu Konde Beach. Meanwhile, seasonal tourism is the Harvest Laor culture. Furthermore, there is also the community's historical and cultural tourism potential, namely Batu bicara and the Baduri Bamboo Clump. 2) The highest consumer surplus value was at Tanjung Batu Konde Beach, which was Rp. 208.355.00, and the lowest was at Sumber Jaya Beach, which was Rp. 12,545.50. The highest total economic value is in Tanjung Batu Konde, which is Rp. 352,033,800.00, and the lowest is also on Sumber Jaya Beach, which is Rp. 8,480,758.00. 3) In general, the Nusaniwe Peninsula visitors are dominated by young people with ages ranging from 17-35 years, dominated by the male gender according to the concept of identity and adventure, with an average education level of high school.</w:t>
      </w:r>
    </w:p>
    <w:p w14:paraId="54132819" w14:textId="77777777" w:rsidR="00EB2406" w:rsidRDefault="00157498" w:rsidP="00EB2406">
      <w:pPr>
        <w:spacing w:after="0" w:line="240" w:lineRule="auto"/>
        <w:ind w:firstLine="720"/>
        <w:jc w:val="both"/>
        <w:rPr>
          <w:rFonts w:ascii="Cambria" w:eastAsia="Cambria" w:hAnsi="Cambria" w:cs="Cambria"/>
          <w:color w:val="000000"/>
          <w:sz w:val="21"/>
          <w:szCs w:val="21"/>
        </w:rPr>
      </w:pPr>
      <w:r w:rsidRPr="00157498">
        <w:rPr>
          <w:rFonts w:ascii="Cambria" w:hAnsi="Cambria"/>
          <w:color w:val="0E101A"/>
          <w:sz w:val="21"/>
          <w:szCs w:val="21"/>
        </w:rPr>
        <w:t xml:space="preserve">The conclusions that have been described give rise to several suggestions as follows: 1) </w:t>
      </w:r>
      <w:proofErr w:type="gramStart"/>
      <w:r w:rsidRPr="00157498">
        <w:rPr>
          <w:rFonts w:ascii="Cambria" w:hAnsi="Cambria"/>
          <w:color w:val="0E101A"/>
          <w:sz w:val="21"/>
          <w:szCs w:val="21"/>
        </w:rPr>
        <w:t>The</w:t>
      </w:r>
      <w:proofErr w:type="gramEnd"/>
      <w:r w:rsidRPr="00157498">
        <w:rPr>
          <w:rFonts w:ascii="Cambria" w:hAnsi="Cambria"/>
          <w:color w:val="0E101A"/>
          <w:sz w:val="21"/>
          <w:szCs w:val="21"/>
        </w:rPr>
        <w:t xml:space="preserve"> overall potential of tourist objection in the Nusaniwe Peninsula is an invaluable asset. Therefore, there is a need for coordination between </w:t>
      </w:r>
      <w:r w:rsidRPr="00157498">
        <w:rPr>
          <w:rStyle w:val="Emphasis"/>
          <w:rFonts w:ascii="Cambria" w:hAnsi="Cambria"/>
          <w:color w:val="0E101A"/>
          <w:sz w:val="21"/>
          <w:szCs w:val="21"/>
        </w:rPr>
        <w:t>stakeholders </w:t>
      </w:r>
      <w:r w:rsidRPr="00157498">
        <w:rPr>
          <w:rFonts w:ascii="Cambria" w:hAnsi="Cambria"/>
          <w:color w:val="0E101A"/>
          <w:sz w:val="21"/>
          <w:szCs w:val="21"/>
        </w:rPr>
        <w:t>for conservation and utilization to improve the community's economy and the region. 2) The highest total economic value is on Tanjung Batu Konde Beach. Consequently, it is highly expected that the attention of the government and the private sector for the development of this tourist attraction, such as the addition of toilets/bathrooms, gazebos, or others. The lowest total economic value is at Sumber Jaya Beach. The natural tourism potential offered by this beach is very promising because it is supported by the availability of a seawater swimming pool. For this reason, it is hoped that the owner will carry out maintenance and add several supporting facilities such as parking lots and repairing entrances and toilets so that they can be re-operated. It is hoped that the government or the private sector will add facilities, such as providing a playground to attract tourists from all walks of life who visit ODTW on the Nusaniwe Peninsula.</w:t>
      </w:r>
    </w:p>
    <w:p w14:paraId="6C9B339E" w14:textId="77777777" w:rsidR="00EB2406" w:rsidRDefault="00EB2406" w:rsidP="00EB2406">
      <w:pPr>
        <w:spacing w:after="0" w:line="240" w:lineRule="auto"/>
        <w:jc w:val="both"/>
        <w:rPr>
          <w:rFonts w:ascii="Cambria" w:eastAsia="Cambria" w:hAnsi="Cambria" w:cs="Cambria"/>
          <w:color w:val="000000"/>
          <w:sz w:val="21"/>
          <w:szCs w:val="21"/>
        </w:rPr>
      </w:pPr>
    </w:p>
    <w:p w14:paraId="7BAEB377" w14:textId="7DF63A05" w:rsidR="00D97972" w:rsidRPr="00EB2406" w:rsidRDefault="00D97972" w:rsidP="00EB2406">
      <w:pPr>
        <w:spacing w:after="0" w:line="240" w:lineRule="auto"/>
        <w:jc w:val="both"/>
        <w:rPr>
          <w:rFonts w:ascii="Cambria" w:eastAsia="Cambria" w:hAnsi="Cambria" w:cs="Cambria"/>
          <w:color w:val="000000"/>
          <w:sz w:val="21"/>
          <w:szCs w:val="21"/>
        </w:rPr>
      </w:pPr>
      <w:r>
        <w:rPr>
          <w:rFonts w:ascii="Cambria" w:eastAsia="Cambria" w:hAnsi="Cambria" w:cs="Cambria"/>
          <w:b/>
          <w:color w:val="000000"/>
        </w:rPr>
        <w:t xml:space="preserve">REFERENCES </w:t>
      </w:r>
    </w:p>
    <w:p w14:paraId="78DF0CD9" w14:textId="768160FD"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sz w:val="21"/>
          <w:szCs w:val="21"/>
        </w:rPr>
        <w:fldChar w:fldCharType="begin" w:fldLock="1"/>
      </w:r>
      <w:r w:rsidRPr="00EB2406">
        <w:rPr>
          <w:rFonts w:ascii="Cambria" w:hAnsi="Cambria"/>
          <w:sz w:val="21"/>
          <w:szCs w:val="21"/>
        </w:rPr>
        <w:instrText xml:space="preserve">ADDIN Mendeley Bibliography CSL_BIBLIOGRAPHY </w:instrText>
      </w:r>
      <w:r w:rsidRPr="00EB2406">
        <w:rPr>
          <w:rFonts w:ascii="Cambria" w:hAnsi="Cambria"/>
          <w:sz w:val="21"/>
          <w:szCs w:val="21"/>
        </w:rPr>
        <w:fldChar w:fldCharType="separate"/>
      </w:r>
      <w:r w:rsidRPr="00EB2406">
        <w:rPr>
          <w:rFonts w:ascii="Cambria" w:hAnsi="Cambria"/>
          <w:noProof/>
          <w:sz w:val="21"/>
          <w:szCs w:val="21"/>
        </w:rPr>
        <w:t xml:space="preserve">Abubakar, S., Kepel, R. C., Djamaluddin, R., Wahidin, N., Mingkid, W. M., Wantasen, A. S., Montolalu, R. I., &amp; Mantiri, D. M. H. (2022). Suitability and carrying capacity of mangrove ecosystem for ecotourism in Jailolo Bay, West Halmahera, Indonesia. </w:t>
      </w:r>
      <w:r w:rsidRPr="00EB2406">
        <w:rPr>
          <w:rFonts w:ascii="Cambria" w:hAnsi="Cambria"/>
          <w:i/>
          <w:iCs/>
          <w:noProof/>
          <w:sz w:val="21"/>
          <w:szCs w:val="21"/>
        </w:rPr>
        <w:t>AACL Bioflux</w:t>
      </w:r>
      <w:r w:rsidRPr="00EB2406">
        <w:rPr>
          <w:rFonts w:ascii="Cambria" w:hAnsi="Cambria"/>
          <w:noProof/>
          <w:sz w:val="21"/>
          <w:szCs w:val="21"/>
        </w:rPr>
        <w:t xml:space="preserve">, </w:t>
      </w:r>
      <w:r w:rsidRPr="00EB2406">
        <w:rPr>
          <w:rFonts w:ascii="Cambria" w:hAnsi="Cambria"/>
          <w:i/>
          <w:iCs/>
          <w:noProof/>
          <w:sz w:val="21"/>
          <w:szCs w:val="21"/>
        </w:rPr>
        <w:t>15</w:t>
      </w:r>
      <w:r w:rsidRPr="00EB2406">
        <w:rPr>
          <w:rFonts w:ascii="Cambria" w:hAnsi="Cambria"/>
          <w:noProof/>
          <w:sz w:val="21"/>
          <w:szCs w:val="21"/>
        </w:rPr>
        <w:t>(6), 3012–3026.</w:t>
      </w:r>
    </w:p>
    <w:p w14:paraId="1FFCDF2A"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Adrianto, L., Kurniawan, F., Romadhon, A., Bengen, D. G., Sjafrie, N. D. M., Damar, A., &amp; Kleinertz, S. (2021). Assessing social-ecological system carrying capacity for urban small island tourism: The case of Tidung Islands, Jakarta Capital Province, Indonesia. </w:t>
      </w:r>
      <w:r w:rsidRPr="00EB2406">
        <w:rPr>
          <w:rFonts w:ascii="Cambria" w:hAnsi="Cambria"/>
          <w:i/>
          <w:iCs/>
          <w:noProof/>
          <w:sz w:val="21"/>
          <w:szCs w:val="21"/>
        </w:rPr>
        <w:t>Ocean and Coastal Management</w:t>
      </w:r>
      <w:r w:rsidRPr="00EB2406">
        <w:rPr>
          <w:rFonts w:ascii="Cambria" w:hAnsi="Cambria"/>
          <w:noProof/>
          <w:sz w:val="21"/>
          <w:szCs w:val="21"/>
        </w:rPr>
        <w:t xml:space="preserve">, </w:t>
      </w:r>
      <w:r w:rsidRPr="00EB2406">
        <w:rPr>
          <w:rFonts w:ascii="Cambria" w:hAnsi="Cambria"/>
          <w:i/>
          <w:iCs/>
          <w:noProof/>
          <w:sz w:val="21"/>
          <w:szCs w:val="21"/>
        </w:rPr>
        <w:t>212</w:t>
      </w:r>
      <w:r w:rsidRPr="00EB2406">
        <w:rPr>
          <w:rFonts w:ascii="Cambria" w:hAnsi="Cambria"/>
          <w:noProof/>
          <w:sz w:val="21"/>
          <w:szCs w:val="21"/>
        </w:rPr>
        <w:t>(August), 105844. https://doi.org/10.1016/j.ocecoaman.2021.105844</w:t>
      </w:r>
    </w:p>
    <w:p w14:paraId="430A0B2D"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Alvarez-Sousa, A. (2018). The problems of tourist sustainability in cultural cities: Socio-political perceptions and interests management. </w:t>
      </w:r>
      <w:r w:rsidRPr="00EB2406">
        <w:rPr>
          <w:rFonts w:ascii="Cambria" w:hAnsi="Cambria"/>
          <w:i/>
          <w:iCs/>
          <w:noProof/>
          <w:sz w:val="21"/>
          <w:szCs w:val="21"/>
        </w:rPr>
        <w:t>Sustainability (Switzerland)</w:t>
      </w:r>
      <w:r w:rsidRPr="00EB2406">
        <w:rPr>
          <w:rFonts w:ascii="Cambria" w:hAnsi="Cambria"/>
          <w:noProof/>
          <w:sz w:val="21"/>
          <w:szCs w:val="21"/>
        </w:rPr>
        <w:t xml:space="preserve">, </w:t>
      </w:r>
      <w:r w:rsidRPr="00EB2406">
        <w:rPr>
          <w:rFonts w:ascii="Cambria" w:hAnsi="Cambria"/>
          <w:i/>
          <w:iCs/>
          <w:noProof/>
          <w:sz w:val="21"/>
          <w:szCs w:val="21"/>
        </w:rPr>
        <w:t>10</w:t>
      </w:r>
      <w:r w:rsidRPr="00EB2406">
        <w:rPr>
          <w:rFonts w:ascii="Cambria" w:hAnsi="Cambria"/>
          <w:noProof/>
          <w:sz w:val="21"/>
          <w:szCs w:val="21"/>
        </w:rPr>
        <w:t>(2). https://doi.org/10.3390/su10020503</w:t>
      </w:r>
    </w:p>
    <w:p w14:paraId="735B8AAC"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lastRenderedPageBreak/>
        <w:t xml:space="preserve">Amoako, G. K., Obuobisa-Darko, T., &amp; Ohene Marfo, S. (2022). Stakeholder role in tourism sustainability: the case of Kwame Nkrumah Mausoleum and centre for art and culture in Ghana. </w:t>
      </w:r>
      <w:r w:rsidRPr="00EB2406">
        <w:rPr>
          <w:rFonts w:ascii="Cambria" w:hAnsi="Cambria"/>
          <w:i/>
          <w:iCs/>
          <w:noProof/>
          <w:sz w:val="21"/>
          <w:szCs w:val="21"/>
        </w:rPr>
        <w:t>International Hospitality Review</w:t>
      </w:r>
      <w:r w:rsidRPr="00EB2406">
        <w:rPr>
          <w:rFonts w:ascii="Cambria" w:hAnsi="Cambria"/>
          <w:noProof/>
          <w:sz w:val="21"/>
          <w:szCs w:val="21"/>
        </w:rPr>
        <w:t xml:space="preserve">, </w:t>
      </w:r>
      <w:r w:rsidRPr="00EB2406">
        <w:rPr>
          <w:rFonts w:ascii="Cambria" w:hAnsi="Cambria"/>
          <w:i/>
          <w:iCs/>
          <w:noProof/>
          <w:sz w:val="21"/>
          <w:szCs w:val="21"/>
        </w:rPr>
        <w:t>36</w:t>
      </w:r>
      <w:r w:rsidRPr="00EB2406">
        <w:rPr>
          <w:rFonts w:ascii="Cambria" w:hAnsi="Cambria"/>
          <w:noProof/>
          <w:sz w:val="21"/>
          <w:szCs w:val="21"/>
        </w:rPr>
        <w:t>(1), 25–44. https://doi.org/10.1108/ihr-09-2020-0057</w:t>
      </w:r>
    </w:p>
    <w:p w14:paraId="19E3D3B6"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Angelkova, T., Koteski, C., Jakovlev, Z., &amp; Mitrevska, E. (2012). Sustainability and Competitiveness of Tourism. </w:t>
      </w:r>
      <w:r w:rsidRPr="00EB2406">
        <w:rPr>
          <w:rFonts w:ascii="Cambria" w:hAnsi="Cambria"/>
          <w:i/>
          <w:iCs/>
          <w:noProof/>
          <w:sz w:val="21"/>
          <w:szCs w:val="21"/>
        </w:rPr>
        <w:t>Procedia - Social and Behavioral Sciences</w:t>
      </w:r>
      <w:r w:rsidRPr="00EB2406">
        <w:rPr>
          <w:rFonts w:ascii="Cambria" w:hAnsi="Cambria"/>
          <w:noProof/>
          <w:sz w:val="21"/>
          <w:szCs w:val="21"/>
        </w:rPr>
        <w:t xml:space="preserve">, </w:t>
      </w:r>
      <w:r w:rsidRPr="00EB2406">
        <w:rPr>
          <w:rFonts w:ascii="Cambria" w:hAnsi="Cambria"/>
          <w:i/>
          <w:iCs/>
          <w:noProof/>
          <w:sz w:val="21"/>
          <w:szCs w:val="21"/>
        </w:rPr>
        <w:t>44</w:t>
      </w:r>
      <w:r w:rsidRPr="00EB2406">
        <w:rPr>
          <w:rFonts w:ascii="Cambria" w:hAnsi="Cambria"/>
          <w:noProof/>
          <w:sz w:val="21"/>
          <w:szCs w:val="21"/>
        </w:rPr>
        <w:t>, 221–227. https://doi.org/10.1016/j.sbspro.2012.05.023</w:t>
      </w:r>
    </w:p>
    <w:p w14:paraId="543D9DE5"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Aspiany, Anggoro, S., Purwanti, F., &amp; Gunawan, B. I. (2019). Strategies for sustainable ecotourism development in the marine waters of bontang city, Indonesia. </w:t>
      </w:r>
      <w:r w:rsidRPr="00EB2406">
        <w:rPr>
          <w:rFonts w:ascii="Cambria" w:hAnsi="Cambria"/>
          <w:i/>
          <w:iCs/>
          <w:noProof/>
          <w:sz w:val="21"/>
          <w:szCs w:val="21"/>
        </w:rPr>
        <w:t>AACL Bioflux</w:t>
      </w:r>
      <w:r w:rsidRPr="00EB2406">
        <w:rPr>
          <w:rFonts w:ascii="Cambria" w:hAnsi="Cambria"/>
          <w:noProof/>
          <w:sz w:val="21"/>
          <w:szCs w:val="21"/>
        </w:rPr>
        <w:t xml:space="preserve">, </w:t>
      </w:r>
      <w:r w:rsidRPr="00EB2406">
        <w:rPr>
          <w:rFonts w:ascii="Cambria" w:hAnsi="Cambria"/>
          <w:i/>
          <w:iCs/>
          <w:noProof/>
          <w:sz w:val="21"/>
          <w:szCs w:val="21"/>
        </w:rPr>
        <w:t>12</w:t>
      </w:r>
      <w:r w:rsidRPr="00EB2406">
        <w:rPr>
          <w:rFonts w:ascii="Cambria" w:hAnsi="Cambria"/>
          <w:noProof/>
          <w:sz w:val="21"/>
          <w:szCs w:val="21"/>
        </w:rPr>
        <w:t>(5), 1779–1787.</w:t>
      </w:r>
    </w:p>
    <w:p w14:paraId="5ADF3D8C"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Bhatta, K. D. (2019). Exploring Socio-cultural Impacts of Ecotourism in the Annapurna Conservation Area, Nepal. </w:t>
      </w:r>
      <w:r w:rsidRPr="00EB2406">
        <w:rPr>
          <w:rFonts w:ascii="Cambria" w:hAnsi="Cambria"/>
          <w:i/>
          <w:iCs/>
          <w:noProof/>
          <w:sz w:val="21"/>
          <w:szCs w:val="21"/>
        </w:rPr>
        <w:t>Journal of Engineering Technology and Planning</w:t>
      </w:r>
      <w:r w:rsidRPr="00EB2406">
        <w:rPr>
          <w:rFonts w:ascii="Cambria" w:hAnsi="Cambria"/>
          <w:noProof/>
          <w:sz w:val="21"/>
          <w:szCs w:val="21"/>
        </w:rPr>
        <w:t xml:space="preserve">, </w:t>
      </w:r>
      <w:r w:rsidRPr="00EB2406">
        <w:rPr>
          <w:rFonts w:ascii="Cambria" w:hAnsi="Cambria"/>
          <w:i/>
          <w:iCs/>
          <w:noProof/>
          <w:sz w:val="21"/>
          <w:szCs w:val="21"/>
        </w:rPr>
        <w:t>1</w:t>
      </w:r>
      <w:r w:rsidRPr="00EB2406">
        <w:rPr>
          <w:rFonts w:ascii="Cambria" w:hAnsi="Cambria"/>
          <w:noProof/>
          <w:sz w:val="21"/>
          <w:szCs w:val="21"/>
        </w:rPr>
        <w:t>(1), 55–74. https://doi.org/10.3126/joetp.v1i0.38245</w:t>
      </w:r>
    </w:p>
    <w:p w14:paraId="4148F827"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Budeanu, A. (2005). Impacts and responsibilities for sustainable tourism: A tour operator’s perspective. </w:t>
      </w:r>
      <w:r w:rsidRPr="00EB2406">
        <w:rPr>
          <w:rFonts w:ascii="Cambria" w:hAnsi="Cambria"/>
          <w:i/>
          <w:iCs/>
          <w:noProof/>
          <w:sz w:val="21"/>
          <w:szCs w:val="21"/>
        </w:rPr>
        <w:t>Journal of Cleaner Production</w:t>
      </w:r>
      <w:r w:rsidRPr="00EB2406">
        <w:rPr>
          <w:rFonts w:ascii="Cambria" w:hAnsi="Cambria"/>
          <w:noProof/>
          <w:sz w:val="21"/>
          <w:szCs w:val="21"/>
        </w:rPr>
        <w:t xml:space="preserve">, </w:t>
      </w:r>
      <w:r w:rsidRPr="00EB2406">
        <w:rPr>
          <w:rFonts w:ascii="Cambria" w:hAnsi="Cambria"/>
          <w:i/>
          <w:iCs/>
          <w:noProof/>
          <w:sz w:val="21"/>
          <w:szCs w:val="21"/>
        </w:rPr>
        <w:t>13</w:t>
      </w:r>
      <w:r w:rsidRPr="00EB2406">
        <w:rPr>
          <w:rFonts w:ascii="Cambria" w:hAnsi="Cambria"/>
          <w:noProof/>
          <w:sz w:val="21"/>
          <w:szCs w:val="21"/>
        </w:rPr>
        <w:t>(2), 89–97. https://doi.org/10.1016/j.jclepro.2003.12.024</w:t>
      </w:r>
    </w:p>
    <w:p w14:paraId="2764D745"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Carvache-Franco, M., Carvache-Franco, W., Carvache-Franco, O., &amp; Solis-Radilla, M. M. (2021). Tourism market segmentation applied to coastal and marine destinations: A study from Acapulco, Mexico. </w:t>
      </w:r>
      <w:r w:rsidRPr="00EB2406">
        <w:rPr>
          <w:rFonts w:ascii="Cambria" w:hAnsi="Cambria"/>
          <w:i/>
          <w:iCs/>
          <w:noProof/>
          <w:sz w:val="21"/>
          <w:szCs w:val="21"/>
        </w:rPr>
        <w:t>Sustainability (Switzerland)</w:t>
      </w:r>
      <w:r w:rsidRPr="00EB2406">
        <w:rPr>
          <w:rFonts w:ascii="Cambria" w:hAnsi="Cambria"/>
          <w:noProof/>
          <w:sz w:val="21"/>
          <w:szCs w:val="21"/>
        </w:rPr>
        <w:t xml:space="preserve">, </w:t>
      </w:r>
      <w:r w:rsidRPr="00EB2406">
        <w:rPr>
          <w:rFonts w:ascii="Cambria" w:hAnsi="Cambria"/>
          <w:i/>
          <w:iCs/>
          <w:noProof/>
          <w:sz w:val="21"/>
          <w:szCs w:val="21"/>
        </w:rPr>
        <w:t>13</w:t>
      </w:r>
      <w:r w:rsidRPr="00EB2406">
        <w:rPr>
          <w:rFonts w:ascii="Cambria" w:hAnsi="Cambria"/>
          <w:noProof/>
          <w:sz w:val="21"/>
          <w:szCs w:val="21"/>
        </w:rPr>
        <w:t>(24), 1–15. https://doi.org/10.3390/su132413903</w:t>
      </w:r>
    </w:p>
    <w:p w14:paraId="62A34982"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Chairy, &amp; Syahrivar, J. (2019). Bika Ambon of Indonesia: History, culture, and its contribution to tourism sector. </w:t>
      </w:r>
      <w:r w:rsidRPr="00EB2406">
        <w:rPr>
          <w:rFonts w:ascii="Cambria" w:hAnsi="Cambria"/>
          <w:i/>
          <w:iCs/>
          <w:noProof/>
          <w:sz w:val="21"/>
          <w:szCs w:val="21"/>
        </w:rPr>
        <w:t>Journal of Ethnic Foods</w:t>
      </w:r>
      <w:r w:rsidRPr="00EB2406">
        <w:rPr>
          <w:rFonts w:ascii="Cambria" w:hAnsi="Cambria"/>
          <w:noProof/>
          <w:sz w:val="21"/>
          <w:szCs w:val="21"/>
        </w:rPr>
        <w:t xml:space="preserve">, </w:t>
      </w:r>
      <w:r w:rsidRPr="00EB2406">
        <w:rPr>
          <w:rFonts w:ascii="Cambria" w:hAnsi="Cambria"/>
          <w:i/>
          <w:iCs/>
          <w:noProof/>
          <w:sz w:val="21"/>
          <w:szCs w:val="21"/>
        </w:rPr>
        <w:t>6</w:t>
      </w:r>
      <w:r w:rsidRPr="00EB2406">
        <w:rPr>
          <w:rFonts w:ascii="Cambria" w:hAnsi="Cambria"/>
          <w:noProof/>
          <w:sz w:val="21"/>
          <w:szCs w:val="21"/>
        </w:rPr>
        <w:t>(2), 2–7. https://doi.org/10.1186/s42779-019-0006-6</w:t>
      </w:r>
    </w:p>
    <w:p w14:paraId="2D47D918"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Ecker, U. K. H., Lewandowsky, S., Cook, J., Schmid, P., Fazio, L. K., Brashier, N., Kendeou, P., Vraga, E. K., &amp; Amazeen, M. A. (2022). The psychological drivers of misinformation belief and its resistance to correction. </w:t>
      </w:r>
      <w:r w:rsidRPr="00EB2406">
        <w:rPr>
          <w:rFonts w:ascii="Cambria" w:hAnsi="Cambria"/>
          <w:i/>
          <w:iCs/>
          <w:noProof/>
          <w:sz w:val="21"/>
          <w:szCs w:val="21"/>
        </w:rPr>
        <w:t>Nature Reviews Psychology</w:t>
      </w:r>
      <w:r w:rsidRPr="00EB2406">
        <w:rPr>
          <w:rFonts w:ascii="Cambria" w:hAnsi="Cambria"/>
          <w:noProof/>
          <w:sz w:val="21"/>
          <w:szCs w:val="21"/>
        </w:rPr>
        <w:t xml:space="preserve">, </w:t>
      </w:r>
      <w:r w:rsidRPr="00EB2406">
        <w:rPr>
          <w:rFonts w:ascii="Cambria" w:hAnsi="Cambria"/>
          <w:i/>
          <w:iCs/>
          <w:noProof/>
          <w:sz w:val="21"/>
          <w:szCs w:val="21"/>
        </w:rPr>
        <w:t>1</w:t>
      </w:r>
      <w:r w:rsidRPr="00EB2406">
        <w:rPr>
          <w:rFonts w:ascii="Cambria" w:hAnsi="Cambria"/>
          <w:noProof/>
          <w:sz w:val="21"/>
          <w:szCs w:val="21"/>
        </w:rPr>
        <w:t>(1), 13–29. https://doi.org/10.1038/s44159-021-00006-y</w:t>
      </w:r>
    </w:p>
    <w:p w14:paraId="38603188"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Fenanlampir, A., Leasa, M., &amp; Batlolona, J. R. (2021). The development of homogeneity psycho cognition learning strategy in physical education learning. </w:t>
      </w:r>
      <w:r w:rsidRPr="00EB2406">
        <w:rPr>
          <w:rFonts w:ascii="Cambria" w:hAnsi="Cambria"/>
          <w:i/>
          <w:iCs/>
          <w:noProof/>
          <w:sz w:val="21"/>
          <w:szCs w:val="21"/>
        </w:rPr>
        <w:t>International Journal of Evaluation and Research in Education</w:t>
      </w:r>
      <w:r w:rsidRPr="00EB2406">
        <w:rPr>
          <w:rFonts w:ascii="Cambria" w:hAnsi="Cambria"/>
          <w:noProof/>
          <w:sz w:val="21"/>
          <w:szCs w:val="21"/>
        </w:rPr>
        <w:t xml:space="preserve">, </w:t>
      </w:r>
      <w:r w:rsidRPr="00EB2406">
        <w:rPr>
          <w:rFonts w:ascii="Cambria" w:hAnsi="Cambria"/>
          <w:i/>
          <w:iCs/>
          <w:noProof/>
          <w:sz w:val="21"/>
          <w:szCs w:val="21"/>
        </w:rPr>
        <w:t>10</w:t>
      </w:r>
      <w:r w:rsidRPr="00EB2406">
        <w:rPr>
          <w:rFonts w:ascii="Cambria" w:hAnsi="Cambria"/>
          <w:noProof/>
          <w:sz w:val="21"/>
          <w:szCs w:val="21"/>
        </w:rPr>
        <w:t>(3), 1047–1059. https://doi.org/10.11591/IJERE.V10I3.21713</w:t>
      </w:r>
    </w:p>
    <w:p w14:paraId="5D58F0A4"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Forje, G. W., &amp; Tchamba, M. N. (2022). Ecotourism governance and protected areas sustainability in Cameroon: The case of Campo Ma’an National Park. </w:t>
      </w:r>
      <w:r w:rsidRPr="00EB2406">
        <w:rPr>
          <w:rFonts w:ascii="Cambria" w:hAnsi="Cambria"/>
          <w:i/>
          <w:iCs/>
          <w:noProof/>
          <w:sz w:val="21"/>
          <w:szCs w:val="21"/>
        </w:rPr>
        <w:t>Current Research in Environmental Sustainability</w:t>
      </w:r>
      <w:r w:rsidRPr="00EB2406">
        <w:rPr>
          <w:rFonts w:ascii="Cambria" w:hAnsi="Cambria"/>
          <w:noProof/>
          <w:sz w:val="21"/>
          <w:szCs w:val="21"/>
        </w:rPr>
        <w:t xml:space="preserve">, </w:t>
      </w:r>
      <w:r w:rsidRPr="00EB2406">
        <w:rPr>
          <w:rFonts w:ascii="Cambria" w:hAnsi="Cambria"/>
          <w:i/>
          <w:iCs/>
          <w:noProof/>
          <w:sz w:val="21"/>
          <w:szCs w:val="21"/>
        </w:rPr>
        <w:t>4</w:t>
      </w:r>
      <w:r w:rsidRPr="00EB2406">
        <w:rPr>
          <w:rFonts w:ascii="Cambria" w:hAnsi="Cambria"/>
          <w:noProof/>
          <w:sz w:val="21"/>
          <w:szCs w:val="21"/>
        </w:rPr>
        <w:t>(February), 100172. https://doi.org/10.1016/j.crsust.2022.100172</w:t>
      </w:r>
    </w:p>
    <w:p w14:paraId="3814B34C"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Franke, T. M., Ho, T., &amp; Christie, C. A. (2012). The Chi-Square Test: Often Used and More Often Misinterpreted. </w:t>
      </w:r>
      <w:r w:rsidRPr="00EB2406">
        <w:rPr>
          <w:rFonts w:ascii="Cambria" w:hAnsi="Cambria"/>
          <w:i/>
          <w:iCs/>
          <w:noProof/>
          <w:sz w:val="21"/>
          <w:szCs w:val="21"/>
        </w:rPr>
        <w:t>American Journal of Evaluation</w:t>
      </w:r>
      <w:r w:rsidRPr="00EB2406">
        <w:rPr>
          <w:rFonts w:ascii="Cambria" w:hAnsi="Cambria"/>
          <w:noProof/>
          <w:sz w:val="21"/>
          <w:szCs w:val="21"/>
        </w:rPr>
        <w:t xml:space="preserve">, </w:t>
      </w:r>
      <w:r w:rsidRPr="00EB2406">
        <w:rPr>
          <w:rFonts w:ascii="Cambria" w:hAnsi="Cambria"/>
          <w:i/>
          <w:iCs/>
          <w:noProof/>
          <w:sz w:val="21"/>
          <w:szCs w:val="21"/>
        </w:rPr>
        <w:t>33</w:t>
      </w:r>
      <w:r w:rsidRPr="00EB2406">
        <w:rPr>
          <w:rFonts w:ascii="Cambria" w:hAnsi="Cambria"/>
          <w:noProof/>
          <w:sz w:val="21"/>
          <w:szCs w:val="21"/>
        </w:rPr>
        <w:t>(3), 448–458. https://doi.org/10.1177/1098214011426594</w:t>
      </w:r>
    </w:p>
    <w:p w14:paraId="0D2F3DC9"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Gerungan, A., &amp; Chia, K. W. (2020). Scuba diving operators’ perspective of scuba diving tourism business in Nusa Penida, Indonesia. </w:t>
      </w:r>
      <w:r w:rsidRPr="00EB2406">
        <w:rPr>
          <w:rFonts w:ascii="Cambria" w:hAnsi="Cambria"/>
          <w:i/>
          <w:iCs/>
          <w:noProof/>
          <w:sz w:val="21"/>
          <w:szCs w:val="21"/>
        </w:rPr>
        <w:t>Journal of Outdoor Recreation and Tourism</w:t>
      </w:r>
      <w:r w:rsidRPr="00EB2406">
        <w:rPr>
          <w:rFonts w:ascii="Cambria" w:hAnsi="Cambria"/>
          <w:noProof/>
          <w:sz w:val="21"/>
          <w:szCs w:val="21"/>
        </w:rPr>
        <w:t xml:space="preserve">, </w:t>
      </w:r>
      <w:r w:rsidRPr="00EB2406">
        <w:rPr>
          <w:rFonts w:ascii="Cambria" w:hAnsi="Cambria"/>
          <w:i/>
          <w:iCs/>
          <w:noProof/>
          <w:sz w:val="21"/>
          <w:szCs w:val="21"/>
        </w:rPr>
        <w:t>31</w:t>
      </w:r>
      <w:r w:rsidRPr="00EB2406">
        <w:rPr>
          <w:rFonts w:ascii="Cambria" w:hAnsi="Cambria"/>
          <w:noProof/>
          <w:sz w:val="21"/>
          <w:szCs w:val="21"/>
        </w:rPr>
        <w:t>(August), 100328. https://doi.org/10.1016/j.jort.2020.100328</w:t>
      </w:r>
    </w:p>
    <w:p w14:paraId="6861ECF5"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Girard, L. F., &amp; Vecco, M. (2021). The “intrinsic value” of cultural heritage as driver for circular human‐centered adaptive reuse. </w:t>
      </w:r>
      <w:r w:rsidRPr="00EB2406">
        <w:rPr>
          <w:rFonts w:ascii="Cambria" w:hAnsi="Cambria"/>
          <w:i/>
          <w:iCs/>
          <w:noProof/>
          <w:sz w:val="21"/>
          <w:szCs w:val="21"/>
        </w:rPr>
        <w:t>Sustainability (Switzerland)</w:t>
      </w:r>
      <w:r w:rsidRPr="00EB2406">
        <w:rPr>
          <w:rFonts w:ascii="Cambria" w:hAnsi="Cambria"/>
          <w:noProof/>
          <w:sz w:val="21"/>
          <w:szCs w:val="21"/>
        </w:rPr>
        <w:t xml:space="preserve">, </w:t>
      </w:r>
      <w:r w:rsidRPr="00EB2406">
        <w:rPr>
          <w:rFonts w:ascii="Cambria" w:hAnsi="Cambria"/>
          <w:i/>
          <w:iCs/>
          <w:noProof/>
          <w:sz w:val="21"/>
          <w:szCs w:val="21"/>
        </w:rPr>
        <w:t>13</w:t>
      </w:r>
      <w:r w:rsidRPr="00EB2406">
        <w:rPr>
          <w:rFonts w:ascii="Cambria" w:hAnsi="Cambria"/>
          <w:noProof/>
          <w:sz w:val="21"/>
          <w:szCs w:val="21"/>
        </w:rPr>
        <w:t>(6), 1–28. https://doi.org/10.3390/su13063231</w:t>
      </w:r>
    </w:p>
    <w:p w14:paraId="0FCC61E7"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Goel, R., Oyebode, O., Foley, L., Tatah, L., Millett, C., &amp; Woodcock, J. (2022). Gender differences in active travel in major cities across the world. </w:t>
      </w:r>
      <w:r w:rsidRPr="00EB2406">
        <w:rPr>
          <w:rFonts w:ascii="Cambria" w:hAnsi="Cambria"/>
          <w:i/>
          <w:iCs/>
          <w:noProof/>
          <w:sz w:val="21"/>
          <w:szCs w:val="21"/>
        </w:rPr>
        <w:t>Transportation</w:t>
      </w:r>
      <w:r w:rsidRPr="00EB2406">
        <w:rPr>
          <w:rFonts w:ascii="Cambria" w:hAnsi="Cambria"/>
          <w:noProof/>
          <w:sz w:val="21"/>
          <w:szCs w:val="21"/>
        </w:rPr>
        <w:t xml:space="preserve">, </w:t>
      </w:r>
      <w:r w:rsidRPr="00EB2406">
        <w:rPr>
          <w:rFonts w:ascii="Cambria" w:hAnsi="Cambria"/>
          <w:i/>
          <w:iCs/>
          <w:noProof/>
          <w:sz w:val="21"/>
          <w:szCs w:val="21"/>
        </w:rPr>
        <w:t>0123456789</w:t>
      </w:r>
      <w:r w:rsidRPr="00EB2406">
        <w:rPr>
          <w:rFonts w:ascii="Cambria" w:hAnsi="Cambria"/>
          <w:noProof/>
          <w:sz w:val="21"/>
          <w:szCs w:val="21"/>
        </w:rPr>
        <w:t>. https://doi.org/10.1007/s11116-021-10259-4</w:t>
      </w:r>
    </w:p>
    <w:p w14:paraId="2ED487CD"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Haryani, E. B. S. (2023). Baseline strategy to manage a Marine Conservation Area through community evaluation approach. </w:t>
      </w:r>
      <w:r w:rsidRPr="00EB2406">
        <w:rPr>
          <w:rFonts w:ascii="Cambria" w:hAnsi="Cambria"/>
          <w:i/>
          <w:iCs/>
          <w:noProof/>
          <w:sz w:val="21"/>
          <w:szCs w:val="21"/>
        </w:rPr>
        <w:t>AACL Bioflux</w:t>
      </w:r>
      <w:r w:rsidRPr="00EB2406">
        <w:rPr>
          <w:rFonts w:ascii="Cambria" w:hAnsi="Cambria"/>
          <w:noProof/>
          <w:sz w:val="21"/>
          <w:szCs w:val="21"/>
        </w:rPr>
        <w:t xml:space="preserve">, </w:t>
      </w:r>
      <w:r w:rsidRPr="00EB2406">
        <w:rPr>
          <w:rFonts w:ascii="Cambria" w:hAnsi="Cambria"/>
          <w:i/>
          <w:iCs/>
          <w:noProof/>
          <w:sz w:val="21"/>
          <w:szCs w:val="21"/>
        </w:rPr>
        <w:t>16</w:t>
      </w:r>
      <w:r w:rsidRPr="00EB2406">
        <w:rPr>
          <w:rFonts w:ascii="Cambria" w:hAnsi="Cambria"/>
          <w:noProof/>
          <w:sz w:val="21"/>
          <w:szCs w:val="21"/>
        </w:rPr>
        <w:t>(1), 597–605.</w:t>
      </w:r>
    </w:p>
    <w:p w14:paraId="2A6A95BF"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Johnson, S. D., Blythe, J. M., Manning, M., &amp; Wong, G. T. W. (2020). The impact of IoT security labelling on consumer product choice and willingness to pay. </w:t>
      </w:r>
      <w:r w:rsidRPr="00EB2406">
        <w:rPr>
          <w:rFonts w:ascii="Cambria" w:hAnsi="Cambria"/>
          <w:i/>
          <w:iCs/>
          <w:noProof/>
          <w:sz w:val="21"/>
          <w:szCs w:val="21"/>
        </w:rPr>
        <w:t>PLoS ONE</w:t>
      </w:r>
      <w:r w:rsidRPr="00EB2406">
        <w:rPr>
          <w:rFonts w:ascii="Cambria" w:hAnsi="Cambria"/>
          <w:noProof/>
          <w:sz w:val="21"/>
          <w:szCs w:val="21"/>
        </w:rPr>
        <w:t xml:space="preserve">, </w:t>
      </w:r>
      <w:r w:rsidRPr="00EB2406">
        <w:rPr>
          <w:rFonts w:ascii="Cambria" w:hAnsi="Cambria"/>
          <w:i/>
          <w:iCs/>
          <w:noProof/>
          <w:sz w:val="21"/>
          <w:szCs w:val="21"/>
        </w:rPr>
        <w:t>15</w:t>
      </w:r>
      <w:r w:rsidRPr="00EB2406">
        <w:rPr>
          <w:rFonts w:ascii="Cambria" w:hAnsi="Cambria"/>
          <w:noProof/>
          <w:sz w:val="21"/>
          <w:szCs w:val="21"/>
        </w:rPr>
        <w:t>(1), 1–21. https://doi.org/10.1371/journal.pone.0227800</w:t>
      </w:r>
    </w:p>
    <w:p w14:paraId="55FF84CC"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lastRenderedPageBreak/>
        <w:t xml:space="preserve">Kia, Z. (2021). Ecotourism in Indonesia: Local Community Involvement and The Affecting Factors. </w:t>
      </w:r>
      <w:r w:rsidRPr="00EB2406">
        <w:rPr>
          <w:rFonts w:ascii="Cambria" w:hAnsi="Cambria"/>
          <w:i/>
          <w:iCs/>
          <w:noProof/>
          <w:sz w:val="21"/>
          <w:szCs w:val="21"/>
        </w:rPr>
        <w:t>Journal of Governance and Public Policy</w:t>
      </w:r>
      <w:r w:rsidRPr="00EB2406">
        <w:rPr>
          <w:rFonts w:ascii="Cambria" w:hAnsi="Cambria"/>
          <w:noProof/>
          <w:sz w:val="21"/>
          <w:szCs w:val="21"/>
        </w:rPr>
        <w:t xml:space="preserve">, </w:t>
      </w:r>
      <w:r w:rsidRPr="00EB2406">
        <w:rPr>
          <w:rFonts w:ascii="Cambria" w:hAnsi="Cambria"/>
          <w:i/>
          <w:iCs/>
          <w:noProof/>
          <w:sz w:val="21"/>
          <w:szCs w:val="21"/>
        </w:rPr>
        <w:t>8</w:t>
      </w:r>
      <w:r w:rsidRPr="00EB2406">
        <w:rPr>
          <w:rFonts w:ascii="Cambria" w:hAnsi="Cambria"/>
          <w:noProof/>
          <w:sz w:val="21"/>
          <w:szCs w:val="21"/>
        </w:rPr>
        <w:t>(2), LAYOUTING. https://doi.org/10.18196/jgpp.v8i2.10789</w:t>
      </w:r>
    </w:p>
    <w:p w14:paraId="469659BB"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King, C., Iba, W., &amp; Clifton, J. (2021). Reimagining resilience: COVID-19 and marine tourism in Indonesia. </w:t>
      </w:r>
      <w:r w:rsidRPr="00EB2406">
        <w:rPr>
          <w:rFonts w:ascii="Cambria" w:hAnsi="Cambria"/>
          <w:i/>
          <w:iCs/>
          <w:noProof/>
          <w:sz w:val="21"/>
          <w:szCs w:val="21"/>
        </w:rPr>
        <w:t>Current Issues in Tourism</w:t>
      </w:r>
      <w:r w:rsidRPr="00EB2406">
        <w:rPr>
          <w:rFonts w:ascii="Cambria" w:hAnsi="Cambria"/>
          <w:noProof/>
          <w:sz w:val="21"/>
          <w:szCs w:val="21"/>
        </w:rPr>
        <w:t xml:space="preserve">, </w:t>
      </w:r>
      <w:r w:rsidRPr="00EB2406">
        <w:rPr>
          <w:rFonts w:ascii="Cambria" w:hAnsi="Cambria"/>
          <w:i/>
          <w:iCs/>
          <w:noProof/>
          <w:sz w:val="21"/>
          <w:szCs w:val="21"/>
        </w:rPr>
        <w:t>24</w:t>
      </w:r>
      <w:r w:rsidRPr="00EB2406">
        <w:rPr>
          <w:rFonts w:ascii="Cambria" w:hAnsi="Cambria"/>
          <w:noProof/>
          <w:sz w:val="21"/>
          <w:szCs w:val="21"/>
        </w:rPr>
        <w:t>(19), 2784–2800. https://doi.org/10.1080/13683500.2021.1873920</w:t>
      </w:r>
    </w:p>
    <w:p w14:paraId="10FD29B0"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Kish, K., &amp; Farley, J. (2021). A research agenda for the future of ecological economics by emerging scholars. </w:t>
      </w:r>
      <w:r w:rsidRPr="00EB2406">
        <w:rPr>
          <w:rFonts w:ascii="Cambria" w:hAnsi="Cambria"/>
          <w:i/>
          <w:iCs/>
          <w:noProof/>
          <w:sz w:val="21"/>
          <w:szCs w:val="21"/>
        </w:rPr>
        <w:t>Sustainability (Switzerland)</w:t>
      </w:r>
      <w:r w:rsidRPr="00EB2406">
        <w:rPr>
          <w:rFonts w:ascii="Cambria" w:hAnsi="Cambria"/>
          <w:noProof/>
          <w:sz w:val="21"/>
          <w:szCs w:val="21"/>
        </w:rPr>
        <w:t xml:space="preserve">, </w:t>
      </w:r>
      <w:r w:rsidRPr="00EB2406">
        <w:rPr>
          <w:rFonts w:ascii="Cambria" w:hAnsi="Cambria"/>
          <w:i/>
          <w:iCs/>
          <w:noProof/>
          <w:sz w:val="21"/>
          <w:szCs w:val="21"/>
        </w:rPr>
        <w:t>13</w:t>
      </w:r>
      <w:r w:rsidRPr="00EB2406">
        <w:rPr>
          <w:rFonts w:ascii="Cambria" w:hAnsi="Cambria"/>
          <w:noProof/>
          <w:sz w:val="21"/>
          <w:szCs w:val="21"/>
        </w:rPr>
        <w:t>(3), 1–17. https://doi.org/10.3390/su13031557</w:t>
      </w:r>
    </w:p>
    <w:p w14:paraId="5B34F4BE"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Liedtke, C., Bienge, K., Wiesen, K., Teubler, J., Greiff, K., Lettenmeier, M., &amp; Rohn, H. (2014). Resource use in the production and consumption system-the MIPS approach. </w:t>
      </w:r>
      <w:r w:rsidRPr="00EB2406">
        <w:rPr>
          <w:rFonts w:ascii="Cambria" w:hAnsi="Cambria"/>
          <w:i/>
          <w:iCs/>
          <w:noProof/>
          <w:sz w:val="21"/>
          <w:szCs w:val="21"/>
        </w:rPr>
        <w:t>Resources</w:t>
      </w:r>
      <w:r w:rsidRPr="00EB2406">
        <w:rPr>
          <w:rFonts w:ascii="Cambria" w:hAnsi="Cambria"/>
          <w:noProof/>
          <w:sz w:val="21"/>
          <w:szCs w:val="21"/>
        </w:rPr>
        <w:t xml:space="preserve">, </w:t>
      </w:r>
      <w:r w:rsidRPr="00EB2406">
        <w:rPr>
          <w:rFonts w:ascii="Cambria" w:hAnsi="Cambria"/>
          <w:i/>
          <w:iCs/>
          <w:noProof/>
          <w:sz w:val="21"/>
          <w:szCs w:val="21"/>
        </w:rPr>
        <w:t>3</w:t>
      </w:r>
      <w:r w:rsidRPr="00EB2406">
        <w:rPr>
          <w:rFonts w:ascii="Cambria" w:hAnsi="Cambria"/>
          <w:noProof/>
          <w:sz w:val="21"/>
          <w:szCs w:val="21"/>
        </w:rPr>
        <w:t>(3), 544–574. https://doi.org/10.3390/resources3030544</w:t>
      </w:r>
    </w:p>
    <w:p w14:paraId="199DF285"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Lo, Y. C., &amp; Janta, P. (2020). Resident’s Perspective on Developing Community-Based Tourism – A Qualitative Study of Muen Ngoen Kong Community, Chiang Mai, Thailand. </w:t>
      </w:r>
      <w:r w:rsidRPr="00EB2406">
        <w:rPr>
          <w:rFonts w:ascii="Cambria" w:hAnsi="Cambria"/>
          <w:i/>
          <w:iCs/>
          <w:noProof/>
          <w:sz w:val="21"/>
          <w:szCs w:val="21"/>
        </w:rPr>
        <w:t>Frontiers in Psychology</w:t>
      </w:r>
      <w:r w:rsidRPr="00EB2406">
        <w:rPr>
          <w:rFonts w:ascii="Cambria" w:hAnsi="Cambria"/>
          <w:noProof/>
          <w:sz w:val="21"/>
          <w:szCs w:val="21"/>
        </w:rPr>
        <w:t xml:space="preserve">, </w:t>
      </w:r>
      <w:r w:rsidRPr="00EB2406">
        <w:rPr>
          <w:rFonts w:ascii="Cambria" w:hAnsi="Cambria"/>
          <w:i/>
          <w:iCs/>
          <w:noProof/>
          <w:sz w:val="21"/>
          <w:szCs w:val="21"/>
        </w:rPr>
        <w:t>11</w:t>
      </w:r>
      <w:r w:rsidRPr="00EB2406">
        <w:rPr>
          <w:rFonts w:ascii="Cambria" w:hAnsi="Cambria"/>
          <w:noProof/>
          <w:sz w:val="21"/>
          <w:szCs w:val="21"/>
        </w:rPr>
        <w:t>(July), 1–14. https://doi.org/10.3389/fpsyg.2020.01493</w:t>
      </w:r>
    </w:p>
    <w:p w14:paraId="5B6D9575"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Mantikei, B. (2020). Tourism demands for ecotourism spots in indonesia using google trends. </w:t>
      </w:r>
      <w:r w:rsidRPr="00EB2406">
        <w:rPr>
          <w:rFonts w:ascii="Cambria" w:hAnsi="Cambria"/>
          <w:i/>
          <w:iCs/>
          <w:noProof/>
          <w:sz w:val="21"/>
          <w:szCs w:val="21"/>
        </w:rPr>
        <w:t>Utopia y Praxis Latinoamericana</w:t>
      </w:r>
      <w:r w:rsidRPr="00EB2406">
        <w:rPr>
          <w:rFonts w:ascii="Cambria" w:hAnsi="Cambria"/>
          <w:noProof/>
          <w:sz w:val="21"/>
          <w:szCs w:val="21"/>
        </w:rPr>
        <w:t xml:space="preserve">, </w:t>
      </w:r>
      <w:r w:rsidRPr="00EB2406">
        <w:rPr>
          <w:rFonts w:ascii="Cambria" w:hAnsi="Cambria"/>
          <w:i/>
          <w:iCs/>
          <w:noProof/>
          <w:sz w:val="21"/>
          <w:szCs w:val="21"/>
        </w:rPr>
        <w:t>25</w:t>
      </w:r>
      <w:r w:rsidRPr="00EB2406">
        <w:rPr>
          <w:rFonts w:ascii="Cambria" w:hAnsi="Cambria"/>
          <w:noProof/>
          <w:sz w:val="21"/>
          <w:szCs w:val="21"/>
        </w:rPr>
        <w:t>(Extra10), 283–296. https://doi.org/10.5281/zenodo.4155607</w:t>
      </w:r>
    </w:p>
    <w:p w14:paraId="160B8BBD"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Meixner, O., &amp; Katt, F. (2020). Assessing the impact of covid-19 on consumer food safety perceptions—a choice-based willingness to pay study. </w:t>
      </w:r>
      <w:r w:rsidRPr="00EB2406">
        <w:rPr>
          <w:rFonts w:ascii="Cambria" w:hAnsi="Cambria"/>
          <w:i/>
          <w:iCs/>
          <w:noProof/>
          <w:sz w:val="21"/>
          <w:szCs w:val="21"/>
        </w:rPr>
        <w:t>Sustainability (Switzerland)</w:t>
      </w:r>
      <w:r w:rsidRPr="00EB2406">
        <w:rPr>
          <w:rFonts w:ascii="Cambria" w:hAnsi="Cambria"/>
          <w:noProof/>
          <w:sz w:val="21"/>
          <w:szCs w:val="21"/>
        </w:rPr>
        <w:t xml:space="preserve">, </w:t>
      </w:r>
      <w:r w:rsidRPr="00EB2406">
        <w:rPr>
          <w:rFonts w:ascii="Cambria" w:hAnsi="Cambria"/>
          <w:i/>
          <w:iCs/>
          <w:noProof/>
          <w:sz w:val="21"/>
          <w:szCs w:val="21"/>
        </w:rPr>
        <w:t>12</w:t>
      </w:r>
      <w:r w:rsidRPr="00EB2406">
        <w:rPr>
          <w:rFonts w:ascii="Cambria" w:hAnsi="Cambria"/>
          <w:noProof/>
          <w:sz w:val="21"/>
          <w:szCs w:val="21"/>
        </w:rPr>
        <w:t>(18), 1–18. https://doi.org/10.3390/su12187270</w:t>
      </w:r>
    </w:p>
    <w:p w14:paraId="53FC8A28"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Narayan, S., Narayan, P. K., &amp; Tobing, L. (2021). Has tourism influenced Indonesia’s current account? </w:t>
      </w:r>
      <w:r w:rsidRPr="00EB2406">
        <w:rPr>
          <w:rFonts w:ascii="Cambria" w:hAnsi="Cambria"/>
          <w:i/>
          <w:iCs/>
          <w:noProof/>
          <w:sz w:val="21"/>
          <w:szCs w:val="21"/>
        </w:rPr>
        <w:t>Economic Analysis and Policy</w:t>
      </w:r>
      <w:r w:rsidRPr="00EB2406">
        <w:rPr>
          <w:rFonts w:ascii="Cambria" w:hAnsi="Cambria"/>
          <w:noProof/>
          <w:sz w:val="21"/>
          <w:szCs w:val="21"/>
        </w:rPr>
        <w:t xml:space="preserve">, </w:t>
      </w:r>
      <w:r w:rsidRPr="00EB2406">
        <w:rPr>
          <w:rFonts w:ascii="Cambria" w:hAnsi="Cambria"/>
          <w:i/>
          <w:iCs/>
          <w:noProof/>
          <w:sz w:val="21"/>
          <w:szCs w:val="21"/>
        </w:rPr>
        <w:t>69</w:t>
      </w:r>
      <w:r w:rsidRPr="00EB2406">
        <w:rPr>
          <w:rFonts w:ascii="Cambria" w:hAnsi="Cambria"/>
          <w:noProof/>
          <w:sz w:val="21"/>
          <w:szCs w:val="21"/>
        </w:rPr>
        <w:t>, 225–237. https://doi.org/10.1016/j.eap.2020.12.009</w:t>
      </w:r>
    </w:p>
    <w:p w14:paraId="1A4CF8B9"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Nashihah, D., Domai, T., &amp; Sentanu, I. G. E. P. S. (2021). Bawean Tourism: A Hope to Encourage The Local Economy of The Community. </w:t>
      </w:r>
      <w:r w:rsidRPr="00EB2406">
        <w:rPr>
          <w:rFonts w:ascii="Cambria" w:hAnsi="Cambria"/>
          <w:i/>
          <w:iCs/>
          <w:noProof/>
          <w:sz w:val="21"/>
          <w:szCs w:val="21"/>
        </w:rPr>
        <w:t>Wacana</w:t>
      </w:r>
      <w:r w:rsidRPr="00EB2406">
        <w:rPr>
          <w:rFonts w:ascii="Cambria" w:hAnsi="Cambria"/>
          <w:noProof/>
          <w:sz w:val="21"/>
          <w:szCs w:val="21"/>
        </w:rPr>
        <w:t xml:space="preserve">, </w:t>
      </w:r>
      <w:r w:rsidRPr="00EB2406">
        <w:rPr>
          <w:rFonts w:ascii="Cambria" w:hAnsi="Cambria"/>
          <w:i/>
          <w:iCs/>
          <w:noProof/>
          <w:sz w:val="21"/>
          <w:szCs w:val="21"/>
        </w:rPr>
        <w:t>24</w:t>
      </w:r>
      <w:r w:rsidRPr="00EB2406">
        <w:rPr>
          <w:rFonts w:ascii="Cambria" w:hAnsi="Cambria"/>
          <w:noProof/>
          <w:sz w:val="21"/>
          <w:szCs w:val="21"/>
        </w:rPr>
        <w:t>(2), 53–58. https://www.wacana.ub.ac.id/index.php/wacana/article/view/894%0Ahttps://www.wacana.ub.ac.id/index.php/wacana/article/download/894/520</w:t>
      </w:r>
    </w:p>
    <w:p w14:paraId="15EEA308"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Ni’am, L., Koot, S., &amp; Jongerden, J. (2021). Selling captive nature: Lively commodification, elephant encounters, and the production of value in Sumatran ecotourism, Indonesia. </w:t>
      </w:r>
      <w:r w:rsidRPr="00EB2406">
        <w:rPr>
          <w:rFonts w:ascii="Cambria" w:hAnsi="Cambria"/>
          <w:i/>
          <w:iCs/>
          <w:noProof/>
          <w:sz w:val="21"/>
          <w:szCs w:val="21"/>
        </w:rPr>
        <w:t>Geoforum</w:t>
      </w:r>
      <w:r w:rsidRPr="00EB2406">
        <w:rPr>
          <w:rFonts w:ascii="Cambria" w:hAnsi="Cambria"/>
          <w:noProof/>
          <w:sz w:val="21"/>
          <w:szCs w:val="21"/>
        </w:rPr>
        <w:t xml:space="preserve">, </w:t>
      </w:r>
      <w:r w:rsidRPr="00EB2406">
        <w:rPr>
          <w:rFonts w:ascii="Cambria" w:hAnsi="Cambria"/>
          <w:i/>
          <w:iCs/>
          <w:noProof/>
          <w:sz w:val="21"/>
          <w:szCs w:val="21"/>
        </w:rPr>
        <w:t>127</w:t>
      </w:r>
      <w:r w:rsidRPr="00EB2406">
        <w:rPr>
          <w:rFonts w:ascii="Cambria" w:hAnsi="Cambria"/>
          <w:noProof/>
          <w:sz w:val="21"/>
          <w:szCs w:val="21"/>
        </w:rPr>
        <w:t>(November), 162–170. https://doi.org/10.1016/j.geoforum.2021.10.018</w:t>
      </w:r>
    </w:p>
    <w:p w14:paraId="7EF12ADE"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Papatheodorou, A. (2021). A review of research into air transport and tourism:: Launching the Annals of Tourism Research Curated Collection on Air Transport and Tourism. </w:t>
      </w:r>
      <w:r w:rsidRPr="00EB2406">
        <w:rPr>
          <w:rFonts w:ascii="Cambria" w:hAnsi="Cambria"/>
          <w:i/>
          <w:iCs/>
          <w:noProof/>
          <w:sz w:val="21"/>
          <w:szCs w:val="21"/>
        </w:rPr>
        <w:t>Annals of Tourism Research</w:t>
      </w:r>
      <w:r w:rsidRPr="00EB2406">
        <w:rPr>
          <w:rFonts w:ascii="Cambria" w:hAnsi="Cambria"/>
          <w:noProof/>
          <w:sz w:val="21"/>
          <w:szCs w:val="21"/>
        </w:rPr>
        <w:t xml:space="preserve">, </w:t>
      </w:r>
      <w:r w:rsidRPr="00EB2406">
        <w:rPr>
          <w:rFonts w:ascii="Cambria" w:hAnsi="Cambria"/>
          <w:i/>
          <w:iCs/>
          <w:noProof/>
          <w:sz w:val="21"/>
          <w:szCs w:val="21"/>
        </w:rPr>
        <w:t>87</w:t>
      </w:r>
      <w:r w:rsidRPr="00EB2406">
        <w:rPr>
          <w:rFonts w:ascii="Cambria" w:hAnsi="Cambria"/>
          <w:noProof/>
          <w:sz w:val="21"/>
          <w:szCs w:val="21"/>
        </w:rPr>
        <w:t>, 103151. https://doi.org/10.1016/j.annals.2021.103151</w:t>
      </w:r>
    </w:p>
    <w:p w14:paraId="05067300"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Park, S., Woo, M., &amp; Nicolau, J. L. (2020). Determinant Factors of Tourist Expenses. In </w:t>
      </w:r>
      <w:r w:rsidRPr="00EB2406">
        <w:rPr>
          <w:rFonts w:ascii="Cambria" w:hAnsi="Cambria"/>
          <w:i/>
          <w:iCs/>
          <w:noProof/>
          <w:sz w:val="21"/>
          <w:szCs w:val="21"/>
        </w:rPr>
        <w:t>Journal of Travel Research</w:t>
      </w:r>
      <w:r w:rsidRPr="00EB2406">
        <w:rPr>
          <w:rFonts w:ascii="Cambria" w:hAnsi="Cambria"/>
          <w:noProof/>
          <w:sz w:val="21"/>
          <w:szCs w:val="21"/>
        </w:rPr>
        <w:t xml:space="preserve"> (Vol. 59, Issue 2). https://doi.org/10.1177/0047287519829257</w:t>
      </w:r>
    </w:p>
    <w:p w14:paraId="63766D23"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Pasape, L. (2022). A review of the role of tour operators towards sustaining ecotourism in Tanzania. </w:t>
      </w:r>
      <w:r w:rsidRPr="00EB2406">
        <w:rPr>
          <w:rFonts w:ascii="Cambria" w:hAnsi="Cambria"/>
          <w:i/>
          <w:iCs/>
          <w:noProof/>
          <w:sz w:val="21"/>
          <w:szCs w:val="21"/>
        </w:rPr>
        <w:t>Journal of Hospitality Management and Tourism</w:t>
      </w:r>
      <w:r w:rsidRPr="00EB2406">
        <w:rPr>
          <w:rFonts w:ascii="Cambria" w:hAnsi="Cambria"/>
          <w:noProof/>
          <w:sz w:val="21"/>
          <w:szCs w:val="21"/>
        </w:rPr>
        <w:t xml:space="preserve">, </w:t>
      </w:r>
      <w:r w:rsidRPr="00EB2406">
        <w:rPr>
          <w:rFonts w:ascii="Cambria" w:hAnsi="Cambria"/>
          <w:i/>
          <w:iCs/>
          <w:noProof/>
          <w:sz w:val="21"/>
          <w:szCs w:val="21"/>
        </w:rPr>
        <w:t>13</w:t>
      </w:r>
      <w:r w:rsidRPr="00EB2406">
        <w:rPr>
          <w:rFonts w:ascii="Cambria" w:hAnsi="Cambria"/>
          <w:noProof/>
          <w:sz w:val="21"/>
          <w:szCs w:val="21"/>
        </w:rPr>
        <w:t>(2), 27–37. https://doi.org/10.5897/jhmt2022.0320</w:t>
      </w:r>
    </w:p>
    <w:p w14:paraId="5145C303"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Pham, T., &amp; Nugroho, A. (2022). Tourism-induced poverty impacts of COVID-19 in Indonesia. </w:t>
      </w:r>
      <w:r w:rsidRPr="00EB2406">
        <w:rPr>
          <w:rFonts w:ascii="Cambria" w:hAnsi="Cambria"/>
          <w:i/>
          <w:iCs/>
          <w:noProof/>
          <w:sz w:val="21"/>
          <w:szCs w:val="21"/>
        </w:rPr>
        <w:t>Annals of Tourism Research Empirical Insights</w:t>
      </w:r>
      <w:r w:rsidRPr="00EB2406">
        <w:rPr>
          <w:rFonts w:ascii="Cambria" w:hAnsi="Cambria"/>
          <w:noProof/>
          <w:sz w:val="21"/>
          <w:szCs w:val="21"/>
        </w:rPr>
        <w:t xml:space="preserve">, </w:t>
      </w:r>
      <w:r w:rsidRPr="00EB2406">
        <w:rPr>
          <w:rFonts w:ascii="Cambria" w:hAnsi="Cambria"/>
          <w:i/>
          <w:iCs/>
          <w:noProof/>
          <w:sz w:val="21"/>
          <w:szCs w:val="21"/>
        </w:rPr>
        <w:t>3</w:t>
      </w:r>
      <w:r w:rsidRPr="00EB2406">
        <w:rPr>
          <w:rFonts w:ascii="Cambria" w:hAnsi="Cambria"/>
          <w:noProof/>
          <w:sz w:val="21"/>
          <w:szCs w:val="21"/>
        </w:rPr>
        <w:t>(2), 100069. https://doi.org/10.1016/j.annale.2022.100069</w:t>
      </w:r>
    </w:p>
    <w:p w14:paraId="7C57281F"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Pirmana, V., Alisjahbana, A. S., Yusuf, A. A., Hoekstra, R., &amp; Tukker, A. (2021). Environmental costs assessment for improved environmental-economic account for Indonesia. </w:t>
      </w:r>
      <w:r w:rsidRPr="00EB2406">
        <w:rPr>
          <w:rFonts w:ascii="Cambria" w:hAnsi="Cambria"/>
          <w:i/>
          <w:iCs/>
          <w:noProof/>
          <w:sz w:val="21"/>
          <w:szCs w:val="21"/>
        </w:rPr>
        <w:t>Journal of Cleaner Production</w:t>
      </w:r>
      <w:r w:rsidRPr="00EB2406">
        <w:rPr>
          <w:rFonts w:ascii="Cambria" w:hAnsi="Cambria"/>
          <w:noProof/>
          <w:sz w:val="21"/>
          <w:szCs w:val="21"/>
        </w:rPr>
        <w:t xml:space="preserve">, </w:t>
      </w:r>
      <w:r w:rsidRPr="00EB2406">
        <w:rPr>
          <w:rFonts w:ascii="Cambria" w:hAnsi="Cambria"/>
          <w:i/>
          <w:iCs/>
          <w:noProof/>
          <w:sz w:val="21"/>
          <w:szCs w:val="21"/>
        </w:rPr>
        <w:t>280</w:t>
      </w:r>
      <w:r w:rsidRPr="00EB2406">
        <w:rPr>
          <w:rFonts w:ascii="Cambria" w:hAnsi="Cambria"/>
          <w:noProof/>
          <w:sz w:val="21"/>
          <w:szCs w:val="21"/>
        </w:rPr>
        <w:t>, 124521. https://doi.org/10.1016/j.jclepro.2020.124521</w:t>
      </w:r>
    </w:p>
    <w:p w14:paraId="36AB2BE4"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Rahman, M. M., Gu, D., Liang, C., Rashid, R. M., &amp; Akter, M. (2020). Effects of Attitude, Motivation, and Eagerness for Physical Activity among Middle-Aged and Older Adults. </w:t>
      </w:r>
      <w:r w:rsidRPr="00EB2406">
        <w:rPr>
          <w:rFonts w:ascii="Cambria" w:hAnsi="Cambria"/>
          <w:i/>
          <w:iCs/>
          <w:noProof/>
          <w:sz w:val="21"/>
          <w:szCs w:val="21"/>
        </w:rPr>
        <w:t>Journal of Healthcare Engineering</w:t>
      </w:r>
      <w:r w:rsidRPr="00EB2406">
        <w:rPr>
          <w:rFonts w:ascii="Cambria" w:hAnsi="Cambria"/>
          <w:noProof/>
          <w:sz w:val="21"/>
          <w:szCs w:val="21"/>
        </w:rPr>
        <w:t xml:space="preserve">, </w:t>
      </w:r>
      <w:r w:rsidRPr="00EB2406">
        <w:rPr>
          <w:rFonts w:ascii="Cambria" w:hAnsi="Cambria"/>
          <w:i/>
          <w:iCs/>
          <w:noProof/>
          <w:sz w:val="21"/>
          <w:szCs w:val="21"/>
        </w:rPr>
        <w:t>2020</w:t>
      </w:r>
      <w:r w:rsidRPr="00EB2406">
        <w:rPr>
          <w:rFonts w:ascii="Cambria" w:hAnsi="Cambria"/>
          <w:noProof/>
          <w:sz w:val="21"/>
          <w:szCs w:val="21"/>
        </w:rPr>
        <w:t>. https://doi.org/10.1155/2020/1014891</w:t>
      </w:r>
    </w:p>
    <w:p w14:paraId="5FBFA29E"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Rita, P., Oliveira, T., &amp; Farisa, A. (2019). The impact of e-service quality and customer satisfaction on customer behavior in online shopping. </w:t>
      </w:r>
      <w:r w:rsidRPr="00EB2406">
        <w:rPr>
          <w:rFonts w:ascii="Cambria" w:hAnsi="Cambria"/>
          <w:i/>
          <w:iCs/>
          <w:noProof/>
          <w:sz w:val="21"/>
          <w:szCs w:val="21"/>
        </w:rPr>
        <w:t>Heliyon</w:t>
      </w:r>
      <w:r w:rsidRPr="00EB2406">
        <w:rPr>
          <w:rFonts w:ascii="Cambria" w:hAnsi="Cambria"/>
          <w:noProof/>
          <w:sz w:val="21"/>
          <w:szCs w:val="21"/>
        </w:rPr>
        <w:t xml:space="preserve">, </w:t>
      </w:r>
      <w:r w:rsidRPr="00EB2406">
        <w:rPr>
          <w:rFonts w:ascii="Cambria" w:hAnsi="Cambria"/>
          <w:i/>
          <w:iCs/>
          <w:noProof/>
          <w:sz w:val="21"/>
          <w:szCs w:val="21"/>
        </w:rPr>
        <w:t>5</w:t>
      </w:r>
      <w:r w:rsidRPr="00EB2406">
        <w:rPr>
          <w:rFonts w:ascii="Cambria" w:hAnsi="Cambria"/>
          <w:noProof/>
          <w:sz w:val="21"/>
          <w:szCs w:val="21"/>
        </w:rPr>
        <w:t>(10), e02690. https://doi.org/10.1016/j.heliyon.2019.e02690</w:t>
      </w:r>
    </w:p>
    <w:p w14:paraId="55CE6A9A"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Salamor, Y. L., Limba, S., &amp; Pattimahu, D. V. (2017). KAJIAN PENGELOLAAN EKOWISATA </w:t>
      </w:r>
      <w:r w:rsidRPr="00EB2406">
        <w:rPr>
          <w:rFonts w:ascii="Cambria" w:hAnsi="Cambria"/>
          <w:noProof/>
          <w:sz w:val="21"/>
          <w:szCs w:val="21"/>
        </w:rPr>
        <w:lastRenderedPageBreak/>
        <w:t xml:space="preserve">BERBASIS EKONOMI DAN SOSIAL (Studi Kasus Semenanjung Nusaniwe Kota Ambon Provinsi Maluku). </w:t>
      </w:r>
      <w:r w:rsidRPr="00EB2406">
        <w:rPr>
          <w:rFonts w:ascii="Cambria" w:hAnsi="Cambria"/>
          <w:i/>
          <w:iCs/>
          <w:noProof/>
          <w:sz w:val="21"/>
          <w:szCs w:val="21"/>
        </w:rPr>
        <w:t>Jurnal Hutan Pulau-Pulau Kecil</w:t>
      </w:r>
      <w:r w:rsidRPr="00EB2406">
        <w:rPr>
          <w:rFonts w:ascii="Cambria" w:hAnsi="Cambria"/>
          <w:noProof/>
          <w:sz w:val="21"/>
          <w:szCs w:val="21"/>
        </w:rPr>
        <w:t xml:space="preserve">, </w:t>
      </w:r>
      <w:r w:rsidRPr="00EB2406">
        <w:rPr>
          <w:rFonts w:ascii="Cambria" w:hAnsi="Cambria"/>
          <w:i/>
          <w:iCs/>
          <w:noProof/>
          <w:sz w:val="21"/>
          <w:szCs w:val="21"/>
        </w:rPr>
        <w:t>1</w:t>
      </w:r>
      <w:r w:rsidRPr="00EB2406">
        <w:rPr>
          <w:rFonts w:ascii="Cambria" w:hAnsi="Cambria"/>
          <w:noProof/>
          <w:sz w:val="21"/>
          <w:szCs w:val="21"/>
        </w:rPr>
        <w:t>(3), 275. https://doi.org/10.30598/jhppk.2017.1.3.275</w:t>
      </w:r>
    </w:p>
    <w:p w14:paraId="6ADC82AA"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Siahaya, M. E., Matius, P., Aipassa, M. I., Rayadin, Y., Ruslim, Y., &amp; Aponno, H. S. E. S. (2021). Ecotourism development through biodiversity potential identification and community perception in the protected forest on buano island, western seram, Maluku, Indonesia. </w:t>
      </w:r>
      <w:r w:rsidRPr="00EB2406">
        <w:rPr>
          <w:rFonts w:ascii="Cambria" w:hAnsi="Cambria"/>
          <w:i/>
          <w:iCs/>
          <w:noProof/>
          <w:sz w:val="21"/>
          <w:szCs w:val="21"/>
        </w:rPr>
        <w:t>Biodiversitas</w:t>
      </w:r>
      <w:r w:rsidRPr="00EB2406">
        <w:rPr>
          <w:rFonts w:ascii="Cambria" w:hAnsi="Cambria"/>
          <w:noProof/>
          <w:sz w:val="21"/>
          <w:szCs w:val="21"/>
        </w:rPr>
        <w:t xml:space="preserve">, </w:t>
      </w:r>
      <w:r w:rsidRPr="00EB2406">
        <w:rPr>
          <w:rFonts w:ascii="Cambria" w:hAnsi="Cambria"/>
          <w:i/>
          <w:iCs/>
          <w:noProof/>
          <w:sz w:val="21"/>
          <w:szCs w:val="21"/>
        </w:rPr>
        <w:t>22</w:t>
      </w:r>
      <w:r w:rsidRPr="00EB2406">
        <w:rPr>
          <w:rFonts w:ascii="Cambria" w:hAnsi="Cambria"/>
          <w:noProof/>
          <w:sz w:val="21"/>
          <w:szCs w:val="21"/>
        </w:rPr>
        <w:t>(6), 3179–3191. https://doi.org/10.13057/biodiv/d220621</w:t>
      </w:r>
    </w:p>
    <w:p w14:paraId="288DA31A"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Simasima, T. Y., Ariani, V., &amp; Ingkadijaya, R. (2017). Analysis of Tourist Travel Pattern for Youth Travel Segment in Ambon Island. </w:t>
      </w:r>
      <w:r w:rsidRPr="00EB2406">
        <w:rPr>
          <w:rFonts w:ascii="Cambria" w:hAnsi="Cambria"/>
          <w:i/>
          <w:iCs/>
          <w:noProof/>
          <w:sz w:val="21"/>
          <w:szCs w:val="21"/>
        </w:rPr>
        <w:t>TRJ Tourism Research Journal</w:t>
      </w:r>
      <w:r w:rsidRPr="00EB2406">
        <w:rPr>
          <w:rFonts w:ascii="Cambria" w:hAnsi="Cambria"/>
          <w:noProof/>
          <w:sz w:val="21"/>
          <w:szCs w:val="21"/>
        </w:rPr>
        <w:t xml:space="preserve">, </w:t>
      </w:r>
      <w:r w:rsidRPr="00EB2406">
        <w:rPr>
          <w:rFonts w:ascii="Cambria" w:hAnsi="Cambria"/>
          <w:i/>
          <w:iCs/>
          <w:noProof/>
          <w:sz w:val="21"/>
          <w:szCs w:val="21"/>
        </w:rPr>
        <w:t>1</w:t>
      </w:r>
      <w:r w:rsidRPr="00EB2406">
        <w:rPr>
          <w:rFonts w:ascii="Cambria" w:hAnsi="Cambria"/>
          <w:noProof/>
          <w:sz w:val="21"/>
          <w:szCs w:val="21"/>
        </w:rPr>
        <w:t>(1), 37. https://doi.org/10.30647/trj.v1i1.5</w:t>
      </w:r>
    </w:p>
    <w:p w14:paraId="5CB6F323"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Tampubolon, N., &amp; Wulandari, C. (2021). the Importance of Community-Based Ecotourism Sustainability and Its Supports To the Sdgs: Goals Number 8 and 17. </w:t>
      </w:r>
      <w:r w:rsidRPr="00EB2406">
        <w:rPr>
          <w:rFonts w:ascii="Cambria" w:hAnsi="Cambria"/>
          <w:i/>
          <w:iCs/>
          <w:noProof/>
          <w:sz w:val="21"/>
          <w:szCs w:val="21"/>
        </w:rPr>
        <w:t>Journal of Tourism &amp; Sports Management (JTSM</w:t>
      </w:r>
      <w:r w:rsidRPr="00EB2406">
        <w:rPr>
          <w:rFonts w:ascii="Cambria" w:hAnsi="Cambria"/>
          <w:noProof/>
          <w:sz w:val="21"/>
          <w:szCs w:val="21"/>
        </w:rPr>
        <w:t xml:space="preserve">, </w:t>
      </w:r>
      <w:r w:rsidRPr="00EB2406">
        <w:rPr>
          <w:rFonts w:ascii="Cambria" w:hAnsi="Cambria"/>
          <w:i/>
          <w:iCs/>
          <w:noProof/>
          <w:sz w:val="21"/>
          <w:szCs w:val="21"/>
        </w:rPr>
        <w:t>4</w:t>
      </w:r>
      <w:r w:rsidRPr="00EB2406">
        <w:rPr>
          <w:rFonts w:ascii="Cambria" w:hAnsi="Cambria"/>
          <w:noProof/>
          <w:sz w:val="21"/>
          <w:szCs w:val="21"/>
        </w:rPr>
        <w:t>(1), 928–933.</w:t>
      </w:r>
    </w:p>
    <w:p w14:paraId="719A659F"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Tegar, D., &amp; Saut Gurning, R. O. (2018). Development of Marine and Coastal Tourism Based on Blue Economy. </w:t>
      </w:r>
      <w:r w:rsidRPr="00EB2406">
        <w:rPr>
          <w:rFonts w:ascii="Cambria" w:hAnsi="Cambria"/>
          <w:i/>
          <w:iCs/>
          <w:noProof/>
          <w:sz w:val="21"/>
          <w:szCs w:val="21"/>
        </w:rPr>
        <w:t>International Journal of Marine Engineering Innovation and Research</w:t>
      </w:r>
      <w:r w:rsidRPr="00EB2406">
        <w:rPr>
          <w:rFonts w:ascii="Cambria" w:hAnsi="Cambria"/>
          <w:noProof/>
          <w:sz w:val="21"/>
          <w:szCs w:val="21"/>
        </w:rPr>
        <w:t xml:space="preserve">, </w:t>
      </w:r>
      <w:r w:rsidRPr="00EB2406">
        <w:rPr>
          <w:rFonts w:ascii="Cambria" w:hAnsi="Cambria"/>
          <w:i/>
          <w:iCs/>
          <w:noProof/>
          <w:sz w:val="21"/>
          <w:szCs w:val="21"/>
        </w:rPr>
        <w:t>2</w:t>
      </w:r>
      <w:r w:rsidRPr="00EB2406">
        <w:rPr>
          <w:rFonts w:ascii="Cambria" w:hAnsi="Cambria"/>
          <w:noProof/>
          <w:sz w:val="21"/>
          <w:szCs w:val="21"/>
        </w:rPr>
        <w:t>(2). https://doi.org/10.12962/j25481479.v2i2.3650</w:t>
      </w:r>
    </w:p>
    <w:p w14:paraId="4B3971C8"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Thornton, P. K. (2010). Livestock production: Recent trends, future prospects. </w:t>
      </w:r>
      <w:r w:rsidRPr="00EB2406">
        <w:rPr>
          <w:rFonts w:ascii="Cambria" w:hAnsi="Cambria"/>
          <w:i/>
          <w:iCs/>
          <w:noProof/>
          <w:sz w:val="21"/>
          <w:szCs w:val="21"/>
        </w:rPr>
        <w:t>Philosophical Transactions of the Royal Society B: Biological Sciences</w:t>
      </w:r>
      <w:r w:rsidRPr="00EB2406">
        <w:rPr>
          <w:rFonts w:ascii="Cambria" w:hAnsi="Cambria"/>
          <w:noProof/>
          <w:sz w:val="21"/>
          <w:szCs w:val="21"/>
        </w:rPr>
        <w:t xml:space="preserve">, </w:t>
      </w:r>
      <w:r w:rsidRPr="00EB2406">
        <w:rPr>
          <w:rFonts w:ascii="Cambria" w:hAnsi="Cambria"/>
          <w:i/>
          <w:iCs/>
          <w:noProof/>
          <w:sz w:val="21"/>
          <w:szCs w:val="21"/>
        </w:rPr>
        <w:t>365</w:t>
      </w:r>
      <w:r w:rsidRPr="00EB2406">
        <w:rPr>
          <w:rFonts w:ascii="Cambria" w:hAnsi="Cambria"/>
          <w:noProof/>
          <w:sz w:val="21"/>
          <w:szCs w:val="21"/>
        </w:rPr>
        <w:t>(1554), 2853–2867. https://doi.org/10.1098/rstb.2010.0134</w:t>
      </w:r>
    </w:p>
    <w:p w14:paraId="75CEEA95"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Umarella, M. R., Baiquni, M., Murti, S. H., &amp; Marfai, M. A. (2021). Sustainability challenges in developing marine-based adventure tourism in Ambon. </w:t>
      </w:r>
      <w:r w:rsidRPr="00EB2406">
        <w:rPr>
          <w:rFonts w:ascii="Cambria" w:hAnsi="Cambria"/>
          <w:i/>
          <w:iCs/>
          <w:noProof/>
          <w:sz w:val="21"/>
          <w:szCs w:val="21"/>
        </w:rPr>
        <w:t>IOP Conference Series: Earth and Environmental Science</w:t>
      </w:r>
      <w:r w:rsidRPr="00EB2406">
        <w:rPr>
          <w:rFonts w:ascii="Cambria" w:hAnsi="Cambria"/>
          <w:noProof/>
          <w:sz w:val="21"/>
          <w:szCs w:val="21"/>
        </w:rPr>
        <w:t xml:space="preserve">, </w:t>
      </w:r>
      <w:r w:rsidRPr="00EB2406">
        <w:rPr>
          <w:rFonts w:ascii="Cambria" w:hAnsi="Cambria"/>
          <w:i/>
          <w:iCs/>
          <w:noProof/>
          <w:sz w:val="21"/>
          <w:szCs w:val="21"/>
        </w:rPr>
        <w:t>744</w:t>
      </w:r>
      <w:r w:rsidRPr="00EB2406">
        <w:rPr>
          <w:rFonts w:ascii="Cambria" w:hAnsi="Cambria"/>
          <w:noProof/>
          <w:sz w:val="21"/>
          <w:szCs w:val="21"/>
        </w:rPr>
        <w:t>(1). https://doi.org/10.1088/1755-1315/744/1/012093</w:t>
      </w:r>
    </w:p>
    <w:p w14:paraId="1E0A49AC"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Upadhaya, S., Tiwari, S., Poudyal, B., Chhetri, S. G., &amp; Dhungana, N. (2022). Local people’s perception of the impacts and importance of ecotourism in Central Nepal. </w:t>
      </w:r>
      <w:r w:rsidRPr="00EB2406">
        <w:rPr>
          <w:rFonts w:ascii="Cambria" w:hAnsi="Cambria"/>
          <w:i/>
          <w:iCs/>
          <w:noProof/>
          <w:sz w:val="21"/>
          <w:szCs w:val="21"/>
        </w:rPr>
        <w:t>PLoS ONE</w:t>
      </w:r>
      <w:r w:rsidRPr="00EB2406">
        <w:rPr>
          <w:rFonts w:ascii="Cambria" w:hAnsi="Cambria"/>
          <w:noProof/>
          <w:sz w:val="21"/>
          <w:szCs w:val="21"/>
        </w:rPr>
        <w:t xml:space="preserve">, </w:t>
      </w:r>
      <w:r w:rsidRPr="00EB2406">
        <w:rPr>
          <w:rFonts w:ascii="Cambria" w:hAnsi="Cambria"/>
          <w:i/>
          <w:iCs/>
          <w:noProof/>
          <w:sz w:val="21"/>
          <w:szCs w:val="21"/>
        </w:rPr>
        <w:t>17</w:t>
      </w:r>
      <w:r w:rsidRPr="00EB2406">
        <w:rPr>
          <w:rFonts w:ascii="Cambria" w:hAnsi="Cambria"/>
          <w:noProof/>
          <w:sz w:val="21"/>
          <w:szCs w:val="21"/>
        </w:rPr>
        <w:t>(5 May), 1–15. https://doi.org/10.1371/journal.pone.0268637</w:t>
      </w:r>
    </w:p>
    <w:p w14:paraId="0BB90269" w14:textId="77777777" w:rsidR="00EB2406" w:rsidRPr="00EB2406" w:rsidRDefault="00EB2406" w:rsidP="00EB2406">
      <w:pPr>
        <w:widowControl w:val="0"/>
        <w:autoSpaceDE w:val="0"/>
        <w:autoSpaceDN w:val="0"/>
        <w:adjustRightInd w:val="0"/>
        <w:spacing w:after="0" w:line="240" w:lineRule="auto"/>
        <w:ind w:left="480" w:hanging="480"/>
        <w:jc w:val="both"/>
        <w:rPr>
          <w:rFonts w:ascii="Cambria" w:hAnsi="Cambria"/>
          <w:noProof/>
          <w:sz w:val="21"/>
          <w:szCs w:val="21"/>
        </w:rPr>
      </w:pPr>
      <w:r w:rsidRPr="00EB2406">
        <w:rPr>
          <w:rFonts w:ascii="Cambria" w:hAnsi="Cambria"/>
          <w:noProof/>
          <w:sz w:val="21"/>
          <w:szCs w:val="21"/>
        </w:rPr>
        <w:t xml:space="preserve">Xu, L., Ao, C., Liu, B., &amp; Cai, Z. (2022). Ecotourism and sustainable development: a scientometric review of global research trends. </w:t>
      </w:r>
      <w:r w:rsidRPr="00EB2406">
        <w:rPr>
          <w:rFonts w:ascii="Cambria" w:hAnsi="Cambria"/>
          <w:i/>
          <w:iCs/>
          <w:noProof/>
          <w:sz w:val="21"/>
          <w:szCs w:val="21"/>
        </w:rPr>
        <w:t>Environment, Development and Sustainability</w:t>
      </w:r>
      <w:r w:rsidRPr="00EB2406">
        <w:rPr>
          <w:rFonts w:ascii="Cambria" w:hAnsi="Cambria"/>
          <w:noProof/>
          <w:sz w:val="21"/>
          <w:szCs w:val="21"/>
        </w:rPr>
        <w:t xml:space="preserve">, </w:t>
      </w:r>
      <w:r w:rsidRPr="00EB2406">
        <w:rPr>
          <w:rFonts w:ascii="Cambria" w:hAnsi="Cambria"/>
          <w:i/>
          <w:iCs/>
          <w:noProof/>
          <w:sz w:val="21"/>
          <w:szCs w:val="21"/>
        </w:rPr>
        <w:t>0123456789</w:t>
      </w:r>
      <w:r w:rsidRPr="00EB2406">
        <w:rPr>
          <w:rFonts w:ascii="Cambria" w:hAnsi="Cambria"/>
          <w:noProof/>
          <w:sz w:val="21"/>
          <w:szCs w:val="21"/>
        </w:rPr>
        <w:t>. https://doi.org/10.1007/s10668-022-02190-0</w:t>
      </w:r>
    </w:p>
    <w:p w14:paraId="19181402" w14:textId="0A7EC5D7" w:rsidR="00EB2406" w:rsidRPr="00EB2406" w:rsidRDefault="00EB2406" w:rsidP="00EB2406">
      <w:pPr>
        <w:tabs>
          <w:tab w:val="left" w:pos="5310"/>
        </w:tabs>
        <w:spacing w:after="0"/>
        <w:jc w:val="both"/>
        <w:rPr>
          <w:rFonts w:ascii="Cambria" w:hAnsi="Cambria"/>
          <w:sz w:val="21"/>
          <w:szCs w:val="21"/>
        </w:rPr>
      </w:pPr>
      <w:r w:rsidRPr="00EB2406">
        <w:rPr>
          <w:rFonts w:ascii="Cambria" w:hAnsi="Cambria"/>
          <w:sz w:val="21"/>
          <w:szCs w:val="21"/>
        </w:rPr>
        <w:fldChar w:fldCharType="end"/>
      </w:r>
    </w:p>
    <w:sectPr w:rsidR="00EB2406" w:rsidRPr="00EB2406" w:rsidSect="00E8624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268" w:right="1559" w:bottom="1985" w:left="1559" w:header="1134" w:footer="1134" w:gutter="0"/>
      <w:pgNumType w:start="25"/>
      <w:cols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5D74B" w14:textId="77777777" w:rsidR="009B3961" w:rsidRDefault="009B3961" w:rsidP="004B1FA9">
      <w:pPr>
        <w:spacing w:after="0" w:line="240" w:lineRule="auto"/>
      </w:pPr>
      <w:r>
        <w:separator/>
      </w:r>
    </w:p>
  </w:endnote>
  <w:endnote w:type="continuationSeparator" w:id="0">
    <w:p w14:paraId="00013912" w14:textId="77777777" w:rsidR="009B3961" w:rsidRDefault="009B3961" w:rsidP="004B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ani">
    <w:altName w:val="Gadugi"/>
    <w:charset w:val="00"/>
    <w:family w:val="roman"/>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EBE8F" w14:textId="77777777" w:rsidR="006B21A6" w:rsidRDefault="006B21A6" w:rsidP="00677579">
    <w:pPr>
      <w:pStyle w:val="Footer"/>
      <w:framePr w:wrap="auto" w:vAnchor="text" w:hAnchor="margin" w:xAlign="outside" w:y="1"/>
      <w:spacing w:before="120" w:after="0" w:line="240" w:lineRule="auto"/>
      <w:rPr>
        <w:rStyle w:val="PageNumber"/>
      </w:rPr>
    </w:pPr>
    <w:r>
      <w:rPr>
        <w:rStyle w:val="PageNumber"/>
      </w:rPr>
      <w:fldChar w:fldCharType="begin"/>
    </w:r>
    <w:r w:rsidRPr="00B505D8">
      <w:rPr>
        <w:rStyle w:val="PageNumber"/>
      </w:rPr>
      <w:instrText xml:space="preserve">PAGE  </w:instrText>
    </w:r>
    <w:r>
      <w:rPr>
        <w:rStyle w:val="PageNumber"/>
      </w:rPr>
      <w:fldChar w:fldCharType="separate"/>
    </w:r>
    <w:r w:rsidR="00190FC0">
      <w:rPr>
        <w:rStyle w:val="PageNumber"/>
        <w:noProof/>
      </w:rPr>
      <w:t>26</w:t>
    </w:r>
    <w:r>
      <w:rPr>
        <w:rStyle w:val="PageNumber"/>
      </w:rPr>
      <w:fldChar w:fldCharType="end"/>
    </w:r>
    <w:r>
      <w:rPr>
        <w:rStyle w:val="PageNumber"/>
      </w:rPr>
      <w:t xml:space="preserve"> │</w:t>
    </w:r>
  </w:p>
  <w:p w14:paraId="22515848" w14:textId="3436C283" w:rsidR="006B21A6" w:rsidRPr="00E8624E" w:rsidRDefault="00525046" w:rsidP="00525046">
    <w:pPr>
      <w:pStyle w:val="Footer"/>
      <w:pBdr>
        <w:top w:val="single" w:sz="8" w:space="6" w:color="auto"/>
      </w:pBdr>
      <w:spacing w:after="0" w:line="240" w:lineRule="auto"/>
      <w:jc w:val="center"/>
      <w:rPr>
        <w:rFonts w:ascii="Cambria" w:hAnsi="Cambria" w:cs="Vani"/>
        <w:spacing w:val="-6"/>
        <w:sz w:val="20"/>
        <w:szCs w:val="20"/>
        <w:lang w:val="id-ID"/>
      </w:rPr>
    </w:pPr>
    <w:r>
      <w:rPr>
        <w:rFonts w:cs="Vani"/>
        <w:spacing w:val="-6"/>
        <w:sz w:val="20"/>
        <w:szCs w:val="20"/>
      </w:rPr>
      <w:tab/>
    </w:r>
    <w:r>
      <w:rPr>
        <w:rFonts w:cs="Vani"/>
        <w:spacing w:val="-6"/>
        <w:sz w:val="20"/>
        <w:szCs w:val="20"/>
      </w:rPr>
      <w:tab/>
    </w:r>
    <w:r w:rsidRPr="00E8624E">
      <w:rPr>
        <w:rFonts w:ascii="Cambria" w:hAnsi="Cambria" w:cs="Vani"/>
        <w:spacing w:val="-6"/>
        <w:sz w:val="20"/>
        <w:szCs w:val="20"/>
      </w:rPr>
      <w:t xml:space="preserve">ISSN </w:t>
    </w:r>
    <w:r w:rsidR="00E8624E" w:rsidRPr="00E8624E">
      <w:rPr>
        <w:rFonts w:ascii="Cambria" w:hAnsi="Cambria" w:cs="Vani"/>
        <w:spacing w:val="-6"/>
        <w:sz w:val="20"/>
        <w:szCs w:val="20"/>
      </w:rPr>
      <w:t>2715-</w:t>
    </w:r>
    <w:r w:rsidR="0033149F">
      <w:rPr>
        <w:rFonts w:ascii="Cambria" w:hAnsi="Cambria" w:cs="Vani"/>
        <w:spacing w:val="-6"/>
        <w:sz w:val="20"/>
        <w:szCs w:val="20"/>
      </w:rPr>
      <w:t>8071</w:t>
    </w:r>
    <w:r w:rsidRPr="00E8624E">
      <w:rPr>
        <w:rFonts w:ascii="Cambria" w:hAnsi="Cambria" w:cs="Vani"/>
        <w:spacing w:val="-6"/>
        <w:sz w:val="20"/>
        <w:szCs w:val="20"/>
        <w:lang w:val="id-ID"/>
      </w:rPr>
      <w:t xml:space="preserve"> </w:t>
    </w:r>
    <w:r w:rsidRPr="00E8624E">
      <w:rPr>
        <w:rFonts w:ascii="Cambria" w:hAnsi="Cambria" w:cs="Vani"/>
        <w:spacing w:val="-6"/>
        <w:sz w:val="20"/>
        <w:szCs w:val="20"/>
      </w:rPr>
      <w:t>(online)</w:t>
    </w:r>
  </w:p>
  <w:p w14:paraId="25B47DF3" w14:textId="77777777" w:rsidR="006B21A6" w:rsidRPr="00E8624E" w:rsidRDefault="006B21A6" w:rsidP="00677579">
    <w:pPr>
      <w:spacing w:after="0" w:line="240" w:lineRule="auto"/>
      <w:jc w:val="right"/>
      <w:rPr>
        <w:rFonts w:ascii="Cambria" w:hAnsi="Cambria"/>
        <w:spacing w:val="-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6CEE" w14:textId="77777777" w:rsidR="006B21A6" w:rsidRDefault="006B21A6" w:rsidP="00171CFA">
    <w:pPr>
      <w:pStyle w:val="Footer"/>
      <w:framePr w:wrap="auto" w:vAnchor="text" w:hAnchor="margin" w:xAlign="outside" w:y="1"/>
      <w:spacing w:before="120" w:after="0" w:line="240" w:lineRule="auto"/>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D2663B">
      <w:rPr>
        <w:rStyle w:val="PageNumber"/>
        <w:noProof/>
      </w:rPr>
      <w:t>53</w:t>
    </w:r>
    <w:r>
      <w:rPr>
        <w:rStyle w:val="PageNumber"/>
      </w:rPr>
      <w:fldChar w:fldCharType="end"/>
    </w:r>
  </w:p>
  <w:p w14:paraId="0936DE46" w14:textId="6FDDDCA2" w:rsidR="006B21A6" w:rsidRPr="00E8624E" w:rsidRDefault="006B21A6" w:rsidP="00843345">
    <w:pPr>
      <w:pStyle w:val="Footer"/>
      <w:pBdr>
        <w:top w:val="single" w:sz="8" w:space="6" w:color="auto"/>
      </w:pBdr>
      <w:spacing w:after="0" w:line="240" w:lineRule="auto"/>
      <w:rPr>
        <w:rFonts w:ascii="Cambria" w:hAnsi="Cambria" w:cs="Vani"/>
        <w:spacing w:val="-6"/>
        <w:sz w:val="20"/>
        <w:szCs w:val="20"/>
      </w:rPr>
    </w:pPr>
    <w:r w:rsidRPr="00E8624E">
      <w:rPr>
        <w:rFonts w:ascii="Cambria" w:hAnsi="Cambria"/>
        <w:spacing w:val="-6"/>
        <w:sz w:val="20"/>
        <w:szCs w:val="20"/>
      </w:rPr>
      <w:t xml:space="preserve">ISSN </w:t>
    </w:r>
    <w:r w:rsidR="00E8624E" w:rsidRPr="00E8624E">
      <w:rPr>
        <w:rFonts w:ascii="Cambria" w:hAnsi="Cambria"/>
        <w:spacing w:val="-6"/>
        <w:sz w:val="20"/>
        <w:szCs w:val="20"/>
      </w:rPr>
      <w:t>2715-</w:t>
    </w:r>
    <w:r w:rsidR="0033149F">
      <w:rPr>
        <w:rFonts w:ascii="Cambria" w:hAnsi="Cambria"/>
        <w:spacing w:val="-6"/>
        <w:sz w:val="20"/>
        <w:szCs w:val="20"/>
      </w:rPr>
      <w:t xml:space="preserve">8071 </w:t>
    </w:r>
    <w:r w:rsidRPr="00E8624E">
      <w:rPr>
        <w:rFonts w:ascii="Cambria" w:hAnsi="Cambria"/>
        <w:spacing w:val="-6"/>
        <w:sz w:val="20"/>
        <w:szCs w:val="20"/>
      </w:rPr>
      <w:t>(online)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6FA3" w14:textId="77777777" w:rsidR="00720572" w:rsidRPr="00FD584C" w:rsidRDefault="00720572" w:rsidP="00720572">
    <w:pPr>
      <w:pStyle w:val="BodyText"/>
      <w:spacing w:before="20"/>
      <w:ind w:left="20"/>
      <w:rPr>
        <w:rFonts w:ascii="Cambria" w:hAnsi="Cambria" w:cs="Open Sans"/>
        <w:b/>
        <w:bCs/>
        <w:color w:val="333333"/>
        <w:sz w:val="20"/>
        <w:szCs w:val="20"/>
        <w:shd w:val="clear" w:color="auto" w:fill="FFFFFF"/>
      </w:rPr>
    </w:pPr>
    <w:r w:rsidRPr="00D2701C">
      <w:rPr>
        <w:rFonts w:ascii="Cambria" w:hAnsi="Cambria" w:cs="Vani"/>
        <w:spacing w:val="-6"/>
        <w:sz w:val="20"/>
        <w:szCs w:val="20"/>
      </w:rPr>
      <w:t xml:space="preserve">* </w:t>
    </w:r>
    <w:r w:rsidRPr="00D2701C">
      <w:rPr>
        <w:rFonts w:ascii="Cambria" w:hAnsi="Cambria" w:cs="Open Sans"/>
        <w:color w:val="333333"/>
        <w:sz w:val="20"/>
        <w:szCs w:val="20"/>
        <w:shd w:val="clear" w:color="auto" w:fill="FFFFFF"/>
      </w:rPr>
      <w:t>Copyright (c) 2020</w:t>
    </w:r>
    <w:r w:rsidR="003903EB">
      <w:rPr>
        <w:rFonts w:ascii="Cambria" w:hAnsi="Cambria" w:cs="Open Sans"/>
        <w:color w:val="333333"/>
        <w:sz w:val="20"/>
        <w:szCs w:val="20"/>
        <w:shd w:val="clear" w:color="auto" w:fill="FFFFFF"/>
      </w:rPr>
      <w:t xml:space="preserve"> </w:t>
    </w:r>
    <w:r w:rsidR="003903EB">
      <w:rPr>
        <w:rFonts w:ascii="Cambria" w:hAnsi="Cambria"/>
        <w:b/>
        <w:bCs/>
        <w:sz w:val="20"/>
        <w:szCs w:val="20"/>
      </w:rPr>
      <w:t>Lira Arlia Meilani</w:t>
    </w:r>
  </w:p>
  <w:p w14:paraId="4E657ABC" w14:textId="77777777" w:rsidR="00965301" w:rsidRPr="00D2701C" w:rsidRDefault="00720572" w:rsidP="00720572">
    <w:pPr>
      <w:pStyle w:val="FootnoteText"/>
      <w:rPr>
        <w:rFonts w:ascii="Cambria" w:hAnsi="Cambria"/>
        <w:bCs/>
      </w:rPr>
    </w:pPr>
    <w:r w:rsidRPr="00D2701C">
      <w:rPr>
        <w:rFonts w:ascii="Cambria" w:hAnsi="Cambria" w:cs="Open Sans"/>
        <w:color w:val="333333"/>
        <w:shd w:val="clear" w:color="auto" w:fill="FFFFFF"/>
      </w:rPr>
      <w:t>This work is licensed under a </w:t>
    </w:r>
    <w:hyperlink r:id="rId1" w:history="1">
      <w:r w:rsidRPr="00D2701C">
        <w:rPr>
          <w:rStyle w:val="Hyperlink"/>
          <w:rFonts w:ascii="Cambria" w:hAnsi="Cambria" w:cs="Open Sans"/>
          <w:color w:val="0D355E"/>
          <w:shd w:val="clear" w:color="auto" w:fill="FFFFFF"/>
        </w:rPr>
        <w:t>Creative Commons Attribution-ShareAlike 4.0 International License</w:t>
      </w:r>
    </w:hyperlink>
    <w:r w:rsidRPr="00D2701C">
      <w:rPr>
        <w:rFonts w:ascii="Cambria" w:hAnsi="Cambria" w:cs="Open Sans"/>
        <w:color w:val="333333"/>
        <w:shd w:val="clear" w:color="auto" w:fill="FFFFFF"/>
      </w:rPr>
      <w:t>.</w:t>
    </w:r>
    <w:r w:rsidR="00C30F3D" w:rsidRPr="00D2701C">
      <w:rPr>
        <w:rFonts w:ascii="Cambria" w:hAnsi="Cambria" w:cs="Vani"/>
        <w:spacing w:val="-6"/>
        <w:lang w:val="id-ID"/>
      </w:rPr>
      <w:tab/>
    </w:r>
    <w:r w:rsidR="006B21A6" w:rsidRPr="00D2701C">
      <w:rPr>
        <w:rFonts w:ascii="Cambria" w:hAnsi="Cambria" w:cs="Vani"/>
        <w:spacing w:val="-6"/>
        <w:lang w:val="id-ID"/>
      </w:rPr>
      <w:tab/>
    </w:r>
    <w:r w:rsidR="006B21A6" w:rsidRPr="00D2701C">
      <w:rPr>
        <w:rFonts w:ascii="Cambria" w:hAnsi="Cambria" w:cs="Vani"/>
        <w:spacing w:val="-6"/>
        <w:lang w:val="id-ID"/>
      </w:rPr>
      <w:tab/>
      <w:t xml:space="preserve">        </w:t>
    </w:r>
    <w:r w:rsidR="006B21A6" w:rsidRPr="00D2701C">
      <w:rPr>
        <w:rFonts w:ascii="Cambria" w:hAnsi="Cambria" w:cs="Vani"/>
        <w:spacing w:val="-6"/>
        <w:lang w:val="id-ID"/>
      </w:rPr>
      <w:tab/>
      <w:t xml:space="preserve">    </w:t>
    </w:r>
    <w:r w:rsidR="006B21A6" w:rsidRPr="00D2701C">
      <w:rPr>
        <w:rFonts w:ascii="Cambria" w:hAnsi="Cambria" w:cs="Vani"/>
        <w:spacing w:val="-6"/>
        <w:lang w:val="id-ID"/>
      </w:rPr>
      <w:tab/>
    </w:r>
    <w:r w:rsidR="006B21A6" w:rsidRPr="00D2701C">
      <w:rPr>
        <w:rFonts w:ascii="Cambria" w:hAnsi="Cambria" w:cs="Vani"/>
        <w:spacing w:val="-6"/>
        <w:lang w:val="id-ID"/>
      </w:rPr>
      <w:tab/>
    </w:r>
  </w:p>
  <w:p w14:paraId="262252D1" w14:textId="4383FD2E" w:rsidR="006B21A6" w:rsidRPr="009E3BFE" w:rsidRDefault="00307F16" w:rsidP="005B1781">
    <w:pPr>
      <w:pStyle w:val="FootnoteText"/>
    </w:pPr>
    <w:r>
      <w:rPr>
        <w:rFonts w:ascii="Cambria" w:hAnsi="Cambria"/>
      </w:rPr>
      <w:t>Received</w:t>
    </w:r>
    <w:r w:rsidR="00965301" w:rsidRPr="00D2701C">
      <w:rPr>
        <w:rFonts w:ascii="Cambria" w:hAnsi="Cambria"/>
      </w:rPr>
      <w:t xml:space="preserve">: </w:t>
    </w:r>
    <w:r w:rsidR="00E8624E">
      <w:rPr>
        <w:rFonts w:ascii="Cambria" w:hAnsi="Cambria"/>
      </w:rPr>
      <w:t>7 April 2020</w:t>
    </w:r>
    <w:r w:rsidR="005B1781" w:rsidRPr="00D2701C">
      <w:rPr>
        <w:rFonts w:ascii="Cambria" w:hAnsi="Cambria"/>
      </w:rPr>
      <w:t xml:space="preserve">; </w:t>
    </w:r>
    <w:r>
      <w:rPr>
        <w:rFonts w:ascii="Cambria" w:hAnsi="Cambria"/>
      </w:rPr>
      <w:t>Revised</w:t>
    </w:r>
    <w:r w:rsidR="005B1781" w:rsidRPr="00D2701C">
      <w:rPr>
        <w:rFonts w:ascii="Cambria" w:hAnsi="Cambria"/>
      </w:rPr>
      <w:t xml:space="preserve">: </w:t>
    </w:r>
    <w:r w:rsidR="00E8624E">
      <w:rPr>
        <w:rFonts w:ascii="Cambria" w:hAnsi="Cambria"/>
      </w:rPr>
      <w:t>26 April 2020</w:t>
    </w:r>
    <w:r w:rsidR="005B1781" w:rsidRPr="00D2701C">
      <w:rPr>
        <w:rFonts w:ascii="Cambria" w:hAnsi="Cambria"/>
      </w:rPr>
      <w:t xml:space="preserve">; </w:t>
    </w:r>
    <w:r>
      <w:rPr>
        <w:rFonts w:ascii="Cambria" w:hAnsi="Cambria"/>
      </w:rPr>
      <w:t>Accepted</w:t>
    </w:r>
    <w:r w:rsidR="00E8624E">
      <w:rPr>
        <w:rFonts w:ascii="Cambria" w:hAnsi="Cambria"/>
      </w:rPr>
      <w:t>:</w:t>
    </w:r>
    <w:r w:rsidR="005B1781" w:rsidRPr="00D2701C">
      <w:rPr>
        <w:rFonts w:ascii="Cambria" w:hAnsi="Cambria"/>
      </w:rPr>
      <w:t xml:space="preserve"> </w:t>
    </w:r>
    <w:r w:rsidR="00E8624E">
      <w:rPr>
        <w:rFonts w:ascii="Cambria" w:hAnsi="Cambria"/>
      </w:rPr>
      <w:t>29 April 2020</w:t>
    </w:r>
    <w:r w:rsidR="006B21A6" w:rsidRPr="00D2701C">
      <w:rPr>
        <w:rFonts w:ascii="Cambria" w:hAnsi="Cambria"/>
      </w:rPr>
      <w:tab/>
    </w:r>
    <w:r w:rsidR="006B21A6" w:rsidRPr="009E3B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7765B" w14:textId="77777777" w:rsidR="009B3961" w:rsidRDefault="009B3961" w:rsidP="004B1FA9">
      <w:pPr>
        <w:spacing w:after="0" w:line="240" w:lineRule="auto"/>
      </w:pPr>
      <w:r>
        <w:separator/>
      </w:r>
    </w:p>
  </w:footnote>
  <w:footnote w:type="continuationSeparator" w:id="0">
    <w:p w14:paraId="223E60BC" w14:textId="77777777" w:rsidR="009B3961" w:rsidRDefault="009B3961" w:rsidP="004B1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8BF74" w14:textId="5B45A384" w:rsidR="003B3811" w:rsidRPr="003903EB" w:rsidRDefault="003B3811" w:rsidP="003B3811">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sidR="0033149F">
      <w:rPr>
        <w:rFonts w:ascii="Cambria" w:hAnsi="Cambria"/>
        <w:b/>
        <w:bCs/>
        <w:spacing w:val="-6"/>
        <w:sz w:val="20"/>
        <w:szCs w:val="20"/>
        <w:lang w:val="en-ID"/>
      </w:rPr>
      <w:t>Sosial</w:t>
    </w:r>
    <w:r w:rsidR="005B1781" w:rsidRPr="003903EB">
      <w:rPr>
        <w:rFonts w:ascii="Cambria" w:hAnsi="Cambria"/>
        <w:b/>
        <w:bCs/>
        <w:spacing w:val="-6"/>
        <w:sz w:val="20"/>
        <w:szCs w:val="20"/>
        <w:lang w:val="en-ID"/>
      </w:rPr>
      <w:t>,</w:t>
    </w:r>
    <w:r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2085A760" w14:textId="77777777" w:rsidR="003B3811" w:rsidRPr="003903EB" w:rsidRDefault="003903EB" w:rsidP="003B3811">
    <w:pPr>
      <w:pStyle w:val="Header"/>
      <w:pBdr>
        <w:bottom w:val="single" w:sz="8" w:space="6" w:color="auto"/>
      </w:pBdr>
      <w:jc w:val="center"/>
      <w:rPr>
        <w:rFonts w:ascii="Cambria" w:hAnsi="Cambria"/>
        <w:noProof/>
        <w:sz w:val="20"/>
        <w:szCs w:val="20"/>
      </w:rPr>
    </w:pPr>
    <w:r w:rsidRPr="003903EB">
      <w:rPr>
        <w:rFonts w:ascii="Cambria" w:hAnsi="Cambria"/>
        <w:sz w:val="20"/>
        <w:szCs w:val="20"/>
      </w:rPr>
      <w:t xml:space="preserve">Kompetensi Sumber Daya Manusia Islam </w:t>
    </w:r>
    <w:r w:rsidR="00E8624E">
      <w:rPr>
        <w:rFonts w:ascii="Cambria" w:hAnsi="Cambria"/>
        <w:sz w:val="20"/>
        <w:szCs w:val="20"/>
      </w:rPr>
      <w:t>p</w:t>
    </w:r>
    <w:r w:rsidRPr="003903EB">
      <w:rPr>
        <w:rFonts w:ascii="Cambria" w:hAnsi="Cambria"/>
        <w:sz w:val="20"/>
        <w:szCs w:val="20"/>
      </w:rPr>
      <w:t>ada Bank Syariah</w:t>
    </w:r>
  </w:p>
  <w:p w14:paraId="4272C672" w14:textId="77777777" w:rsidR="006B21A6" w:rsidRPr="003903EB" w:rsidRDefault="003903EB" w:rsidP="00DD4FC5">
    <w:pPr>
      <w:pStyle w:val="Header"/>
      <w:pBdr>
        <w:bottom w:val="single" w:sz="8" w:space="6" w:color="auto"/>
      </w:pBdr>
      <w:jc w:val="center"/>
      <w:rPr>
        <w:rFonts w:ascii="Cambria" w:hAnsi="Cambria"/>
        <w:bCs/>
        <w:spacing w:val="-6"/>
        <w:sz w:val="20"/>
        <w:szCs w:val="20"/>
        <w:lang w:val="id-ID"/>
      </w:rPr>
    </w:pPr>
    <w:r w:rsidRPr="003903EB">
      <w:rPr>
        <w:rFonts w:ascii="Cambria" w:hAnsi="Cambria"/>
        <w:sz w:val="20"/>
        <w:szCs w:val="20"/>
      </w:rPr>
      <w:t>Lira Arlia Melani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EF1B" w14:textId="1BA7708A" w:rsidR="003903EB" w:rsidRPr="003903EB" w:rsidRDefault="003903EB" w:rsidP="003903EB">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sidR="0033149F">
      <w:rPr>
        <w:rFonts w:ascii="Cambria" w:hAnsi="Cambria"/>
        <w:b/>
        <w:bCs/>
        <w:spacing w:val="-6"/>
        <w:sz w:val="20"/>
        <w:szCs w:val="20"/>
        <w:lang w:val="en-ID"/>
      </w:rPr>
      <w:t>Sosial</w:t>
    </w:r>
    <w:r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3EECA025" w14:textId="77777777" w:rsidR="003903EB" w:rsidRPr="003903EB" w:rsidRDefault="003903EB" w:rsidP="003903EB">
    <w:pPr>
      <w:pStyle w:val="Header"/>
      <w:pBdr>
        <w:bottom w:val="single" w:sz="8" w:space="6" w:color="auto"/>
      </w:pBdr>
      <w:jc w:val="center"/>
      <w:rPr>
        <w:rFonts w:ascii="Cambria" w:hAnsi="Cambria"/>
        <w:noProof/>
        <w:sz w:val="20"/>
        <w:szCs w:val="20"/>
      </w:rPr>
    </w:pPr>
    <w:r w:rsidRPr="003903EB">
      <w:rPr>
        <w:rFonts w:ascii="Cambria" w:hAnsi="Cambria"/>
        <w:sz w:val="20"/>
        <w:szCs w:val="20"/>
      </w:rPr>
      <w:t>Kompetensi Sumber Daya Manusia Islam Pada Bank Syariah</w:t>
    </w:r>
  </w:p>
  <w:p w14:paraId="16C89445" w14:textId="77777777" w:rsidR="003903EB" w:rsidRPr="003903EB" w:rsidRDefault="003903EB" w:rsidP="003903EB">
    <w:pPr>
      <w:pStyle w:val="Header"/>
      <w:pBdr>
        <w:bottom w:val="single" w:sz="8" w:space="6" w:color="auto"/>
      </w:pBdr>
      <w:jc w:val="center"/>
      <w:rPr>
        <w:rFonts w:ascii="Cambria" w:hAnsi="Cambria"/>
        <w:bCs/>
        <w:spacing w:val="-6"/>
        <w:sz w:val="20"/>
        <w:szCs w:val="20"/>
        <w:lang w:val="id-ID"/>
      </w:rPr>
    </w:pPr>
    <w:r w:rsidRPr="003903EB">
      <w:rPr>
        <w:rFonts w:ascii="Cambria" w:hAnsi="Cambria"/>
        <w:sz w:val="20"/>
        <w:szCs w:val="20"/>
      </w:rPr>
      <w:t>Lira Arlia Melani</w:t>
    </w:r>
  </w:p>
  <w:p w14:paraId="27ECD2F7" w14:textId="77777777" w:rsidR="006B21A6" w:rsidRPr="00FD584C" w:rsidRDefault="006B21A6" w:rsidP="00FD58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D699" w14:textId="799140D7" w:rsidR="006B21A6" w:rsidRPr="00E8624E" w:rsidRDefault="006B21A6" w:rsidP="00030C06">
    <w:pPr>
      <w:pStyle w:val="Header"/>
      <w:tabs>
        <w:tab w:val="right" w:pos="9072"/>
      </w:tabs>
      <w:rPr>
        <w:rFonts w:ascii="Cambria" w:hAnsi="Cambria"/>
        <w:b/>
        <w:bCs/>
        <w:iCs/>
        <w:noProof/>
        <w:spacing w:val="-6"/>
        <w:sz w:val="20"/>
        <w:szCs w:val="20"/>
        <w:lang w:eastAsia="id-ID"/>
      </w:rPr>
    </w:pPr>
    <w:r w:rsidRPr="00E8624E">
      <w:rPr>
        <w:rFonts w:ascii="Cambria" w:hAnsi="Cambria" w:cs="Vani"/>
        <w:spacing w:val="-6"/>
        <w:sz w:val="20"/>
        <w:szCs w:val="20"/>
      </w:rPr>
      <w:t>Available online at:</w:t>
    </w:r>
    <w:r w:rsidRPr="00E8624E">
      <w:rPr>
        <w:rFonts w:ascii="Cambria" w:hAnsi="Cambria" w:cs="Vani"/>
        <w:spacing w:val="-6"/>
        <w:sz w:val="20"/>
        <w:szCs w:val="20"/>
        <w:lang w:val="id-ID"/>
      </w:rPr>
      <w:t xml:space="preserve"> </w:t>
    </w:r>
    <w:r w:rsidR="00965301" w:rsidRPr="00E8624E">
      <w:rPr>
        <w:rFonts w:ascii="Cambria" w:hAnsi="Cambria" w:cs="Vani"/>
        <w:spacing w:val="-6"/>
        <w:sz w:val="20"/>
        <w:szCs w:val="20"/>
        <w:lang w:val="id-ID"/>
      </w:rPr>
      <w:t>http://j</w:t>
    </w:r>
    <w:r w:rsidR="005B1781" w:rsidRPr="00E8624E">
      <w:rPr>
        <w:rFonts w:ascii="Cambria" w:hAnsi="Cambria" w:cs="Vani"/>
        <w:spacing w:val="-6"/>
        <w:sz w:val="20"/>
        <w:szCs w:val="20"/>
        <w:lang w:val="id-ID"/>
      </w:rPr>
      <w:t>ournal.uinsgd.ac.id/index.php/</w:t>
    </w:r>
    <w:r w:rsidR="00FD584C" w:rsidRPr="00E8624E">
      <w:rPr>
        <w:rFonts w:ascii="Cambria" w:hAnsi="Cambria" w:cs="Vani"/>
        <w:spacing w:val="-6"/>
        <w:sz w:val="20"/>
        <w:szCs w:val="20"/>
      </w:rPr>
      <w:t>k</w:t>
    </w:r>
    <w:r w:rsidR="0033149F">
      <w:rPr>
        <w:rFonts w:ascii="Cambria" w:hAnsi="Cambria" w:cs="Vani"/>
        <w:spacing w:val="-6"/>
        <w:sz w:val="20"/>
        <w:szCs w:val="20"/>
      </w:rPr>
      <w:t>s</w:t>
    </w:r>
  </w:p>
  <w:p w14:paraId="0D2F7637" w14:textId="0E6C82A9" w:rsidR="006B21A6" w:rsidRPr="00E8624E" w:rsidRDefault="00525046" w:rsidP="00030C06">
    <w:pPr>
      <w:pStyle w:val="Header"/>
      <w:tabs>
        <w:tab w:val="clear" w:pos="4680"/>
        <w:tab w:val="clear" w:pos="9360"/>
      </w:tabs>
      <w:rPr>
        <w:rFonts w:ascii="Cambria" w:hAnsi="Cambria"/>
        <w:b/>
        <w:spacing w:val="-6"/>
        <w:sz w:val="20"/>
        <w:szCs w:val="20"/>
        <w:lang w:val="en-ID"/>
      </w:rPr>
    </w:pPr>
    <w:r w:rsidRPr="00E8624E">
      <w:rPr>
        <w:rFonts w:ascii="Cambria" w:hAnsi="Cambria"/>
        <w:b/>
        <w:spacing w:val="-6"/>
        <w:sz w:val="20"/>
        <w:szCs w:val="20"/>
        <w:lang w:val="en-ID"/>
      </w:rPr>
      <w:t xml:space="preserve">Khazanah </w:t>
    </w:r>
    <w:r w:rsidR="0033149F">
      <w:rPr>
        <w:rFonts w:ascii="Cambria" w:hAnsi="Cambria"/>
        <w:b/>
        <w:spacing w:val="-6"/>
        <w:sz w:val="20"/>
        <w:szCs w:val="20"/>
        <w:lang w:val="en-ID"/>
      </w:rPr>
      <w:t>Sosial</w:t>
    </w:r>
    <w:r w:rsidRPr="00E8624E">
      <w:rPr>
        <w:rFonts w:ascii="Cambria" w:hAnsi="Cambria"/>
        <w:b/>
        <w:spacing w:val="-6"/>
        <w:sz w:val="20"/>
        <w:szCs w:val="20"/>
        <w:lang w:val="en-ID"/>
      </w:rPr>
      <w:t xml:space="preserve">, Vol. </w:t>
    </w:r>
    <w:r w:rsidR="00E8624E" w:rsidRPr="00E8624E">
      <w:rPr>
        <w:rFonts w:ascii="Cambria" w:hAnsi="Cambria"/>
        <w:b/>
        <w:spacing w:val="-6"/>
        <w:sz w:val="20"/>
        <w:szCs w:val="20"/>
        <w:lang w:val="en-ID"/>
      </w:rPr>
      <w:t>2</w:t>
    </w:r>
    <w:r w:rsidRPr="00E8624E">
      <w:rPr>
        <w:rFonts w:ascii="Cambria" w:hAnsi="Cambria"/>
        <w:b/>
        <w:spacing w:val="-6"/>
        <w:sz w:val="20"/>
        <w:szCs w:val="20"/>
        <w:lang w:val="en-ID"/>
      </w:rPr>
      <w:t xml:space="preserve"> No. 1: </w:t>
    </w:r>
    <w:r w:rsidR="00E8624E" w:rsidRPr="00E8624E">
      <w:rPr>
        <w:rFonts w:ascii="Cambria" w:hAnsi="Cambria"/>
        <w:b/>
        <w:spacing w:val="-6"/>
        <w:sz w:val="20"/>
        <w:szCs w:val="20"/>
        <w:lang w:val="en-ID"/>
      </w:rPr>
      <w:t>25</w:t>
    </w:r>
    <w:r w:rsidRPr="00E8624E">
      <w:rPr>
        <w:rFonts w:ascii="Cambria" w:hAnsi="Cambria"/>
        <w:b/>
        <w:spacing w:val="-6"/>
        <w:sz w:val="20"/>
        <w:szCs w:val="20"/>
        <w:lang w:val="en-ID"/>
      </w:rPr>
      <w:t>-</w:t>
    </w:r>
    <w:r w:rsidR="00E8624E" w:rsidRPr="00E8624E">
      <w:rPr>
        <w:rFonts w:ascii="Cambria" w:hAnsi="Cambria"/>
        <w:b/>
        <w:spacing w:val="-6"/>
        <w:sz w:val="20"/>
        <w:szCs w:val="20"/>
        <w:lang w:val="en-ID"/>
      </w:rPr>
      <w:t>30</w:t>
    </w:r>
  </w:p>
  <w:p w14:paraId="70D6CC28" w14:textId="77777777" w:rsidR="00030C06" w:rsidRPr="00E8624E" w:rsidRDefault="00030C06" w:rsidP="00030C06">
    <w:pPr>
      <w:pStyle w:val="Header"/>
      <w:tabs>
        <w:tab w:val="clear" w:pos="4680"/>
        <w:tab w:val="clear" w:pos="9360"/>
      </w:tabs>
      <w:rPr>
        <w:rFonts w:ascii="Cambria" w:hAnsi="Cambria" w:cs="Vani"/>
        <w:spacing w:val="-6"/>
        <w:sz w:val="20"/>
        <w:szCs w:val="20"/>
        <w:lang w:val="id-ID"/>
      </w:rPr>
    </w:pPr>
  </w:p>
  <w:p w14:paraId="7B6312DD" w14:textId="0CD47CBE" w:rsidR="00965301" w:rsidRPr="00E8624E" w:rsidRDefault="00965301" w:rsidP="00030C06">
    <w:pPr>
      <w:pStyle w:val="Header"/>
      <w:tabs>
        <w:tab w:val="clear" w:pos="4680"/>
        <w:tab w:val="clear" w:pos="9360"/>
      </w:tabs>
      <w:rPr>
        <w:rFonts w:ascii="Cambria" w:hAnsi="Cambria" w:cs="Vani"/>
        <w:spacing w:val="-6"/>
        <w:sz w:val="20"/>
        <w:szCs w:val="20"/>
      </w:rPr>
    </w:pPr>
    <w:r w:rsidRPr="00E8624E">
      <w:rPr>
        <w:rFonts w:ascii="Cambria" w:hAnsi="Cambria" w:cs="Vani"/>
        <w:spacing w:val="-6"/>
        <w:sz w:val="20"/>
        <w:szCs w:val="20"/>
        <w:lang w:val="id-ID"/>
      </w:rPr>
      <w:t xml:space="preserve">DOI: </w:t>
    </w:r>
    <w:hyperlink r:id="rId1" w:history="1">
      <w:r w:rsidR="00791087" w:rsidRPr="00E8624E">
        <w:rPr>
          <w:rStyle w:val="Hyperlink"/>
          <w:rFonts w:ascii="Cambria" w:hAnsi="Cambria" w:cs="Vani"/>
          <w:color w:val="auto"/>
          <w:spacing w:val="-6"/>
          <w:sz w:val="20"/>
          <w:szCs w:val="20"/>
          <w:u w:val="none"/>
          <w:lang w:val="id-ID"/>
        </w:rPr>
        <w:t>10.</w:t>
      </w:r>
      <w:r w:rsidR="00030C06" w:rsidRPr="00E8624E">
        <w:rPr>
          <w:rStyle w:val="Hyperlink"/>
          <w:rFonts w:ascii="Cambria" w:hAnsi="Cambria" w:cs="Vani"/>
          <w:color w:val="auto"/>
          <w:spacing w:val="-6"/>
          <w:sz w:val="20"/>
          <w:szCs w:val="20"/>
          <w:u w:val="none"/>
        </w:rPr>
        <w:t>15575</w:t>
      </w:r>
      <w:r w:rsidR="00791087" w:rsidRPr="00E8624E">
        <w:rPr>
          <w:rStyle w:val="Hyperlink"/>
          <w:rFonts w:ascii="Cambria" w:hAnsi="Cambria" w:cs="Vani"/>
          <w:color w:val="auto"/>
          <w:spacing w:val="-6"/>
          <w:sz w:val="20"/>
          <w:szCs w:val="20"/>
          <w:u w:val="none"/>
          <w:lang w:val="id-ID"/>
        </w:rPr>
        <w:t>/</w:t>
      </w:r>
      <w:r w:rsidR="00030C06" w:rsidRPr="00E8624E">
        <w:rPr>
          <w:rStyle w:val="Hyperlink"/>
          <w:rFonts w:ascii="Cambria" w:hAnsi="Cambria" w:cs="Vani"/>
          <w:color w:val="auto"/>
          <w:spacing w:val="-6"/>
          <w:sz w:val="20"/>
          <w:szCs w:val="20"/>
          <w:u w:val="none"/>
        </w:rPr>
        <w:t>k</w:t>
      </w:r>
      <w:r w:rsidR="0033149F">
        <w:rPr>
          <w:rStyle w:val="Hyperlink"/>
          <w:rFonts w:ascii="Cambria" w:hAnsi="Cambria" w:cs="Vani"/>
          <w:color w:val="auto"/>
          <w:spacing w:val="-6"/>
          <w:sz w:val="20"/>
          <w:szCs w:val="20"/>
          <w:u w:val="none"/>
        </w:rPr>
        <w:t>s</w:t>
      </w:r>
      <w:r w:rsidR="00791087" w:rsidRPr="00E8624E">
        <w:rPr>
          <w:rStyle w:val="Hyperlink"/>
          <w:rFonts w:ascii="Cambria" w:hAnsi="Cambria" w:cs="Vani"/>
          <w:color w:val="auto"/>
          <w:spacing w:val="-6"/>
          <w:sz w:val="20"/>
          <w:szCs w:val="20"/>
          <w:u w:val="none"/>
          <w:lang w:val="id-ID"/>
        </w:rPr>
        <w:t>.v</w:t>
      </w:r>
      <w:r w:rsidR="00030C06" w:rsidRPr="00E8624E">
        <w:rPr>
          <w:rStyle w:val="Hyperlink"/>
          <w:rFonts w:ascii="Cambria" w:hAnsi="Cambria" w:cs="Vani"/>
          <w:color w:val="auto"/>
          <w:spacing w:val="-6"/>
          <w:sz w:val="20"/>
          <w:szCs w:val="20"/>
          <w:u w:val="none"/>
        </w:rPr>
        <w:t>1</w:t>
      </w:r>
      <w:r w:rsidR="00791087" w:rsidRPr="00E8624E">
        <w:rPr>
          <w:rStyle w:val="Hyperlink"/>
          <w:rFonts w:ascii="Cambria" w:hAnsi="Cambria" w:cs="Vani"/>
          <w:color w:val="auto"/>
          <w:spacing w:val="-6"/>
          <w:sz w:val="20"/>
          <w:szCs w:val="20"/>
          <w:u w:val="none"/>
          <w:lang w:val="id-ID"/>
        </w:rPr>
        <w:t>i</w:t>
      </w:r>
      <w:r w:rsidR="00030C06" w:rsidRPr="00E8624E">
        <w:rPr>
          <w:rStyle w:val="Hyperlink"/>
          <w:rFonts w:ascii="Cambria" w:hAnsi="Cambria" w:cs="Vani"/>
          <w:color w:val="auto"/>
          <w:spacing w:val="-6"/>
          <w:sz w:val="20"/>
          <w:szCs w:val="20"/>
          <w:u w:val="none"/>
        </w:rPr>
        <w:t>1</w:t>
      </w:r>
      <w:r w:rsidR="00791087" w:rsidRPr="00E8624E">
        <w:rPr>
          <w:rStyle w:val="Hyperlink"/>
          <w:rFonts w:ascii="Cambria" w:hAnsi="Cambria" w:cs="Vani"/>
          <w:color w:val="auto"/>
          <w:spacing w:val="-6"/>
          <w:sz w:val="20"/>
          <w:szCs w:val="20"/>
          <w:u w:val="none"/>
          <w:lang w:val="id-ID"/>
        </w:rPr>
        <w:t>.</w:t>
      </w:r>
    </w:hyperlink>
    <w:r w:rsidR="003B3811" w:rsidRPr="00E8624E">
      <w:rPr>
        <w:rStyle w:val="08BodyArticleChar"/>
        <w:rFonts w:eastAsia="Calibri"/>
      </w:rPr>
      <w:t xml:space="preserve"> </w:t>
    </w:r>
    <w:r w:rsidR="00E8624E" w:rsidRPr="00E8624E">
      <w:rPr>
        <w:rStyle w:val="08BodyArticleChar"/>
        <w:rFonts w:eastAsia="Calibri"/>
        <w:lang w:val="en-US"/>
      </w:rPr>
      <w:t>8157</w:t>
    </w:r>
  </w:p>
  <w:p w14:paraId="22D79DB3" w14:textId="77777777" w:rsidR="00791087" w:rsidRPr="00965301" w:rsidRDefault="00791087" w:rsidP="00965301">
    <w:pPr>
      <w:pStyle w:val="Header"/>
      <w:tabs>
        <w:tab w:val="clear" w:pos="4680"/>
        <w:tab w:val="clear" w:pos="9360"/>
      </w:tabs>
      <w:rPr>
        <w:rFonts w:ascii="Cambria" w:hAnsi="Cambria"/>
        <w:b/>
        <w:spacing w:val="-6"/>
        <w:sz w:val="20"/>
        <w:szCs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74AC2A0"/>
    <w:lvl w:ilvl="0" w:tplc="65A4AB64">
      <w:start w:val="1"/>
      <w:numFmt w:val="decimal"/>
      <w:lvlText w:val="%1)"/>
      <w:lvlJc w:val="left"/>
      <w:rPr>
        <w:color w:val="auto"/>
      </w:rPr>
    </w:lvl>
    <w:lvl w:ilvl="1" w:tplc="B29A5B50">
      <w:start w:val="1"/>
      <w:numFmt w:val="bullet"/>
      <w:lvlText w:val=""/>
      <w:lvlJc w:val="left"/>
    </w:lvl>
    <w:lvl w:ilvl="2" w:tplc="676042DA">
      <w:start w:val="1"/>
      <w:numFmt w:val="bullet"/>
      <w:lvlText w:val=""/>
      <w:lvlJc w:val="left"/>
    </w:lvl>
    <w:lvl w:ilvl="3" w:tplc="341C8A00">
      <w:start w:val="1"/>
      <w:numFmt w:val="bullet"/>
      <w:lvlText w:val=""/>
      <w:lvlJc w:val="left"/>
    </w:lvl>
    <w:lvl w:ilvl="4" w:tplc="9072E8B6">
      <w:start w:val="1"/>
      <w:numFmt w:val="bullet"/>
      <w:lvlText w:val=""/>
      <w:lvlJc w:val="left"/>
    </w:lvl>
    <w:lvl w:ilvl="5" w:tplc="2D8EE4C2">
      <w:start w:val="1"/>
      <w:numFmt w:val="bullet"/>
      <w:lvlText w:val=""/>
      <w:lvlJc w:val="left"/>
    </w:lvl>
    <w:lvl w:ilvl="6" w:tplc="A8BCB2B0">
      <w:start w:val="1"/>
      <w:numFmt w:val="bullet"/>
      <w:lvlText w:val=""/>
      <w:lvlJc w:val="left"/>
    </w:lvl>
    <w:lvl w:ilvl="7" w:tplc="A0685068">
      <w:start w:val="1"/>
      <w:numFmt w:val="bullet"/>
      <w:lvlText w:val=""/>
      <w:lvlJc w:val="left"/>
    </w:lvl>
    <w:lvl w:ilvl="8" w:tplc="F4C03346">
      <w:start w:val="1"/>
      <w:numFmt w:val="bullet"/>
      <w:lvlText w:val=""/>
      <w:lvlJc w:val="left"/>
    </w:lvl>
  </w:abstractNum>
  <w:abstractNum w:abstractNumId="1">
    <w:nsid w:val="00000004"/>
    <w:multiLevelType w:val="hybridMultilevel"/>
    <w:tmpl w:val="4DB127F8"/>
    <w:lvl w:ilvl="0" w:tplc="2D42853E">
      <w:start w:val="1"/>
      <w:numFmt w:val="decimal"/>
      <w:lvlText w:val="%1)"/>
      <w:lvlJc w:val="left"/>
    </w:lvl>
    <w:lvl w:ilvl="1" w:tplc="41CA4A64">
      <w:start w:val="1"/>
      <w:numFmt w:val="bullet"/>
      <w:lvlText w:val=""/>
      <w:lvlJc w:val="left"/>
    </w:lvl>
    <w:lvl w:ilvl="2" w:tplc="3AD2DA8E">
      <w:start w:val="1"/>
      <w:numFmt w:val="bullet"/>
      <w:lvlText w:val=""/>
      <w:lvlJc w:val="left"/>
    </w:lvl>
    <w:lvl w:ilvl="3" w:tplc="17E2B50E">
      <w:start w:val="1"/>
      <w:numFmt w:val="bullet"/>
      <w:lvlText w:val=""/>
      <w:lvlJc w:val="left"/>
    </w:lvl>
    <w:lvl w:ilvl="4" w:tplc="62142752">
      <w:start w:val="1"/>
      <w:numFmt w:val="bullet"/>
      <w:lvlText w:val=""/>
      <w:lvlJc w:val="left"/>
    </w:lvl>
    <w:lvl w:ilvl="5" w:tplc="EE1E7F04">
      <w:start w:val="1"/>
      <w:numFmt w:val="bullet"/>
      <w:lvlText w:val=""/>
      <w:lvlJc w:val="left"/>
    </w:lvl>
    <w:lvl w:ilvl="6" w:tplc="5E94C97E">
      <w:start w:val="1"/>
      <w:numFmt w:val="bullet"/>
      <w:lvlText w:val=""/>
      <w:lvlJc w:val="left"/>
    </w:lvl>
    <w:lvl w:ilvl="7" w:tplc="84007012">
      <w:start w:val="1"/>
      <w:numFmt w:val="bullet"/>
      <w:lvlText w:val=""/>
      <w:lvlJc w:val="left"/>
    </w:lvl>
    <w:lvl w:ilvl="8" w:tplc="F0E89C8C">
      <w:start w:val="1"/>
      <w:numFmt w:val="bullet"/>
      <w:lvlText w:val=""/>
      <w:lvlJc w:val="left"/>
    </w:lvl>
  </w:abstractNum>
  <w:abstractNum w:abstractNumId="2">
    <w:nsid w:val="00000006"/>
    <w:multiLevelType w:val="hybridMultilevel"/>
    <w:tmpl w:val="1F16E9E8"/>
    <w:lvl w:ilvl="0" w:tplc="A61AA168">
      <w:start w:val="4"/>
      <w:numFmt w:val="lowerLetter"/>
      <w:lvlText w:val="%1."/>
      <w:lvlJc w:val="left"/>
    </w:lvl>
    <w:lvl w:ilvl="1" w:tplc="9DCACE3A">
      <w:start w:val="1"/>
      <w:numFmt w:val="decimal"/>
      <w:lvlText w:val="%2)"/>
      <w:lvlJc w:val="left"/>
    </w:lvl>
    <w:lvl w:ilvl="2" w:tplc="108C4942">
      <w:start w:val="1"/>
      <w:numFmt w:val="lowerLetter"/>
      <w:lvlText w:val="%3)"/>
      <w:lvlJc w:val="left"/>
    </w:lvl>
    <w:lvl w:ilvl="3" w:tplc="F8662672">
      <w:start w:val="1"/>
      <w:numFmt w:val="bullet"/>
      <w:lvlText w:val=""/>
      <w:lvlJc w:val="left"/>
    </w:lvl>
    <w:lvl w:ilvl="4" w:tplc="5992BDFA">
      <w:start w:val="1"/>
      <w:numFmt w:val="bullet"/>
      <w:lvlText w:val=""/>
      <w:lvlJc w:val="left"/>
    </w:lvl>
    <w:lvl w:ilvl="5" w:tplc="9612D93C">
      <w:start w:val="1"/>
      <w:numFmt w:val="bullet"/>
      <w:lvlText w:val=""/>
      <w:lvlJc w:val="left"/>
    </w:lvl>
    <w:lvl w:ilvl="6" w:tplc="602844A0">
      <w:start w:val="1"/>
      <w:numFmt w:val="bullet"/>
      <w:lvlText w:val=""/>
      <w:lvlJc w:val="left"/>
    </w:lvl>
    <w:lvl w:ilvl="7" w:tplc="28A48DDE">
      <w:start w:val="1"/>
      <w:numFmt w:val="bullet"/>
      <w:lvlText w:val=""/>
      <w:lvlJc w:val="left"/>
    </w:lvl>
    <w:lvl w:ilvl="8" w:tplc="F468D6B4">
      <w:start w:val="1"/>
      <w:numFmt w:val="bullet"/>
      <w:lvlText w:val=""/>
      <w:lvlJc w:val="left"/>
    </w:lvl>
  </w:abstractNum>
  <w:abstractNum w:abstractNumId="3">
    <w:nsid w:val="00000007"/>
    <w:multiLevelType w:val="hybridMultilevel"/>
    <w:tmpl w:val="1190CDE6"/>
    <w:lvl w:ilvl="0" w:tplc="CF323DC0">
      <w:start w:val="1"/>
      <w:numFmt w:val="decimal"/>
      <w:lvlText w:val="%1"/>
      <w:lvlJc w:val="left"/>
    </w:lvl>
    <w:lvl w:ilvl="1" w:tplc="3A8EE490">
      <w:start w:val="3"/>
      <w:numFmt w:val="lowerLetter"/>
      <w:lvlText w:val="%2)"/>
      <w:lvlJc w:val="left"/>
    </w:lvl>
    <w:lvl w:ilvl="2" w:tplc="FF56403E">
      <w:start w:val="1"/>
      <w:numFmt w:val="bullet"/>
      <w:lvlText w:val=""/>
      <w:lvlJc w:val="left"/>
    </w:lvl>
    <w:lvl w:ilvl="3" w:tplc="12F8262C">
      <w:start w:val="1"/>
      <w:numFmt w:val="bullet"/>
      <w:lvlText w:val=""/>
      <w:lvlJc w:val="left"/>
    </w:lvl>
    <w:lvl w:ilvl="4" w:tplc="D76248A6">
      <w:start w:val="1"/>
      <w:numFmt w:val="bullet"/>
      <w:lvlText w:val=""/>
      <w:lvlJc w:val="left"/>
    </w:lvl>
    <w:lvl w:ilvl="5" w:tplc="8682B976">
      <w:start w:val="1"/>
      <w:numFmt w:val="bullet"/>
      <w:lvlText w:val=""/>
      <w:lvlJc w:val="left"/>
    </w:lvl>
    <w:lvl w:ilvl="6" w:tplc="8368B40A">
      <w:start w:val="1"/>
      <w:numFmt w:val="bullet"/>
      <w:lvlText w:val=""/>
      <w:lvlJc w:val="left"/>
    </w:lvl>
    <w:lvl w:ilvl="7" w:tplc="8D240DE6">
      <w:start w:val="1"/>
      <w:numFmt w:val="bullet"/>
      <w:lvlText w:val=""/>
      <w:lvlJc w:val="left"/>
    </w:lvl>
    <w:lvl w:ilvl="8" w:tplc="863AFE96">
      <w:start w:val="1"/>
      <w:numFmt w:val="bullet"/>
      <w:lvlText w:val=""/>
      <w:lvlJc w:val="left"/>
    </w:lvl>
  </w:abstractNum>
  <w:abstractNum w:abstractNumId="4">
    <w:nsid w:val="05A83CC6"/>
    <w:multiLevelType w:val="multilevel"/>
    <w:tmpl w:val="9126D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4D3BDE"/>
    <w:multiLevelType w:val="hybridMultilevel"/>
    <w:tmpl w:val="0D829A20"/>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0A67448B"/>
    <w:multiLevelType w:val="hybridMultilevel"/>
    <w:tmpl w:val="8A3A4FA2"/>
    <w:lvl w:ilvl="0" w:tplc="D62E3EDA">
      <w:start w:val="1"/>
      <w:numFmt w:val="decimal"/>
      <w:lvlText w:val="%1."/>
      <w:lvlJc w:val="center"/>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7">
    <w:nsid w:val="0CEB564D"/>
    <w:multiLevelType w:val="hybridMultilevel"/>
    <w:tmpl w:val="3EA2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D7640"/>
    <w:multiLevelType w:val="hybridMultilevel"/>
    <w:tmpl w:val="E76EF292"/>
    <w:lvl w:ilvl="0" w:tplc="5E2AD34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nsid w:val="189829D5"/>
    <w:multiLevelType w:val="multilevel"/>
    <w:tmpl w:val="275C5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3D5C34"/>
    <w:multiLevelType w:val="multilevel"/>
    <w:tmpl w:val="0958B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092D22"/>
    <w:multiLevelType w:val="hybridMultilevel"/>
    <w:tmpl w:val="784ED9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5125034"/>
    <w:multiLevelType w:val="hybridMultilevel"/>
    <w:tmpl w:val="39BA15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31A36A48"/>
    <w:multiLevelType w:val="hybridMultilevel"/>
    <w:tmpl w:val="18609B54"/>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293419"/>
    <w:multiLevelType w:val="hybridMultilevel"/>
    <w:tmpl w:val="C2C6D1DE"/>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36A93922"/>
    <w:multiLevelType w:val="hybridMultilevel"/>
    <w:tmpl w:val="1FBAA1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B1277"/>
    <w:multiLevelType w:val="hybridMultilevel"/>
    <w:tmpl w:val="3BFEFB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3E2B26EB"/>
    <w:multiLevelType w:val="hybridMultilevel"/>
    <w:tmpl w:val="6EB21B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3E87749D"/>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F5014F"/>
    <w:multiLevelType w:val="hybridMultilevel"/>
    <w:tmpl w:val="DB6E9F1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0F3DF2"/>
    <w:multiLevelType w:val="hybridMultilevel"/>
    <w:tmpl w:val="6B38C7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51840225"/>
    <w:multiLevelType w:val="hybridMultilevel"/>
    <w:tmpl w:val="3F608F12"/>
    <w:lvl w:ilvl="0" w:tplc="07EE9E1C">
      <w:start w:val="1"/>
      <w:numFmt w:val="lowerLetter"/>
      <w:lvlText w:val="%1."/>
      <w:lvlJc w:val="left"/>
      <w:pPr>
        <w:ind w:left="720" w:hanging="360"/>
      </w:pPr>
      <w:rPr>
        <w:rFonts w:hint="default"/>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60537F0"/>
    <w:multiLevelType w:val="hybridMultilevel"/>
    <w:tmpl w:val="2D74154E"/>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56B10193"/>
    <w:multiLevelType w:val="multilevel"/>
    <w:tmpl w:val="321A89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77340B"/>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300F13"/>
    <w:multiLevelType w:val="hybridMultilevel"/>
    <w:tmpl w:val="DFB60C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5CA32C8E"/>
    <w:multiLevelType w:val="hybridMultilevel"/>
    <w:tmpl w:val="D8E2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90DE4"/>
    <w:multiLevelType w:val="hybridMultilevel"/>
    <w:tmpl w:val="233AB9A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3B6179C"/>
    <w:multiLevelType w:val="multilevel"/>
    <w:tmpl w:val="BBEE3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4F902E1"/>
    <w:multiLevelType w:val="multilevel"/>
    <w:tmpl w:val="34EA5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8E86167"/>
    <w:multiLevelType w:val="hybridMultilevel"/>
    <w:tmpl w:val="DC7C1824"/>
    <w:lvl w:ilvl="0" w:tplc="1AEC1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D9247E2"/>
    <w:multiLevelType w:val="multilevel"/>
    <w:tmpl w:val="D89C6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7C8D7383"/>
    <w:multiLevelType w:val="hybridMultilevel"/>
    <w:tmpl w:val="ABB84020"/>
    <w:lvl w:ilvl="0" w:tplc="9D2C49E4">
      <w:start w:val="1"/>
      <w:numFmt w:val="lowerLetter"/>
      <w:lvlText w:val="%1."/>
      <w:lvlJc w:val="left"/>
      <w:pPr>
        <w:ind w:left="3905"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25"/>
  </w:num>
  <w:num w:numId="4">
    <w:abstractNumId w:val="12"/>
  </w:num>
  <w:num w:numId="5">
    <w:abstractNumId w:val="17"/>
  </w:num>
  <w:num w:numId="6">
    <w:abstractNumId w:val="16"/>
  </w:num>
  <w:num w:numId="7">
    <w:abstractNumId w:val="20"/>
  </w:num>
  <w:num w:numId="8">
    <w:abstractNumId w:val="31"/>
  </w:num>
  <w:num w:numId="9">
    <w:abstractNumId w:val="6"/>
  </w:num>
  <w:num w:numId="10">
    <w:abstractNumId w:val="0"/>
  </w:num>
  <w:num w:numId="11">
    <w:abstractNumId w:val="1"/>
  </w:num>
  <w:num w:numId="12">
    <w:abstractNumId w:val="2"/>
  </w:num>
  <w:num w:numId="13">
    <w:abstractNumId w:val="3"/>
  </w:num>
  <w:num w:numId="14">
    <w:abstractNumId w:val="26"/>
  </w:num>
  <w:num w:numId="15">
    <w:abstractNumId w:val="19"/>
  </w:num>
  <w:num w:numId="16">
    <w:abstractNumId w:val="7"/>
  </w:num>
  <w:num w:numId="17">
    <w:abstractNumId w:val="22"/>
  </w:num>
  <w:num w:numId="18">
    <w:abstractNumId w:val="24"/>
  </w:num>
  <w:num w:numId="19">
    <w:abstractNumId w:val="18"/>
  </w:num>
  <w:num w:numId="20">
    <w:abstractNumId w:val="5"/>
  </w:num>
  <w:num w:numId="21">
    <w:abstractNumId w:val="14"/>
  </w:num>
  <w:num w:numId="22">
    <w:abstractNumId w:val="13"/>
  </w:num>
  <w:num w:numId="23">
    <w:abstractNumId w:val="9"/>
  </w:num>
  <w:num w:numId="24">
    <w:abstractNumId w:val="11"/>
  </w:num>
  <w:num w:numId="25">
    <w:abstractNumId w:val="8"/>
  </w:num>
  <w:num w:numId="26">
    <w:abstractNumId w:val="27"/>
  </w:num>
  <w:num w:numId="27">
    <w:abstractNumId w:val="23"/>
  </w:num>
  <w:num w:numId="28">
    <w:abstractNumId w:val="28"/>
  </w:num>
  <w:num w:numId="29">
    <w:abstractNumId w:val="30"/>
  </w:num>
  <w:num w:numId="30">
    <w:abstractNumId w:val="10"/>
  </w:num>
  <w:num w:numId="31">
    <w:abstractNumId w:val="32"/>
  </w:num>
  <w:num w:numId="32">
    <w:abstractNumId w:val="4"/>
  </w:num>
  <w:num w:numId="33">
    <w:abstractNumId w:val="21"/>
  </w:num>
  <w:num w:numId="34">
    <w:abstractNumId w:val="15"/>
  </w:num>
  <w:num w:numId="35">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attachedTemplate r:id="rId1"/>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0NrAwMzKwNLSwMDBT0lEKTi0uzszPAykwMq0FAEWIBJYtAAAA"/>
  </w:docVars>
  <w:rsids>
    <w:rsidRoot w:val="00517F27"/>
    <w:rsid w:val="00003EFC"/>
    <w:rsid w:val="00004041"/>
    <w:rsid w:val="00007C04"/>
    <w:rsid w:val="0001070A"/>
    <w:rsid w:val="000149F0"/>
    <w:rsid w:val="00016A0E"/>
    <w:rsid w:val="00030199"/>
    <w:rsid w:val="00030C06"/>
    <w:rsid w:val="000427A8"/>
    <w:rsid w:val="00045D09"/>
    <w:rsid w:val="000460A9"/>
    <w:rsid w:val="00054E7E"/>
    <w:rsid w:val="000563A5"/>
    <w:rsid w:val="00060524"/>
    <w:rsid w:val="00077ADC"/>
    <w:rsid w:val="000820BE"/>
    <w:rsid w:val="00090916"/>
    <w:rsid w:val="000936B1"/>
    <w:rsid w:val="00096F2F"/>
    <w:rsid w:val="000A2471"/>
    <w:rsid w:val="000B35C9"/>
    <w:rsid w:val="000B6842"/>
    <w:rsid w:val="000C4737"/>
    <w:rsid w:val="000C490E"/>
    <w:rsid w:val="000C7DB2"/>
    <w:rsid w:val="000D0086"/>
    <w:rsid w:val="000D04EE"/>
    <w:rsid w:val="000D09AD"/>
    <w:rsid w:val="000D7AAF"/>
    <w:rsid w:val="000E087E"/>
    <w:rsid w:val="000E0C01"/>
    <w:rsid w:val="000E3439"/>
    <w:rsid w:val="000E705B"/>
    <w:rsid w:val="000F2009"/>
    <w:rsid w:val="000F7119"/>
    <w:rsid w:val="001237B3"/>
    <w:rsid w:val="00124367"/>
    <w:rsid w:val="001266D7"/>
    <w:rsid w:val="00126F30"/>
    <w:rsid w:val="001317C3"/>
    <w:rsid w:val="0013583E"/>
    <w:rsid w:val="00137C81"/>
    <w:rsid w:val="0014314B"/>
    <w:rsid w:val="0015183A"/>
    <w:rsid w:val="001536B4"/>
    <w:rsid w:val="00157498"/>
    <w:rsid w:val="001601C6"/>
    <w:rsid w:val="0016112C"/>
    <w:rsid w:val="00162BD9"/>
    <w:rsid w:val="001663D4"/>
    <w:rsid w:val="00171CFA"/>
    <w:rsid w:val="00173F53"/>
    <w:rsid w:val="001770F2"/>
    <w:rsid w:val="00177544"/>
    <w:rsid w:val="00180A29"/>
    <w:rsid w:val="00183B30"/>
    <w:rsid w:val="00190E1D"/>
    <w:rsid w:val="00190FC0"/>
    <w:rsid w:val="001948B1"/>
    <w:rsid w:val="00196377"/>
    <w:rsid w:val="001A01B7"/>
    <w:rsid w:val="001A71FC"/>
    <w:rsid w:val="001A79E0"/>
    <w:rsid w:val="001C435A"/>
    <w:rsid w:val="001C4999"/>
    <w:rsid w:val="001D1402"/>
    <w:rsid w:val="001D3B6E"/>
    <w:rsid w:val="001D6A5C"/>
    <w:rsid w:val="001E2F73"/>
    <w:rsid w:val="001E594D"/>
    <w:rsid w:val="001F5236"/>
    <w:rsid w:val="00203E37"/>
    <w:rsid w:val="002106A1"/>
    <w:rsid w:val="0023204F"/>
    <w:rsid w:val="00234868"/>
    <w:rsid w:val="0023542B"/>
    <w:rsid w:val="00235F56"/>
    <w:rsid w:val="00237379"/>
    <w:rsid w:val="00242A4E"/>
    <w:rsid w:val="00246D11"/>
    <w:rsid w:val="00253C02"/>
    <w:rsid w:val="00254877"/>
    <w:rsid w:val="0025687F"/>
    <w:rsid w:val="0025737B"/>
    <w:rsid w:val="00270CEF"/>
    <w:rsid w:val="002817DC"/>
    <w:rsid w:val="00297DA1"/>
    <w:rsid w:val="002A03F7"/>
    <w:rsid w:val="002A1BED"/>
    <w:rsid w:val="002A281C"/>
    <w:rsid w:val="002A613E"/>
    <w:rsid w:val="002A7BB8"/>
    <w:rsid w:val="002B057E"/>
    <w:rsid w:val="002B31FF"/>
    <w:rsid w:val="002B3A4C"/>
    <w:rsid w:val="002C0609"/>
    <w:rsid w:val="002C4CF7"/>
    <w:rsid w:val="002D3CCF"/>
    <w:rsid w:val="002D6231"/>
    <w:rsid w:val="002F1175"/>
    <w:rsid w:val="002F7016"/>
    <w:rsid w:val="0030483E"/>
    <w:rsid w:val="00307F16"/>
    <w:rsid w:val="00312F7A"/>
    <w:rsid w:val="0031424E"/>
    <w:rsid w:val="0031551C"/>
    <w:rsid w:val="00315F4D"/>
    <w:rsid w:val="003211DA"/>
    <w:rsid w:val="0032490C"/>
    <w:rsid w:val="00325BCD"/>
    <w:rsid w:val="0033149F"/>
    <w:rsid w:val="00333C27"/>
    <w:rsid w:val="0035292F"/>
    <w:rsid w:val="00355364"/>
    <w:rsid w:val="00360AD5"/>
    <w:rsid w:val="0036770C"/>
    <w:rsid w:val="003679F4"/>
    <w:rsid w:val="00371100"/>
    <w:rsid w:val="00373BBA"/>
    <w:rsid w:val="00374FCB"/>
    <w:rsid w:val="0037723B"/>
    <w:rsid w:val="00381449"/>
    <w:rsid w:val="003903EB"/>
    <w:rsid w:val="00395DBA"/>
    <w:rsid w:val="0039745C"/>
    <w:rsid w:val="003A7646"/>
    <w:rsid w:val="003B3811"/>
    <w:rsid w:val="003B6090"/>
    <w:rsid w:val="003C0982"/>
    <w:rsid w:val="003C5510"/>
    <w:rsid w:val="003C7B51"/>
    <w:rsid w:val="003C7F21"/>
    <w:rsid w:val="003D6607"/>
    <w:rsid w:val="003E1EAB"/>
    <w:rsid w:val="003E413F"/>
    <w:rsid w:val="003F130E"/>
    <w:rsid w:val="003F4897"/>
    <w:rsid w:val="004007FB"/>
    <w:rsid w:val="00402ACD"/>
    <w:rsid w:val="004062B8"/>
    <w:rsid w:val="00406B83"/>
    <w:rsid w:val="00406EA4"/>
    <w:rsid w:val="00411AAA"/>
    <w:rsid w:val="0041640B"/>
    <w:rsid w:val="00424C00"/>
    <w:rsid w:val="00427904"/>
    <w:rsid w:val="004430D1"/>
    <w:rsid w:val="0045217B"/>
    <w:rsid w:val="00464665"/>
    <w:rsid w:val="004660FC"/>
    <w:rsid w:val="00466D9B"/>
    <w:rsid w:val="00482CA1"/>
    <w:rsid w:val="00483F95"/>
    <w:rsid w:val="00494F57"/>
    <w:rsid w:val="00496E43"/>
    <w:rsid w:val="004A1E0A"/>
    <w:rsid w:val="004A5212"/>
    <w:rsid w:val="004B1FA9"/>
    <w:rsid w:val="004B490A"/>
    <w:rsid w:val="004B4C43"/>
    <w:rsid w:val="004C5A2B"/>
    <w:rsid w:val="004C5ED9"/>
    <w:rsid w:val="004C741F"/>
    <w:rsid w:val="004D16E0"/>
    <w:rsid w:val="004D2251"/>
    <w:rsid w:val="004E6C92"/>
    <w:rsid w:val="004E766F"/>
    <w:rsid w:val="0050147D"/>
    <w:rsid w:val="0050641F"/>
    <w:rsid w:val="0050761F"/>
    <w:rsid w:val="00515C38"/>
    <w:rsid w:val="00517F27"/>
    <w:rsid w:val="0052034B"/>
    <w:rsid w:val="00525046"/>
    <w:rsid w:val="0052527E"/>
    <w:rsid w:val="00534BA0"/>
    <w:rsid w:val="00540B92"/>
    <w:rsid w:val="00545FB9"/>
    <w:rsid w:val="00557C4E"/>
    <w:rsid w:val="005628D1"/>
    <w:rsid w:val="005819FA"/>
    <w:rsid w:val="00586752"/>
    <w:rsid w:val="00593135"/>
    <w:rsid w:val="005A2E92"/>
    <w:rsid w:val="005A4F12"/>
    <w:rsid w:val="005B1781"/>
    <w:rsid w:val="005B25E4"/>
    <w:rsid w:val="005B4BD8"/>
    <w:rsid w:val="005C0F3C"/>
    <w:rsid w:val="005D72B0"/>
    <w:rsid w:val="005D7A63"/>
    <w:rsid w:val="005E5B16"/>
    <w:rsid w:val="005E6ECF"/>
    <w:rsid w:val="00623DF6"/>
    <w:rsid w:val="006406D3"/>
    <w:rsid w:val="00643626"/>
    <w:rsid w:val="006453E8"/>
    <w:rsid w:val="00656E1A"/>
    <w:rsid w:val="00661CE3"/>
    <w:rsid w:val="00670572"/>
    <w:rsid w:val="006719FA"/>
    <w:rsid w:val="00676060"/>
    <w:rsid w:val="00677579"/>
    <w:rsid w:val="006834DD"/>
    <w:rsid w:val="00683D3C"/>
    <w:rsid w:val="0068668D"/>
    <w:rsid w:val="00696E14"/>
    <w:rsid w:val="006A4B0E"/>
    <w:rsid w:val="006A7064"/>
    <w:rsid w:val="006B21A6"/>
    <w:rsid w:val="006B4DED"/>
    <w:rsid w:val="006B785B"/>
    <w:rsid w:val="006C308F"/>
    <w:rsid w:val="006D51BC"/>
    <w:rsid w:val="006D745D"/>
    <w:rsid w:val="006D7EA3"/>
    <w:rsid w:val="006E0FA5"/>
    <w:rsid w:val="006E7FE6"/>
    <w:rsid w:val="006F0E07"/>
    <w:rsid w:val="006F5781"/>
    <w:rsid w:val="00700A58"/>
    <w:rsid w:val="00710C30"/>
    <w:rsid w:val="00716AEC"/>
    <w:rsid w:val="00717076"/>
    <w:rsid w:val="00720572"/>
    <w:rsid w:val="00723A4A"/>
    <w:rsid w:val="00723BD0"/>
    <w:rsid w:val="00724A8F"/>
    <w:rsid w:val="00734AFD"/>
    <w:rsid w:val="007513F5"/>
    <w:rsid w:val="007548BF"/>
    <w:rsid w:val="0076067A"/>
    <w:rsid w:val="00762542"/>
    <w:rsid w:val="0077126E"/>
    <w:rsid w:val="0077592C"/>
    <w:rsid w:val="00777BBF"/>
    <w:rsid w:val="00780006"/>
    <w:rsid w:val="00781C32"/>
    <w:rsid w:val="00786BEA"/>
    <w:rsid w:val="00787C0B"/>
    <w:rsid w:val="00791087"/>
    <w:rsid w:val="00791B01"/>
    <w:rsid w:val="007A21F1"/>
    <w:rsid w:val="007A433E"/>
    <w:rsid w:val="007A4E02"/>
    <w:rsid w:val="007B22EF"/>
    <w:rsid w:val="007C3E40"/>
    <w:rsid w:val="007D62A5"/>
    <w:rsid w:val="007E0E37"/>
    <w:rsid w:val="007E2B6C"/>
    <w:rsid w:val="007E4A1A"/>
    <w:rsid w:val="007F269A"/>
    <w:rsid w:val="007F475A"/>
    <w:rsid w:val="007F73CE"/>
    <w:rsid w:val="008076DE"/>
    <w:rsid w:val="0081028F"/>
    <w:rsid w:val="0081688E"/>
    <w:rsid w:val="00817475"/>
    <w:rsid w:val="00832CF4"/>
    <w:rsid w:val="00833D90"/>
    <w:rsid w:val="00843345"/>
    <w:rsid w:val="0084530E"/>
    <w:rsid w:val="008732E3"/>
    <w:rsid w:val="0088638B"/>
    <w:rsid w:val="00887A1A"/>
    <w:rsid w:val="00892ADA"/>
    <w:rsid w:val="008956B4"/>
    <w:rsid w:val="00895FF6"/>
    <w:rsid w:val="008B160E"/>
    <w:rsid w:val="008C1A34"/>
    <w:rsid w:val="008C76A6"/>
    <w:rsid w:val="008D05AB"/>
    <w:rsid w:val="008D670F"/>
    <w:rsid w:val="008D6A86"/>
    <w:rsid w:val="008D6AC3"/>
    <w:rsid w:val="008E01A4"/>
    <w:rsid w:val="008E41B6"/>
    <w:rsid w:val="008E71DB"/>
    <w:rsid w:val="008F500A"/>
    <w:rsid w:val="009029F5"/>
    <w:rsid w:val="00911B26"/>
    <w:rsid w:val="00920632"/>
    <w:rsid w:val="00921372"/>
    <w:rsid w:val="00924975"/>
    <w:rsid w:val="009317AE"/>
    <w:rsid w:val="009372F5"/>
    <w:rsid w:val="009515EF"/>
    <w:rsid w:val="009556AB"/>
    <w:rsid w:val="00956216"/>
    <w:rsid w:val="00965301"/>
    <w:rsid w:val="0097086C"/>
    <w:rsid w:val="009720DD"/>
    <w:rsid w:val="00982091"/>
    <w:rsid w:val="0099182B"/>
    <w:rsid w:val="0099574B"/>
    <w:rsid w:val="00995F93"/>
    <w:rsid w:val="009A2D72"/>
    <w:rsid w:val="009A3C07"/>
    <w:rsid w:val="009A6B10"/>
    <w:rsid w:val="009B3704"/>
    <w:rsid w:val="009B3961"/>
    <w:rsid w:val="009B4CD7"/>
    <w:rsid w:val="009C195C"/>
    <w:rsid w:val="009C7CB7"/>
    <w:rsid w:val="009D1238"/>
    <w:rsid w:val="009D2374"/>
    <w:rsid w:val="009E3BFE"/>
    <w:rsid w:val="009E4A6D"/>
    <w:rsid w:val="009E59AB"/>
    <w:rsid w:val="009E791C"/>
    <w:rsid w:val="009F1FDE"/>
    <w:rsid w:val="009F751D"/>
    <w:rsid w:val="00A01DEF"/>
    <w:rsid w:val="00A053FD"/>
    <w:rsid w:val="00A10924"/>
    <w:rsid w:val="00A111BF"/>
    <w:rsid w:val="00A1187A"/>
    <w:rsid w:val="00A155E8"/>
    <w:rsid w:val="00A1587C"/>
    <w:rsid w:val="00A16DC3"/>
    <w:rsid w:val="00A20484"/>
    <w:rsid w:val="00A236C7"/>
    <w:rsid w:val="00A35545"/>
    <w:rsid w:val="00A3597E"/>
    <w:rsid w:val="00A43894"/>
    <w:rsid w:val="00A51221"/>
    <w:rsid w:val="00A5609A"/>
    <w:rsid w:val="00A62F0B"/>
    <w:rsid w:val="00A6390F"/>
    <w:rsid w:val="00A670DD"/>
    <w:rsid w:val="00A72245"/>
    <w:rsid w:val="00A84F99"/>
    <w:rsid w:val="00A9002F"/>
    <w:rsid w:val="00AB0464"/>
    <w:rsid w:val="00AB4345"/>
    <w:rsid w:val="00AB4AE5"/>
    <w:rsid w:val="00AC2B41"/>
    <w:rsid w:val="00AC7965"/>
    <w:rsid w:val="00AD2155"/>
    <w:rsid w:val="00AD670D"/>
    <w:rsid w:val="00AE06BB"/>
    <w:rsid w:val="00AE6333"/>
    <w:rsid w:val="00AF7007"/>
    <w:rsid w:val="00B0007D"/>
    <w:rsid w:val="00B034BA"/>
    <w:rsid w:val="00B06175"/>
    <w:rsid w:val="00B10BD2"/>
    <w:rsid w:val="00B14D9E"/>
    <w:rsid w:val="00B207CA"/>
    <w:rsid w:val="00B255BC"/>
    <w:rsid w:val="00B26890"/>
    <w:rsid w:val="00B30A95"/>
    <w:rsid w:val="00B32A80"/>
    <w:rsid w:val="00B32CA5"/>
    <w:rsid w:val="00B4038E"/>
    <w:rsid w:val="00B43BDD"/>
    <w:rsid w:val="00B505D8"/>
    <w:rsid w:val="00B5203D"/>
    <w:rsid w:val="00B521EC"/>
    <w:rsid w:val="00B532B9"/>
    <w:rsid w:val="00B5546E"/>
    <w:rsid w:val="00B5548C"/>
    <w:rsid w:val="00B55871"/>
    <w:rsid w:val="00B664C0"/>
    <w:rsid w:val="00B66B59"/>
    <w:rsid w:val="00B7164E"/>
    <w:rsid w:val="00B72E0A"/>
    <w:rsid w:val="00B72F4E"/>
    <w:rsid w:val="00B74D4F"/>
    <w:rsid w:val="00B76DAF"/>
    <w:rsid w:val="00B81D61"/>
    <w:rsid w:val="00B844FA"/>
    <w:rsid w:val="00B87521"/>
    <w:rsid w:val="00BB1B7E"/>
    <w:rsid w:val="00BB5A16"/>
    <w:rsid w:val="00BC26D1"/>
    <w:rsid w:val="00BD2438"/>
    <w:rsid w:val="00BD524D"/>
    <w:rsid w:val="00BD6016"/>
    <w:rsid w:val="00BE373C"/>
    <w:rsid w:val="00BE681A"/>
    <w:rsid w:val="00BF2F12"/>
    <w:rsid w:val="00BF57D5"/>
    <w:rsid w:val="00C015CF"/>
    <w:rsid w:val="00C15847"/>
    <w:rsid w:val="00C209B0"/>
    <w:rsid w:val="00C21360"/>
    <w:rsid w:val="00C2471E"/>
    <w:rsid w:val="00C258A3"/>
    <w:rsid w:val="00C30F3D"/>
    <w:rsid w:val="00C33C3B"/>
    <w:rsid w:val="00C42C4A"/>
    <w:rsid w:val="00C464D2"/>
    <w:rsid w:val="00C706C3"/>
    <w:rsid w:val="00C724AC"/>
    <w:rsid w:val="00C7356B"/>
    <w:rsid w:val="00C73987"/>
    <w:rsid w:val="00C755B0"/>
    <w:rsid w:val="00C75BDA"/>
    <w:rsid w:val="00C804D5"/>
    <w:rsid w:val="00C81E42"/>
    <w:rsid w:val="00C9204B"/>
    <w:rsid w:val="00C97468"/>
    <w:rsid w:val="00CA4E25"/>
    <w:rsid w:val="00CB0640"/>
    <w:rsid w:val="00CB0AFA"/>
    <w:rsid w:val="00CB0C03"/>
    <w:rsid w:val="00CB0CBF"/>
    <w:rsid w:val="00CB1FAE"/>
    <w:rsid w:val="00CB56EA"/>
    <w:rsid w:val="00CC0142"/>
    <w:rsid w:val="00CC3143"/>
    <w:rsid w:val="00CC6593"/>
    <w:rsid w:val="00CD3E2C"/>
    <w:rsid w:val="00CD6491"/>
    <w:rsid w:val="00CE4189"/>
    <w:rsid w:val="00CE44BE"/>
    <w:rsid w:val="00CE4650"/>
    <w:rsid w:val="00CE6A08"/>
    <w:rsid w:val="00CF6B7D"/>
    <w:rsid w:val="00D065B1"/>
    <w:rsid w:val="00D07F04"/>
    <w:rsid w:val="00D23BC6"/>
    <w:rsid w:val="00D2663B"/>
    <w:rsid w:val="00D2701C"/>
    <w:rsid w:val="00D30DDB"/>
    <w:rsid w:val="00D31B71"/>
    <w:rsid w:val="00D47CCC"/>
    <w:rsid w:val="00D532E0"/>
    <w:rsid w:val="00D53418"/>
    <w:rsid w:val="00D61785"/>
    <w:rsid w:val="00D62950"/>
    <w:rsid w:val="00D8159C"/>
    <w:rsid w:val="00D83DFE"/>
    <w:rsid w:val="00D90C27"/>
    <w:rsid w:val="00D97972"/>
    <w:rsid w:val="00DA1046"/>
    <w:rsid w:val="00DC1577"/>
    <w:rsid w:val="00DC5C3D"/>
    <w:rsid w:val="00DC6548"/>
    <w:rsid w:val="00DD4FC5"/>
    <w:rsid w:val="00DD58A8"/>
    <w:rsid w:val="00DE423D"/>
    <w:rsid w:val="00DE53D7"/>
    <w:rsid w:val="00DE55DD"/>
    <w:rsid w:val="00DE756E"/>
    <w:rsid w:val="00DF064A"/>
    <w:rsid w:val="00DF1BDA"/>
    <w:rsid w:val="00E016E8"/>
    <w:rsid w:val="00E01EA5"/>
    <w:rsid w:val="00E058C9"/>
    <w:rsid w:val="00E072BA"/>
    <w:rsid w:val="00E10029"/>
    <w:rsid w:val="00E11ED4"/>
    <w:rsid w:val="00E1511B"/>
    <w:rsid w:val="00E166C1"/>
    <w:rsid w:val="00E24E22"/>
    <w:rsid w:val="00E26BCB"/>
    <w:rsid w:val="00E304D8"/>
    <w:rsid w:val="00E30729"/>
    <w:rsid w:val="00E30B73"/>
    <w:rsid w:val="00E30BD0"/>
    <w:rsid w:val="00E324FA"/>
    <w:rsid w:val="00E34EA5"/>
    <w:rsid w:val="00E358FA"/>
    <w:rsid w:val="00E5607A"/>
    <w:rsid w:val="00E56EB9"/>
    <w:rsid w:val="00E77A9B"/>
    <w:rsid w:val="00E8004C"/>
    <w:rsid w:val="00E81664"/>
    <w:rsid w:val="00E8624E"/>
    <w:rsid w:val="00E879D1"/>
    <w:rsid w:val="00E924E1"/>
    <w:rsid w:val="00E95C15"/>
    <w:rsid w:val="00E9643E"/>
    <w:rsid w:val="00E96F87"/>
    <w:rsid w:val="00EA05F3"/>
    <w:rsid w:val="00EA12A1"/>
    <w:rsid w:val="00EA5B01"/>
    <w:rsid w:val="00EB13BE"/>
    <w:rsid w:val="00EB2406"/>
    <w:rsid w:val="00EB49B2"/>
    <w:rsid w:val="00ED0ED1"/>
    <w:rsid w:val="00ED4595"/>
    <w:rsid w:val="00EE2767"/>
    <w:rsid w:val="00EE5A78"/>
    <w:rsid w:val="00EF024A"/>
    <w:rsid w:val="00EF60A9"/>
    <w:rsid w:val="00EF7224"/>
    <w:rsid w:val="00F23C97"/>
    <w:rsid w:val="00F27149"/>
    <w:rsid w:val="00F349C3"/>
    <w:rsid w:val="00F41CC4"/>
    <w:rsid w:val="00F4289F"/>
    <w:rsid w:val="00F45A5E"/>
    <w:rsid w:val="00F51672"/>
    <w:rsid w:val="00F520A7"/>
    <w:rsid w:val="00F5579E"/>
    <w:rsid w:val="00F55A75"/>
    <w:rsid w:val="00F55D65"/>
    <w:rsid w:val="00F64E2C"/>
    <w:rsid w:val="00F7063A"/>
    <w:rsid w:val="00F714F5"/>
    <w:rsid w:val="00F72A2E"/>
    <w:rsid w:val="00F8107A"/>
    <w:rsid w:val="00F87E60"/>
    <w:rsid w:val="00F92200"/>
    <w:rsid w:val="00F93DF7"/>
    <w:rsid w:val="00F97C0A"/>
    <w:rsid w:val="00FA16FC"/>
    <w:rsid w:val="00FB542D"/>
    <w:rsid w:val="00FB7347"/>
    <w:rsid w:val="00FC3E5F"/>
    <w:rsid w:val="00FD584C"/>
    <w:rsid w:val="00FE240D"/>
    <w:rsid w:val="00FE7FC1"/>
    <w:rsid w:val="00FF2C42"/>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8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7972"/>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qFormat/>
    <w:locked/>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99"/>
    <w:rsid w:val="00C974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paragraph" w:styleId="Title">
    <w:name w:val="Title"/>
    <w:basedOn w:val="Normal"/>
    <w:link w:val="TitleChar"/>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rPr>
  </w:style>
  <w:style w:type="character" w:customStyle="1" w:styleId="BodyTextChar">
    <w:name w:val="Body Text Char"/>
    <w:basedOn w:val="DefaultParagraphFont"/>
    <w:link w:val="BodyText"/>
    <w:uiPriority w:val="1"/>
    <w:rsid w:val="00720572"/>
    <w:rPr>
      <w:rFonts w:ascii="Caladea" w:eastAsia="Caladea" w:hAnsi="Caladea" w:cs="Caladea"/>
      <w:sz w:val="24"/>
      <w:szCs w:val="24"/>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7972"/>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qFormat/>
    <w:locked/>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99"/>
    <w:rsid w:val="00C974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paragraph" w:styleId="Title">
    <w:name w:val="Title"/>
    <w:basedOn w:val="Normal"/>
    <w:link w:val="TitleChar"/>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rPr>
  </w:style>
  <w:style w:type="character" w:customStyle="1" w:styleId="BodyTextChar">
    <w:name w:val="Body Text Char"/>
    <w:basedOn w:val="DefaultParagraphFont"/>
    <w:link w:val="BodyText"/>
    <w:uiPriority w:val="1"/>
    <w:rsid w:val="00720572"/>
    <w:rPr>
      <w:rFonts w:ascii="Caladea" w:eastAsia="Caladea" w:hAnsi="Caladea" w:cs="Caladea"/>
      <w:sz w:val="24"/>
      <w:szCs w:val="24"/>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 w:id="5012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31098/ijmesh.v2i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7A37-D864-47D4-A127-29F4781D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14</TotalTime>
  <Pages>29</Pages>
  <Words>32047</Words>
  <Characters>182670</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
  <LinksUpToDate>false</LinksUpToDate>
  <CharactersWithSpaces>214289</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creator>Andi</dc:creator>
  <cp:lastModifiedBy>ASUS</cp:lastModifiedBy>
  <cp:revision>16</cp:revision>
  <cp:lastPrinted>2020-04-30T04:32:00Z</cp:lastPrinted>
  <dcterms:created xsi:type="dcterms:W3CDTF">2023-05-20T22:27:00Z</dcterms:created>
  <dcterms:modified xsi:type="dcterms:W3CDTF">2023-05-21T02:45:00Z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7983b9e7-6951-337e-a88d-b0ceefcab1e0</vt:lpwstr>
  </property>
  <property fmtid="{D5CDD505-2E9C-101B-9397-08002B2CF9AE}" pid="24" name="Mendeley Citation Style_1">
    <vt:lpwstr>http://www.zotero.org/styles/apa</vt:lpwstr>
  </property>
</Properties>
</file>