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9D71" w14:textId="77777777" w:rsidR="003543EB" w:rsidRDefault="0057002B" w:rsidP="00CB2900">
      <w:pPr>
        <w:spacing w:after="0" w:line="240" w:lineRule="auto"/>
        <w:contextualSpacing/>
        <w:jc w:val="center"/>
        <w:rPr>
          <w:rFonts w:ascii="Times New Roman" w:hAnsi="Times New Roman" w:cs="Times New Roman"/>
          <w:b/>
          <w:bCs/>
          <w:sz w:val="24"/>
          <w:szCs w:val="24"/>
          <w:lang w:val="en-US"/>
        </w:rPr>
      </w:pPr>
      <w:proofErr w:type="spellStart"/>
      <w:r w:rsidRPr="007720BC">
        <w:rPr>
          <w:rFonts w:ascii="Times New Roman" w:hAnsi="Times New Roman" w:cs="Times New Roman"/>
          <w:b/>
          <w:bCs/>
          <w:sz w:val="24"/>
          <w:szCs w:val="24"/>
          <w:lang w:val="en-US"/>
        </w:rPr>
        <w:t>Efektivitas</w:t>
      </w:r>
      <w:proofErr w:type="spellEnd"/>
      <w:r w:rsidRPr="007720BC">
        <w:rPr>
          <w:rFonts w:ascii="Times New Roman" w:hAnsi="Times New Roman" w:cs="Times New Roman"/>
          <w:b/>
          <w:bCs/>
          <w:sz w:val="24"/>
          <w:szCs w:val="24"/>
          <w:lang w:val="en-US"/>
        </w:rPr>
        <w:t xml:space="preserve"> </w:t>
      </w:r>
      <w:proofErr w:type="spellStart"/>
      <w:r w:rsidR="001F376C" w:rsidRPr="007720BC">
        <w:rPr>
          <w:rFonts w:ascii="Times New Roman" w:hAnsi="Times New Roman" w:cs="Times New Roman"/>
          <w:b/>
          <w:bCs/>
          <w:sz w:val="24"/>
          <w:szCs w:val="24"/>
          <w:lang w:val="en-US"/>
        </w:rPr>
        <w:t>Implementasi</w:t>
      </w:r>
      <w:proofErr w:type="spellEnd"/>
      <w:r w:rsidR="001F376C" w:rsidRPr="007720BC">
        <w:rPr>
          <w:rFonts w:ascii="Times New Roman" w:hAnsi="Times New Roman" w:cs="Times New Roman"/>
          <w:b/>
          <w:bCs/>
          <w:sz w:val="24"/>
          <w:szCs w:val="24"/>
          <w:lang w:val="en-US"/>
        </w:rPr>
        <w:t xml:space="preserve"> </w:t>
      </w:r>
      <w:proofErr w:type="spellStart"/>
      <w:r w:rsidR="00CB2900" w:rsidRPr="007720BC">
        <w:rPr>
          <w:rFonts w:ascii="Times New Roman" w:hAnsi="Times New Roman" w:cs="Times New Roman"/>
          <w:b/>
          <w:bCs/>
          <w:sz w:val="24"/>
          <w:szCs w:val="24"/>
          <w:lang w:val="en-US"/>
        </w:rPr>
        <w:t>Kebijakan</w:t>
      </w:r>
      <w:proofErr w:type="spellEnd"/>
      <w:r w:rsidR="00CB2900" w:rsidRPr="007720BC">
        <w:rPr>
          <w:rFonts w:ascii="Times New Roman" w:hAnsi="Times New Roman" w:cs="Times New Roman"/>
          <w:b/>
          <w:bCs/>
          <w:sz w:val="24"/>
          <w:szCs w:val="24"/>
          <w:lang w:val="en-US"/>
        </w:rPr>
        <w:t xml:space="preserve"> </w:t>
      </w:r>
      <w:proofErr w:type="spellStart"/>
      <w:r w:rsidR="00CB2900" w:rsidRPr="007720BC">
        <w:rPr>
          <w:rFonts w:ascii="Times New Roman" w:hAnsi="Times New Roman" w:cs="Times New Roman"/>
          <w:b/>
          <w:bCs/>
          <w:sz w:val="24"/>
          <w:szCs w:val="24"/>
          <w:lang w:val="en-US"/>
        </w:rPr>
        <w:t>Pe</w:t>
      </w:r>
      <w:r w:rsidR="0079552B" w:rsidRPr="007720BC">
        <w:rPr>
          <w:rFonts w:ascii="Times New Roman" w:hAnsi="Times New Roman" w:cs="Times New Roman"/>
          <w:b/>
          <w:bCs/>
          <w:sz w:val="24"/>
          <w:szCs w:val="24"/>
          <w:lang w:val="en-US"/>
        </w:rPr>
        <w:t>rcepatan</w:t>
      </w:r>
      <w:proofErr w:type="spellEnd"/>
      <w:r w:rsidR="0079552B" w:rsidRPr="007720BC">
        <w:rPr>
          <w:rFonts w:ascii="Times New Roman" w:hAnsi="Times New Roman" w:cs="Times New Roman"/>
          <w:b/>
          <w:bCs/>
          <w:sz w:val="24"/>
          <w:szCs w:val="24"/>
          <w:lang w:val="en-US"/>
        </w:rPr>
        <w:t xml:space="preserve"> </w:t>
      </w:r>
      <w:proofErr w:type="spellStart"/>
      <w:r w:rsidR="0079552B" w:rsidRPr="007720BC">
        <w:rPr>
          <w:rFonts w:ascii="Times New Roman" w:hAnsi="Times New Roman" w:cs="Times New Roman"/>
          <w:b/>
          <w:bCs/>
          <w:sz w:val="24"/>
          <w:szCs w:val="24"/>
          <w:lang w:val="en-US"/>
        </w:rPr>
        <w:t>Penurunan</w:t>
      </w:r>
      <w:proofErr w:type="spellEnd"/>
      <w:r w:rsidR="00CB2900" w:rsidRPr="007720BC">
        <w:rPr>
          <w:rFonts w:ascii="Times New Roman" w:hAnsi="Times New Roman" w:cs="Times New Roman"/>
          <w:b/>
          <w:bCs/>
          <w:sz w:val="24"/>
          <w:szCs w:val="24"/>
          <w:lang w:val="en-US"/>
        </w:rPr>
        <w:t xml:space="preserve"> Stunting</w:t>
      </w:r>
      <w:r w:rsidR="003543EB">
        <w:rPr>
          <w:rFonts w:ascii="Times New Roman" w:hAnsi="Times New Roman" w:cs="Times New Roman"/>
          <w:b/>
          <w:bCs/>
          <w:sz w:val="24"/>
          <w:szCs w:val="24"/>
          <w:lang w:val="en-US"/>
        </w:rPr>
        <w:t xml:space="preserve"> </w:t>
      </w:r>
    </w:p>
    <w:p w14:paraId="79CD8001" w14:textId="75F4510F" w:rsidR="00CB2900" w:rsidRPr="007720BC" w:rsidRDefault="003543EB" w:rsidP="00CB2900">
      <w:pPr>
        <w:spacing w:after="0" w:line="240" w:lineRule="auto"/>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di Kampung </w:t>
      </w:r>
      <w:proofErr w:type="spellStart"/>
      <w:r>
        <w:rPr>
          <w:rFonts w:ascii="Times New Roman" w:hAnsi="Times New Roman" w:cs="Times New Roman"/>
          <w:b/>
          <w:bCs/>
          <w:sz w:val="24"/>
          <w:szCs w:val="24"/>
          <w:lang w:val="en-US"/>
        </w:rPr>
        <w:t>Keluarga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Berkualitas</w:t>
      </w:r>
      <w:proofErr w:type="spellEnd"/>
      <w:r>
        <w:rPr>
          <w:rFonts w:ascii="Times New Roman" w:hAnsi="Times New Roman" w:cs="Times New Roman"/>
          <w:b/>
          <w:bCs/>
          <w:sz w:val="24"/>
          <w:szCs w:val="24"/>
          <w:lang w:val="en-US"/>
        </w:rPr>
        <w:t xml:space="preserve"> Desa </w:t>
      </w:r>
      <w:proofErr w:type="spellStart"/>
      <w:r>
        <w:rPr>
          <w:rFonts w:ascii="Times New Roman" w:hAnsi="Times New Roman" w:cs="Times New Roman"/>
          <w:b/>
          <w:bCs/>
          <w:sz w:val="24"/>
          <w:szCs w:val="24"/>
          <w:lang w:val="en-US"/>
        </w:rPr>
        <w:t>Mongpok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Kabupaten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Serang</w:t>
      </w:r>
      <w:proofErr w:type="spellEnd"/>
    </w:p>
    <w:p w14:paraId="7CBA4793" w14:textId="77777777" w:rsidR="00385BDC" w:rsidRPr="007720BC" w:rsidRDefault="00385BDC" w:rsidP="00CB2900">
      <w:pPr>
        <w:spacing w:after="0" w:line="240" w:lineRule="auto"/>
        <w:contextualSpacing/>
        <w:jc w:val="center"/>
        <w:rPr>
          <w:rFonts w:ascii="Times New Roman" w:hAnsi="Times New Roman" w:cs="Times New Roman"/>
          <w:b/>
          <w:bCs/>
          <w:sz w:val="28"/>
          <w:szCs w:val="28"/>
          <w:lang w:val="en-US"/>
        </w:rPr>
      </w:pPr>
    </w:p>
    <w:p w14:paraId="46ECFB0F" w14:textId="77777777" w:rsidR="00B61E88" w:rsidRDefault="00CB2900" w:rsidP="00CB2900">
      <w:pPr>
        <w:spacing w:after="0" w:line="240" w:lineRule="auto"/>
        <w:contextualSpacing/>
        <w:jc w:val="center"/>
        <w:rPr>
          <w:rFonts w:ascii="Times New Roman" w:hAnsi="Times New Roman" w:cs="Times New Roman"/>
          <w:b/>
          <w:bCs/>
          <w:sz w:val="24"/>
          <w:szCs w:val="24"/>
          <w:lang w:val="en-US"/>
        </w:rPr>
      </w:pPr>
      <w:r w:rsidRPr="007720BC">
        <w:rPr>
          <w:rFonts w:ascii="Times New Roman" w:hAnsi="Times New Roman" w:cs="Times New Roman"/>
          <w:sz w:val="24"/>
          <w:szCs w:val="24"/>
          <w:vertAlign w:val="superscript"/>
          <w:lang w:val="en-US"/>
        </w:rPr>
        <w:t>1</w:t>
      </w:r>
      <w:r w:rsidR="002502A2" w:rsidRPr="007720BC">
        <w:rPr>
          <w:rFonts w:ascii="Times New Roman" w:hAnsi="Times New Roman" w:cs="Times New Roman"/>
          <w:b/>
          <w:bCs/>
          <w:sz w:val="24"/>
          <w:szCs w:val="24"/>
          <w:lang w:val="en-US"/>
        </w:rPr>
        <w:t xml:space="preserve">Ahmad Sururi, </w:t>
      </w:r>
      <w:r w:rsidR="00B61E88" w:rsidRPr="00B61E88">
        <w:rPr>
          <w:rFonts w:ascii="Times New Roman" w:hAnsi="Times New Roman" w:cs="Times New Roman"/>
          <w:b/>
          <w:bCs/>
          <w:sz w:val="24"/>
          <w:szCs w:val="24"/>
          <w:vertAlign w:val="superscript"/>
          <w:lang w:val="en-US"/>
        </w:rPr>
        <w:t>2</w:t>
      </w:r>
      <w:r w:rsidR="00B61E88">
        <w:rPr>
          <w:rFonts w:ascii="Times New Roman" w:hAnsi="Times New Roman" w:cs="Times New Roman"/>
          <w:b/>
          <w:bCs/>
          <w:sz w:val="24"/>
          <w:szCs w:val="24"/>
          <w:lang w:val="en-US"/>
        </w:rPr>
        <w:t xml:space="preserve">Abdul Malik, </w:t>
      </w:r>
      <w:r w:rsidR="00B61E88">
        <w:rPr>
          <w:rFonts w:ascii="Times New Roman" w:hAnsi="Times New Roman" w:cs="Times New Roman"/>
          <w:b/>
          <w:bCs/>
          <w:sz w:val="24"/>
          <w:szCs w:val="24"/>
          <w:vertAlign w:val="superscript"/>
          <w:lang w:val="en-US"/>
        </w:rPr>
        <w:t>3</w:t>
      </w:r>
      <w:r w:rsidR="002502A2" w:rsidRPr="007720BC">
        <w:rPr>
          <w:rFonts w:ascii="Times New Roman" w:hAnsi="Times New Roman" w:cs="Times New Roman"/>
          <w:b/>
          <w:bCs/>
          <w:sz w:val="24"/>
          <w:szCs w:val="24"/>
          <w:lang w:val="en-US"/>
        </w:rPr>
        <w:t xml:space="preserve">Ahmad </w:t>
      </w:r>
      <w:proofErr w:type="spellStart"/>
      <w:r w:rsidR="002502A2" w:rsidRPr="007720BC">
        <w:rPr>
          <w:rFonts w:ascii="Times New Roman" w:hAnsi="Times New Roman" w:cs="Times New Roman"/>
          <w:b/>
          <w:bCs/>
          <w:sz w:val="24"/>
          <w:szCs w:val="24"/>
          <w:lang w:val="en-US"/>
        </w:rPr>
        <w:t>Zainuri</w:t>
      </w:r>
      <w:proofErr w:type="spellEnd"/>
      <w:r w:rsidR="002502A2" w:rsidRPr="007720BC">
        <w:rPr>
          <w:rFonts w:ascii="Times New Roman" w:hAnsi="Times New Roman" w:cs="Times New Roman"/>
          <w:b/>
          <w:bCs/>
          <w:sz w:val="24"/>
          <w:szCs w:val="24"/>
          <w:lang w:val="en-US"/>
        </w:rPr>
        <w:t xml:space="preserve">, </w:t>
      </w:r>
    </w:p>
    <w:p w14:paraId="4FFC4DBA" w14:textId="4BE5B8BD" w:rsidR="001D7AD8" w:rsidRPr="007720BC" w:rsidRDefault="00B61E88" w:rsidP="00CB2900">
      <w:pPr>
        <w:spacing w:after="0" w:line="240" w:lineRule="auto"/>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vertAlign w:val="superscript"/>
          <w:lang w:val="en-US"/>
        </w:rPr>
        <w:t>4</w:t>
      </w:r>
      <w:r w:rsidR="002502A2" w:rsidRPr="007720BC">
        <w:rPr>
          <w:rFonts w:ascii="Times New Roman" w:hAnsi="Times New Roman" w:cs="Times New Roman"/>
          <w:b/>
          <w:bCs/>
          <w:sz w:val="24"/>
          <w:szCs w:val="24"/>
          <w:lang w:val="en-US"/>
        </w:rPr>
        <w:t xml:space="preserve">Rahmi </w:t>
      </w:r>
      <w:proofErr w:type="spellStart"/>
      <w:r w:rsidR="002502A2" w:rsidRPr="007720BC">
        <w:rPr>
          <w:rFonts w:ascii="Times New Roman" w:hAnsi="Times New Roman" w:cs="Times New Roman"/>
          <w:b/>
          <w:bCs/>
          <w:sz w:val="24"/>
          <w:szCs w:val="24"/>
          <w:lang w:val="en-US"/>
        </w:rPr>
        <w:t>Mulyasih</w:t>
      </w:r>
      <w:proofErr w:type="spellEnd"/>
      <w:r w:rsidR="002502A2" w:rsidRPr="007720BC">
        <w:rPr>
          <w:rFonts w:ascii="Times New Roman" w:hAnsi="Times New Roman" w:cs="Times New Roman"/>
          <w:b/>
          <w:bCs/>
          <w:sz w:val="24"/>
          <w:szCs w:val="24"/>
          <w:lang w:val="en-US"/>
        </w:rPr>
        <w:t xml:space="preserve">, </w:t>
      </w:r>
      <w:r>
        <w:rPr>
          <w:rFonts w:ascii="Times New Roman" w:hAnsi="Times New Roman" w:cs="Times New Roman"/>
          <w:b/>
          <w:bCs/>
          <w:sz w:val="24"/>
          <w:szCs w:val="24"/>
          <w:vertAlign w:val="superscript"/>
          <w:lang w:val="en-US"/>
        </w:rPr>
        <w:t>5</w:t>
      </w:r>
      <w:r w:rsidR="002502A2" w:rsidRPr="007720BC">
        <w:rPr>
          <w:rFonts w:ascii="Times New Roman" w:hAnsi="Times New Roman" w:cs="Times New Roman"/>
          <w:b/>
          <w:bCs/>
          <w:sz w:val="24"/>
          <w:szCs w:val="24"/>
          <w:lang w:val="en-US"/>
        </w:rPr>
        <w:t xml:space="preserve">Rethorika </w:t>
      </w:r>
      <w:proofErr w:type="spellStart"/>
      <w:r w:rsidR="002502A2" w:rsidRPr="007720BC">
        <w:rPr>
          <w:rFonts w:ascii="Times New Roman" w:hAnsi="Times New Roman" w:cs="Times New Roman"/>
          <w:b/>
          <w:bCs/>
          <w:sz w:val="24"/>
          <w:szCs w:val="24"/>
          <w:lang w:val="en-US"/>
        </w:rPr>
        <w:t>Berthanilla</w:t>
      </w:r>
      <w:proofErr w:type="spellEnd"/>
    </w:p>
    <w:p w14:paraId="1DB4F943" w14:textId="77777777" w:rsidR="00CB2900" w:rsidRPr="007720BC" w:rsidRDefault="00CB2900" w:rsidP="00CB2900">
      <w:pPr>
        <w:spacing w:after="0" w:line="240" w:lineRule="auto"/>
        <w:contextualSpacing/>
        <w:jc w:val="center"/>
        <w:rPr>
          <w:rFonts w:ascii="Times New Roman" w:hAnsi="Times New Roman" w:cs="Times New Roman"/>
          <w:b/>
          <w:bCs/>
          <w:sz w:val="24"/>
          <w:szCs w:val="24"/>
          <w:lang w:val="en-US"/>
        </w:rPr>
      </w:pPr>
    </w:p>
    <w:p w14:paraId="2C600795" w14:textId="5050D4AC" w:rsidR="002502A2" w:rsidRPr="00B61E88" w:rsidRDefault="00CB2900" w:rsidP="00CB2900">
      <w:pPr>
        <w:spacing w:after="0" w:line="240" w:lineRule="auto"/>
        <w:contextualSpacing/>
        <w:jc w:val="center"/>
        <w:rPr>
          <w:rStyle w:val="Hyperlink"/>
          <w:rFonts w:ascii="Times New Roman" w:hAnsi="Times New Roman" w:cs="Times New Roman"/>
          <w:color w:val="auto"/>
          <w:sz w:val="20"/>
          <w:szCs w:val="20"/>
          <w:lang w:val="en-US"/>
        </w:rPr>
      </w:pPr>
      <w:r w:rsidRPr="00B61E88">
        <w:rPr>
          <w:rFonts w:ascii="Times New Roman" w:hAnsi="Times New Roman" w:cs="Times New Roman"/>
          <w:sz w:val="20"/>
          <w:szCs w:val="20"/>
          <w:vertAlign w:val="superscript"/>
          <w:lang w:val="en-US"/>
        </w:rPr>
        <w:t>1</w:t>
      </w:r>
      <w:r w:rsidR="002502A2" w:rsidRPr="00B61E88">
        <w:rPr>
          <w:rFonts w:ascii="Times New Roman" w:hAnsi="Times New Roman" w:cs="Times New Roman"/>
          <w:sz w:val="20"/>
          <w:szCs w:val="20"/>
          <w:lang w:val="en-US"/>
        </w:rPr>
        <w:t xml:space="preserve">Universitas </w:t>
      </w:r>
      <w:proofErr w:type="spellStart"/>
      <w:r w:rsidR="002502A2" w:rsidRPr="00B61E88">
        <w:rPr>
          <w:rFonts w:ascii="Times New Roman" w:hAnsi="Times New Roman" w:cs="Times New Roman"/>
          <w:sz w:val="20"/>
          <w:szCs w:val="20"/>
          <w:lang w:val="en-US"/>
        </w:rPr>
        <w:t>Serang</w:t>
      </w:r>
      <w:proofErr w:type="spellEnd"/>
      <w:r w:rsidR="002502A2" w:rsidRPr="00B61E88">
        <w:rPr>
          <w:rFonts w:ascii="Times New Roman" w:hAnsi="Times New Roman" w:cs="Times New Roman"/>
          <w:sz w:val="20"/>
          <w:szCs w:val="20"/>
          <w:lang w:val="en-US"/>
        </w:rPr>
        <w:t xml:space="preserve"> Raya</w:t>
      </w:r>
      <w:r w:rsidRPr="00B61E88">
        <w:rPr>
          <w:rFonts w:ascii="Times New Roman" w:hAnsi="Times New Roman" w:cs="Times New Roman"/>
          <w:sz w:val="20"/>
          <w:szCs w:val="20"/>
          <w:lang w:val="en-US"/>
        </w:rPr>
        <w:t xml:space="preserve">; </w:t>
      </w:r>
      <w:hyperlink r:id="rId6" w:history="1">
        <w:r w:rsidRPr="00B61E88">
          <w:rPr>
            <w:rStyle w:val="Hyperlink"/>
            <w:rFonts w:ascii="Times New Roman" w:hAnsi="Times New Roman" w:cs="Times New Roman"/>
            <w:color w:val="auto"/>
            <w:sz w:val="20"/>
            <w:szCs w:val="20"/>
            <w:lang w:val="en-US"/>
          </w:rPr>
          <w:t>ahmadbroer@gmail.com</w:t>
        </w:r>
      </w:hyperlink>
    </w:p>
    <w:p w14:paraId="5C219887" w14:textId="12C0E5B5" w:rsidR="00B61E88" w:rsidRPr="00B61E88" w:rsidRDefault="00B61E88" w:rsidP="00B61E88">
      <w:pPr>
        <w:spacing w:after="0" w:line="240" w:lineRule="auto"/>
        <w:contextualSpacing/>
        <w:jc w:val="center"/>
        <w:rPr>
          <w:rStyle w:val="Hyperlink"/>
          <w:rFonts w:ascii="Times New Roman" w:hAnsi="Times New Roman" w:cs="Times New Roman"/>
          <w:color w:val="auto"/>
          <w:sz w:val="20"/>
          <w:szCs w:val="20"/>
          <w:lang w:val="en-US"/>
        </w:rPr>
      </w:pPr>
      <w:r w:rsidRPr="00B61E88">
        <w:rPr>
          <w:rFonts w:ascii="Times New Roman" w:hAnsi="Times New Roman" w:cs="Times New Roman"/>
          <w:sz w:val="20"/>
          <w:szCs w:val="20"/>
          <w:vertAlign w:val="superscript"/>
          <w:lang w:val="en-US"/>
        </w:rPr>
        <w:t>2</w:t>
      </w:r>
      <w:r w:rsidRPr="00B61E88">
        <w:rPr>
          <w:rFonts w:ascii="Times New Roman" w:hAnsi="Times New Roman" w:cs="Times New Roman"/>
          <w:sz w:val="20"/>
          <w:szCs w:val="20"/>
          <w:lang w:val="en-US"/>
        </w:rPr>
        <w:t xml:space="preserve">Universitas </w:t>
      </w:r>
      <w:proofErr w:type="spellStart"/>
      <w:r w:rsidRPr="00B61E88">
        <w:rPr>
          <w:rFonts w:ascii="Times New Roman" w:hAnsi="Times New Roman" w:cs="Times New Roman"/>
          <w:sz w:val="20"/>
          <w:szCs w:val="20"/>
          <w:lang w:val="en-US"/>
        </w:rPr>
        <w:t>Serang</w:t>
      </w:r>
      <w:proofErr w:type="spellEnd"/>
      <w:r w:rsidRPr="00B61E88">
        <w:rPr>
          <w:rFonts w:ascii="Times New Roman" w:hAnsi="Times New Roman" w:cs="Times New Roman"/>
          <w:sz w:val="20"/>
          <w:szCs w:val="20"/>
          <w:lang w:val="en-US"/>
        </w:rPr>
        <w:t xml:space="preserve"> Raya; </w:t>
      </w:r>
      <w:r w:rsidRPr="00B61E88">
        <w:rPr>
          <w:rStyle w:val="gi"/>
          <w:rFonts w:ascii="Times New Roman" w:hAnsi="Times New Roman" w:cs="Times New Roman"/>
          <w:sz w:val="20"/>
          <w:szCs w:val="20"/>
        </w:rPr>
        <w:t>kangdoel2002@yahoo.com</w:t>
      </w:r>
    </w:p>
    <w:p w14:paraId="628357EC" w14:textId="62DF3503" w:rsidR="00CB2900" w:rsidRPr="00B61E88" w:rsidRDefault="00B61E88" w:rsidP="00CB2900">
      <w:pPr>
        <w:spacing w:after="0" w:line="240" w:lineRule="auto"/>
        <w:contextualSpacing/>
        <w:jc w:val="center"/>
        <w:rPr>
          <w:rFonts w:ascii="Times New Roman" w:hAnsi="Times New Roman" w:cs="Times New Roman"/>
          <w:sz w:val="20"/>
          <w:szCs w:val="20"/>
          <w:lang w:val="en-US"/>
        </w:rPr>
      </w:pPr>
      <w:r w:rsidRPr="00B61E88">
        <w:rPr>
          <w:rFonts w:ascii="Times New Roman" w:hAnsi="Times New Roman" w:cs="Times New Roman"/>
          <w:sz w:val="20"/>
          <w:szCs w:val="20"/>
          <w:lang w:val="en-US"/>
        </w:rPr>
        <w:t>3</w:t>
      </w:r>
      <w:r w:rsidR="00CB2900" w:rsidRPr="00B61E88">
        <w:rPr>
          <w:rFonts w:ascii="Times New Roman" w:hAnsi="Times New Roman" w:cs="Times New Roman"/>
          <w:sz w:val="20"/>
          <w:szCs w:val="20"/>
          <w:lang w:val="en-US"/>
        </w:rPr>
        <w:t xml:space="preserve">Universitas </w:t>
      </w:r>
      <w:proofErr w:type="spellStart"/>
      <w:r w:rsidR="00CB2900" w:rsidRPr="00B61E88">
        <w:rPr>
          <w:rFonts w:ascii="Times New Roman" w:hAnsi="Times New Roman" w:cs="Times New Roman"/>
          <w:sz w:val="20"/>
          <w:szCs w:val="20"/>
          <w:lang w:val="en-US"/>
        </w:rPr>
        <w:t>Serang</w:t>
      </w:r>
      <w:proofErr w:type="spellEnd"/>
      <w:r w:rsidR="00CB2900" w:rsidRPr="00B61E88">
        <w:rPr>
          <w:rFonts w:ascii="Times New Roman" w:hAnsi="Times New Roman" w:cs="Times New Roman"/>
          <w:sz w:val="20"/>
          <w:szCs w:val="20"/>
          <w:lang w:val="en-US"/>
        </w:rPr>
        <w:t xml:space="preserve"> Raya;</w:t>
      </w:r>
      <w:r w:rsidRPr="00B61E88">
        <w:rPr>
          <w:rFonts w:ascii="Times New Roman" w:hAnsi="Times New Roman" w:cs="Times New Roman"/>
          <w:sz w:val="20"/>
          <w:szCs w:val="20"/>
          <w:lang w:val="en-US"/>
        </w:rPr>
        <w:t xml:space="preserve"> </w:t>
      </w:r>
      <w:r w:rsidRPr="00B61E88">
        <w:rPr>
          <w:rStyle w:val="gi"/>
          <w:rFonts w:ascii="Times New Roman" w:hAnsi="Times New Roman" w:cs="Times New Roman"/>
          <w:sz w:val="20"/>
          <w:szCs w:val="20"/>
        </w:rPr>
        <w:t>zainuri2007@gmail.com</w:t>
      </w:r>
    </w:p>
    <w:p w14:paraId="464D277D" w14:textId="62A2879C" w:rsidR="00CB2900" w:rsidRPr="00B61E88" w:rsidRDefault="00B61E88" w:rsidP="00CB2900">
      <w:pPr>
        <w:spacing w:after="0" w:line="240" w:lineRule="auto"/>
        <w:contextualSpacing/>
        <w:jc w:val="center"/>
        <w:rPr>
          <w:rFonts w:ascii="Times New Roman" w:hAnsi="Times New Roman" w:cs="Times New Roman"/>
          <w:sz w:val="20"/>
          <w:szCs w:val="20"/>
          <w:lang w:val="en-US"/>
        </w:rPr>
      </w:pPr>
      <w:r w:rsidRPr="00B61E88">
        <w:rPr>
          <w:rFonts w:ascii="Times New Roman" w:hAnsi="Times New Roman" w:cs="Times New Roman"/>
          <w:sz w:val="20"/>
          <w:szCs w:val="20"/>
          <w:lang w:val="en-US"/>
        </w:rPr>
        <w:t>4</w:t>
      </w:r>
      <w:r w:rsidR="00CB2900" w:rsidRPr="00B61E88">
        <w:rPr>
          <w:rFonts w:ascii="Times New Roman" w:hAnsi="Times New Roman" w:cs="Times New Roman"/>
          <w:sz w:val="20"/>
          <w:szCs w:val="20"/>
          <w:lang w:val="en-US"/>
        </w:rPr>
        <w:t xml:space="preserve">Universitas </w:t>
      </w:r>
      <w:proofErr w:type="spellStart"/>
      <w:r w:rsidR="00CB2900" w:rsidRPr="00B61E88">
        <w:rPr>
          <w:rFonts w:ascii="Times New Roman" w:hAnsi="Times New Roman" w:cs="Times New Roman"/>
          <w:sz w:val="20"/>
          <w:szCs w:val="20"/>
          <w:lang w:val="en-US"/>
        </w:rPr>
        <w:t>Serang</w:t>
      </w:r>
      <w:proofErr w:type="spellEnd"/>
      <w:r w:rsidR="00CB2900" w:rsidRPr="00B61E88">
        <w:rPr>
          <w:rFonts w:ascii="Times New Roman" w:hAnsi="Times New Roman" w:cs="Times New Roman"/>
          <w:sz w:val="20"/>
          <w:szCs w:val="20"/>
          <w:lang w:val="en-US"/>
        </w:rPr>
        <w:t xml:space="preserve"> Raya; </w:t>
      </w:r>
      <w:r w:rsidRPr="00B61E88">
        <w:rPr>
          <w:rFonts w:ascii="Times New Roman" w:hAnsi="Times New Roman" w:cs="Times New Roman"/>
          <w:sz w:val="20"/>
          <w:szCs w:val="20"/>
        </w:rPr>
        <w:t>Bikiya16@gmail.com</w:t>
      </w:r>
    </w:p>
    <w:p w14:paraId="6E6F74AE" w14:textId="012F38A0" w:rsidR="00CB2900" w:rsidRPr="00B61E88" w:rsidRDefault="00B61E88" w:rsidP="00CB2900">
      <w:pPr>
        <w:spacing w:after="0" w:line="240" w:lineRule="auto"/>
        <w:contextualSpacing/>
        <w:jc w:val="center"/>
        <w:rPr>
          <w:rFonts w:ascii="Times New Roman" w:hAnsi="Times New Roman" w:cs="Times New Roman"/>
          <w:b/>
          <w:bCs/>
          <w:sz w:val="20"/>
          <w:szCs w:val="20"/>
          <w:lang w:val="en-US"/>
        </w:rPr>
      </w:pPr>
      <w:r w:rsidRPr="00B61E88">
        <w:rPr>
          <w:rFonts w:ascii="Times New Roman" w:hAnsi="Times New Roman" w:cs="Times New Roman"/>
          <w:sz w:val="20"/>
          <w:szCs w:val="20"/>
          <w:vertAlign w:val="superscript"/>
          <w:lang w:val="en-US"/>
        </w:rPr>
        <w:t>5</w:t>
      </w:r>
      <w:r w:rsidR="00CB2900" w:rsidRPr="00B61E88">
        <w:rPr>
          <w:rFonts w:ascii="Times New Roman" w:hAnsi="Times New Roman" w:cs="Times New Roman"/>
          <w:sz w:val="20"/>
          <w:szCs w:val="20"/>
          <w:lang w:val="en-US"/>
        </w:rPr>
        <w:t xml:space="preserve">Universitas </w:t>
      </w:r>
      <w:proofErr w:type="spellStart"/>
      <w:r w:rsidR="00CB2900" w:rsidRPr="00B61E88">
        <w:rPr>
          <w:rFonts w:ascii="Times New Roman" w:hAnsi="Times New Roman" w:cs="Times New Roman"/>
          <w:sz w:val="20"/>
          <w:szCs w:val="20"/>
          <w:lang w:val="en-US"/>
        </w:rPr>
        <w:t>Serang</w:t>
      </w:r>
      <w:proofErr w:type="spellEnd"/>
      <w:r w:rsidR="00CB2900" w:rsidRPr="00B61E88">
        <w:rPr>
          <w:rFonts w:ascii="Times New Roman" w:hAnsi="Times New Roman" w:cs="Times New Roman"/>
          <w:sz w:val="20"/>
          <w:szCs w:val="20"/>
          <w:lang w:val="en-US"/>
        </w:rPr>
        <w:t xml:space="preserve"> Raya;</w:t>
      </w:r>
      <w:r w:rsidRPr="00B61E88">
        <w:rPr>
          <w:rFonts w:ascii="Times New Roman" w:hAnsi="Times New Roman" w:cs="Times New Roman"/>
          <w:sz w:val="20"/>
          <w:szCs w:val="20"/>
          <w:lang w:val="en-US"/>
        </w:rPr>
        <w:t xml:space="preserve"> </w:t>
      </w:r>
      <w:r w:rsidRPr="00B61E88">
        <w:rPr>
          <w:rStyle w:val="go"/>
          <w:rFonts w:ascii="Times New Roman" w:hAnsi="Times New Roman" w:cs="Times New Roman"/>
          <w:sz w:val="20"/>
          <w:szCs w:val="20"/>
        </w:rPr>
        <w:t>rethorikaberthanila@gmail.com</w:t>
      </w:r>
    </w:p>
    <w:p w14:paraId="470F13D5" w14:textId="77777777" w:rsidR="002502A2" w:rsidRPr="007720BC" w:rsidRDefault="002502A2" w:rsidP="00CB2900">
      <w:pPr>
        <w:spacing w:after="0" w:line="240" w:lineRule="auto"/>
        <w:contextualSpacing/>
        <w:jc w:val="both"/>
        <w:rPr>
          <w:rFonts w:ascii="Times New Roman" w:hAnsi="Times New Roman" w:cs="Times New Roman"/>
          <w:b/>
          <w:bCs/>
          <w:sz w:val="24"/>
          <w:szCs w:val="24"/>
          <w:lang w:val="en-US"/>
        </w:rPr>
      </w:pPr>
    </w:p>
    <w:p w14:paraId="05073842" w14:textId="44DD492F" w:rsidR="00BB382A" w:rsidRPr="00B61E88" w:rsidRDefault="002502A2" w:rsidP="003543EB">
      <w:pPr>
        <w:pStyle w:val="Heading1"/>
        <w:ind w:left="0" w:right="0"/>
        <w:contextualSpacing/>
        <w:rPr>
          <w:rFonts w:ascii="Times New Roman" w:hAnsi="Times New Roman" w:cs="Times New Roman"/>
          <w:sz w:val="20"/>
          <w:szCs w:val="20"/>
          <w:lang w:val="en-ID" w:eastAsia="en-ID"/>
        </w:rPr>
      </w:pPr>
      <w:proofErr w:type="spellStart"/>
      <w:r w:rsidRPr="00B61E88">
        <w:rPr>
          <w:rFonts w:ascii="Times New Roman" w:hAnsi="Times New Roman" w:cs="Times New Roman"/>
          <w:sz w:val="20"/>
          <w:szCs w:val="20"/>
          <w:lang w:val="en-ID" w:eastAsia="en-ID"/>
        </w:rPr>
        <w:t>A</w:t>
      </w:r>
      <w:r w:rsidR="001B5F2D" w:rsidRPr="00B61E88">
        <w:rPr>
          <w:rFonts w:ascii="Times New Roman" w:hAnsi="Times New Roman" w:cs="Times New Roman"/>
          <w:sz w:val="20"/>
          <w:szCs w:val="20"/>
          <w:lang w:val="en-ID" w:eastAsia="en-ID"/>
        </w:rPr>
        <w:t>bstrak</w:t>
      </w:r>
      <w:proofErr w:type="spellEnd"/>
    </w:p>
    <w:p w14:paraId="1757B74D" w14:textId="43DDCBD3" w:rsidR="003543EB" w:rsidRPr="00B61E88" w:rsidRDefault="003F5650" w:rsidP="003543EB">
      <w:pPr>
        <w:spacing w:after="0" w:line="240" w:lineRule="auto"/>
        <w:contextualSpacing/>
        <w:jc w:val="both"/>
        <w:rPr>
          <w:rFonts w:ascii="Times New Roman" w:hAnsi="Times New Roman" w:cs="Times New Roman"/>
          <w:sz w:val="20"/>
          <w:szCs w:val="20"/>
          <w:lang w:val="en-US"/>
        </w:rPr>
      </w:pPr>
      <w:proofErr w:type="spellStart"/>
      <w:r w:rsidRPr="00B61E88">
        <w:rPr>
          <w:rFonts w:ascii="Times New Roman" w:hAnsi="Times New Roman" w:cs="Times New Roman"/>
          <w:sz w:val="20"/>
          <w:szCs w:val="20"/>
          <w:lang w:val="en-US"/>
        </w:rPr>
        <w:t>Percepatan</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penurunan</w:t>
      </w:r>
      <w:proofErr w:type="spellEnd"/>
      <w:r w:rsidRPr="00B61E88">
        <w:rPr>
          <w:rFonts w:ascii="Times New Roman" w:hAnsi="Times New Roman" w:cs="Times New Roman"/>
          <w:sz w:val="20"/>
          <w:szCs w:val="20"/>
          <w:lang w:val="en-US"/>
        </w:rPr>
        <w:t xml:space="preserve"> stunting </w:t>
      </w:r>
      <w:proofErr w:type="spellStart"/>
      <w:r w:rsidRPr="00B61E88">
        <w:rPr>
          <w:rFonts w:ascii="Times New Roman" w:hAnsi="Times New Roman" w:cs="Times New Roman"/>
          <w:sz w:val="20"/>
          <w:szCs w:val="20"/>
          <w:lang w:val="en-US"/>
        </w:rPr>
        <w:t>memerlukan</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implementasi</w:t>
      </w:r>
      <w:proofErr w:type="spellEnd"/>
      <w:r w:rsidRPr="00B61E88">
        <w:rPr>
          <w:rFonts w:ascii="Times New Roman" w:hAnsi="Times New Roman" w:cs="Times New Roman"/>
          <w:sz w:val="20"/>
          <w:szCs w:val="20"/>
          <w:lang w:val="en-US"/>
        </w:rPr>
        <w:t xml:space="preserve"> yang </w:t>
      </w:r>
      <w:proofErr w:type="spellStart"/>
      <w:r w:rsidRPr="00B61E88">
        <w:rPr>
          <w:rFonts w:ascii="Times New Roman" w:hAnsi="Times New Roman" w:cs="Times New Roman"/>
          <w:sz w:val="20"/>
          <w:szCs w:val="20"/>
          <w:lang w:val="en-US"/>
        </w:rPr>
        <w:t>sinergis</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antar</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berbagai</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sektor</w:t>
      </w:r>
      <w:proofErr w:type="spellEnd"/>
      <w:r w:rsidR="003543EB" w:rsidRPr="00B61E88">
        <w:rPr>
          <w:rFonts w:ascii="Times New Roman" w:hAnsi="Times New Roman" w:cs="Times New Roman"/>
          <w:sz w:val="20"/>
          <w:szCs w:val="20"/>
          <w:lang w:val="en-US"/>
        </w:rPr>
        <w:t xml:space="preserve"> </w:t>
      </w:r>
      <w:proofErr w:type="spellStart"/>
      <w:r w:rsidR="003543EB" w:rsidRPr="00B61E88">
        <w:rPr>
          <w:rFonts w:ascii="Times New Roman" w:hAnsi="Times New Roman" w:cs="Times New Roman"/>
          <w:sz w:val="20"/>
          <w:szCs w:val="20"/>
          <w:lang w:val="en-US"/>
        </w:rPr>
        <w:t>baik</w:t>
      </w:r>
      <w:proofErr w:type="spellEnd"/>
      <w:r w:rsidR="003543EB" w:rsidRPr="00B61E88">
        <w:rPr>
          <w:rFonts w:ascii="Times New Roman" w:hAnsi="Times New Roman" w:cs="Times New Roman"/>
          <w:sz w:val="20"/>
          <w:szCs w:val="20"/>
          <w:lang w:val="en-US"/>
        </w:rPr>
        <w:t xml:space="preserve"> pada </w:t>
      </w:r>
      <w:proofErr w:type="spellStart"/>
      <w:r w:rsidR="003543EB" w:rsidRPr="00B61E88">
        <w:rPr>
          <w:rFonts w:ascii="Times New Roman" w:hAnsi="Times New Roman" w:cs="Times New Roman"/>
          <w:sz w:val="20"/>
          <w:szCs w:val="20"/>
          <w:lang w:val="en-US"/>
        </w:rPr>
        <w:t>tingkat</w:t>
      </w:r>
      <w:proofErr w:type="spellEnd"/>
      <w:r w:rsidR="003543EB" w:rsidRPr="00B61E88">
        <w:rPr>
          <w:rFonts w:ascii="Times New Roman" w:hAnsi="Times New Roman" w:cs="Times New Roman"/>
          <w:sz w:val="20"/>
          <w:szCs w:val="20"/>
          <w:lang w:val="en-US"/>
        </w:rPr>
        <w:t xml:space="preserve"> </w:t>
      </w:r>
      <w:proofErr w:type="spellStart"/>
      <w:r w:rsidR="003543EB" w:rsidRPr="00B61E88">
        <w:rPr>
          <w:rFonts w:ascii="Times New Roman" w:hAnsi="Times New Roman" w:cs="Times New Roman"/>
          <w:sz w:val="20"/>
          <w:szCs w:val="20"/>
          <w:lang w:val="en-US"/>
        </w:rPr>
        <w:t>pemerintah</w:t>
      </w:r>
      <w:proofErr w:type="spellEnd"/>
      <w:r w:rsidR="003543EB" w:rsidRPr="00B61E88">
        <w:rPr>
          <w:rFonts w:ascii="Times New Roman" w:hAnsi="Times New Roman" w:cs="Times New Roman"/>
          <w:sz w:val="20"/>
          <w:szCs w:val="20"/>
          <w:lang w:val="en-US"/>
        </w:rPr>
        <w:t xml:space="preserve"> </w:t>
      </w:r>
      <w:proofErr w:type="spellStart"/>
      <w:r w:rsidR="003543EB" w:rsidRPr="00B61E88">
        <w:rPr>
          <w:rFonts w:ascii="Times New Roman" w:hAnsi="Times New Roman" w:cs="Times New Roman"/>
          <w:sz w:val="20"/>
          <w:szCs w:val="20"/>
          <w:lang w:val="en-US"/>
        </w:rPr>
        <w:t>pusat</w:t>
      </w:r>
      <w:proofErr w:type="spellEnd"/>
      <w:r w:rsidR="003543EB" w:rsidRPr="00B61E88">
        <w:rPr>
          <w:rFonts w:ascii="Times New Roman" w:hAnsi="Times New Roman" w:cs="Times New Roman"/>
          <w:sz w:val="20"/>
          <w:szCs w:val="20"/>
          <w:lang w:val="en-US"/>
        </w:rPr>
        <w:t xml:space="preserve"> </w:t>
      </w:r>
      <w:proofErr w:type="spellStart"/>
      <w:r w:rsidR="003543EB" w:rsidRPr="00B61E88">
        <w:rPr>
          <w:rFonts w:ascii="Times New Roman" w:hAnsi="Times New Roman" w:cs="Times New Roman"/>
          <w:sz w:val="20"/>
          <w:szCs w:val="20"/>
          <w:lang w:val="en-US"/>
        </w:rPr>
        <w:t>maupun</w:t>
      </w:r>
      <w:proofErr w:type="spellEnd"/>
      <w:r w:rsidR="003543EB" w:rsidRPr="00B61E88">
        <w:rPr>
          <w:rFonts w:ascii="Times New Roman" w:hAnsi="Times New Roman" w:cs="Times New Roman"/>
          <w:sz w:val="20"/>
          <w:szCs w:val="20"/>
          <w:lang w:val="en-US"/>
        </w:rPr>
        <w:t xml:space="preserve"> </w:t>
      </w:r>
      <w:proofErr w:type="spellStart"/>
      <w:r w:rsidR="003543EB" w:rsidRPr="00B61E88">
        <w:rPr>
          <w:rFonts w:ascii="Times New Roman" w:hAnsi="Times New Roman" w:cs="Times New Roman"/>
          <w:sz w:val="20"/>
          <w:szCs w:val="20"/>
          <w:lang w:val="en-US"/>
        </w:rPr>
        <w:t>pemerintah</w:t>
      </w:r>
      <w:proofErr w:type="spellEnd"/>
      <w:r w:rsidR="003543EB" w:rsidRPr="00B61E88">
        <w:rPr>
          <w:rFonts w:ascii="Times New Roman" w:hAnsi="Times New Roman" w:cs="Times New Roman"/>
          <w:sz w:val="20"/>
          <w:szCs w:val="20"/>
          <w:lang w:val="en-US"/>
        </w:rPr>
        <w:t xml:space="preserve"> </w:t>
      </w:r>
      <w:proofErr w:type="spellStart"/>
      <w:r w:rsidR="003543EB" w:rsidRPr="00B61E88">
        <w:rPr>
          <w:rFonts w:ascii="Times New Roman" w:hAnsi="Times New Roman" w:cs="Times New Roman"/>
          <w:sz w:val="20"/>
          <w:szCs w:val="20"/>
          <w:lang w:val="en-US"/>
        </w:rPr>
        <w:t>daerah</w:t>
      </w:r>
      <w:proofErr w:type="spellEnd"/>
      <w:r w:rsidR="003543EB" w:rsidRPr="00B61E88">
        <w:rPr>
          <w:rFonts w:ascii="Times New Roman" w:hAnsi="Times New Roman" w:cs="Times New Roman"/>
          <w:sz w:val="20"/>
          <w:szCs w:val="20"/>
          <w:lang w:val="en-US"/>
        </w:rPr>
        <w:t xml:space="preserve"> dan </w:t>
      </w:r>
      <w:proofErr w:type="spellStart"/>
      <w:r w:rsidR="003543EB" w:rsidRPr="00B61E88">
        <w:rPr>
          <w:rFonts w:ascii="Times New Roman" w:hAnsi="Times New Roman" w:cs="Times New Roman"/>
          <w:sz w:val="20"/>
          <w:szCs w:val="20"/>
          <w:lang w:val="en-US"/>
        </w:rPr>
        <w:t>desa</w:t>
      </w:r>
      <w:proofErr w:type="spellEnd"/>
      <w:r w:rsidR="001B5F2D" w:rsidRPr="00B61E88">
        <w:rPr>
          <w:rFonts w:ascii="Times New Roman" w:hAnsi="Times New Roman" w:cs="Times New Roman"/>
          <w:sz w:val="20"/>
          <w:szCs w:val="20"/>
        </w:rPr>
        <w:t>.</w:t>
      </w:r>
      <w:r w:rsidR="001B5F2D" w:rsidRPr="00B61E88">
        <w:rPr>
          <w:rFonts w:ascii="Times New Roman" w:hAnsi="Times New Roman" w:cs="Times New Roman"/>
          <w:spacing w:val="-7"/>
          <w:sz w:val="20"/>
          <w:szCs w:val="20"/>
        </w:rPr>
        <w:t xml:space="preserve"> </w:t>
      </w:r>
      <w:r w:rsidR="00385BDC" w:rsidRPr="00B61E88">
        <w:rPr>
          <w:rFonts w:ascii="Times New Roman" w:hAnsi="Times New Roman" w:cs="Times New Roman"/>
          <w:spacing w:val="-7"/>
          <w:sz w:val="20"/>
          <w:szCs w:val="20"/>
          <w:lang w:val="en-US"/>
        </w:rPr>
        <w:t xml:space="preserve">Tujuan </w:t>
      </w:r>
      <w:proofErr w:type="spellStart"/>
      <w:r w:rsidR="00385BDC" w:rsidRPr="00B61E88">
        <w:rPr>
          <w:rFonts w:ascii="Times New Roman" w:hAnsi="Times New Roman" w:cs="Times New Roman"/>
          <w:spacing w:val="-7"/>
          <w:sz w:val="20"/>
          <w:szCs w:val="20"/>
          <w:lang w:val="en-US"/>
        </w:rPr>
        <w:t>penelitian</w:t>
      </w:r>
      <w:proofErr w:type="spellEnd"/>
      <w:r w:rsidR="00385BDC" w:rsidRPr="00B61E88">
        <w:rPr>
          <w:rFonts w:ascii="Times New Roman" w:hAnsi="Times New Roman" w:cs="Times New Roman"/>
          <w:spacing w:val="-7"/>
          <w:sz w:val="20"/>
          <w:szCs w:val="20"/>
          <w:lang w:val="en-US"/>
        </w:rPr>
        <w:t xml:space="preserve"> </w:t>
      </w:r>
      <w:proofErr w:type="spellStart"/>
      <w:r w:rsidR="00385BDC" w:rsidRPr="00B61E88">
        <w:rPr>
          <w:rFonts w:ascii="Times New Roman" w:hAnsi="Times New Roman" w:cs="Times New Roman"/>
          <w:spacing w:val="-7"/>
          <w:sz w:val="20"/>
          <w:szCs w:val="20"/>
          <w:lang w:val="en-US"/>
        </w:rPr>
        <w:t>ini</w:t>
      </w:r>
      <w:proofErr w:type="spellEnd"/>
      <w:r w:rsidR="00385BDC" w:rsidRPr="00B61E88">
        <w:rPr>
          <w:rFonts w:ascii="Times New Roman" w:hAnsi="Times New Roman" w:cs="Times New Roman"/>
          <w:spacing w:val="-7"/>
          <w:sz w:val="20"/>
          <w:szCs w:val="20"/>
          <w:lang w:val="en-US"/>
        </w:rPr>
        <w:t xml:space="preserve"> </w:t>
      </w:r>
      <w:proofErr w:type="spellStart"/>
      <w:r w:rsidR="00385BDC" w:rsidRPr="00B61E88">
        <w:rPr>
          <w:rFonts w:ascii="Times New Roman" w:hAnsi="Times New Roman" w:cs="Times New Roman"/>
          <w:spacing w:val="-7"/>
          <w:sz w:val="20"/>
          <w:szCs w:val="20"/>
          <w:lang w:val="en-US"/>
        </w:rPr>
        <w:t>adalah</w:t>
      </w:r>
      <w:proofErr w:type="spellEnd"/>
      <w:r w:rsidR="00385BDC" w:rsidRPr="00B61E88">
        <w:rPr>
          <w:rFonts w:ascii="Times New Roman" w:hAnsi="Times New Roman" w:cs="Times New Roman"/>
          <w:spacing w:val="-7"/>
          <w:sz w:val="20"/>
          <w:szCs w:val="20"/>
          <w:lang w:val="en-US"/>
        </w:rPr>
        <w:t xml:space="preserve"> </w:t>
      </w:r>
      <w:proofErr w:type="spellStart"/>
      <w:r w:rsidR="00385BDC" w:rsidRPr="00B61E88">
        <w:rPr>
          <w:rFonts w:ascii="Times New Roman" w:hAnsi="Times New Roman" w:cs="Times New Roman"/>
          <w:spacing w:val="-7"/>
          <w:sz w:val="20"/>
          <w:szCs w:val="20"/>
          <w:lang w:val="en-US"/>
        </w:rPr>
        <w:t>untuk</w:t>
      </w:r>
      <w:proofErr w:type="spellEnd"/>
      <w:r w:rsidR="00385BDC" w:rsidRPr="00B61E88">
        <w:rPr>
          <w:rFonts w:ascii="Times New Roman" w:hAnsi="Times New Roman" w:cs="Times New Roman"/>
          <w:spacing w:val="-7"/>
          <w:sz w:val="20"/>
          <w:szCs w:val="20"/>
          <w:lang w:val="en-US"/>
        </w:rPr>
        <w:t xml:space="preserve"> </w:t>
      </w:r>
      <w:proofErr w:type="spellStart"/>
      <w:r w:rsidR="00385BDC" w:rsidRPr="00B61E88">
        <w:rPr>
          <w:rFonts w:ascii="Times New Roman" w:hAnsi="Times New Roman" w:cs="Times New Roman"/>
          <w:spacing w:val="-7"/>
          <w:sz w:val="20"/>
          <w:szCs w:val="20"/>
          <w:lang w:val="en-US"/>
        </w:rPr>
        <w:t>men</w:t>
      </w:r>
      <w:r w:rsidR="004B2129" w:rsidRPr="00B61E88">
        <w:rPr>
          <w:rFonts w:ascii="Times New Roman" w:hAnsi="Times New Roman" w:cs="Times New Roman"/>
          <w:spacing w:val="-7"/>
          <w:sz w:val="20"/>
          <w:szCs w:val="20"/>
          <w:lang w:val="en-US"/>
        </w:rPr>
        <w:t>getahui</w:t>
      </w:r>
      <w:proofErr w:type="spellEnd"/>
      <w:r w:rsidR="00385BDC" w:rsidRPr="00B61E88">
        <w:rPr>
          <w:rFonts w:ascii="Times New Roman" w:hAnsi="Times New Roman" w:cs="Times New Roman"/>
          <w:spacing w:val="-7"/>
          <w:sz w:val="20"/>
          <w:szCs w:val="20"/>
          <w:lang w:val="en-US"/>
        </w:rPr>
        <w:t xml:space="preserve"> </w:t>
      </w:r>
      <w:proofErr w:type="spellStart"/>
      <w:r w:rsidR="00385BDC" w:rsidRPr="00B61E88">
        <w:rPr>
          <w:rFonts w:ascii="Times New Roman" w:hAnsi="Times New Roman" w:cs="Times New Roman"/>
          <w:spacing w:val="-7"/>
          <w:sz w:val="20"/>
          <w:szCs w:val="20"/>
          <w:lang w:val="en-US"/>
        </w:rPr>
        <w:t>bagaimana</w:t>
      </w:r>
      <w:proofErr w:type="spellEnd"/>
      <w:r w:rsidR="00385BDC" w:rsidRPr="00B61E88">
        <w:rPr>
          <w:rFonts w:ascii="Times New Roman" w:hAnsi="Times New Roman" w:cs="Times New Roman"/>
          <w:spacing w:val="-7"/>
          <w:sz w:val="20"/>
          <w:szCs w:val="20"/>
          <w:lang w:val="en-US"/>
        </w:rPr>
        <w:t xml:space="preserve"> </w:t>
      </w:r>
      <w:proofErr w:type="spellStart"/>
      <w:r w:rsidR="004B2129" w:rsidRPr="00B61E88">
        <w:rPr>
          <w:rFonts w:ascii="Times New Roman" w:hAnsi="Times New Roman" w:cs="Times New Roman"/>
          <w:sz w:val="20"/>
          <w:szCs w:val="20"/>
          <w:lang w:val="en-US"/>
        </w:rPr>
        <w:t>e</w:t>
      </w:r>
      <w:r w:rsidR="00385BDC" w:rsidRPr="00B61E88">
        <w:rPr>
          <w:rFonts w:ascii="Times New Roman" w:hAnsi="Times New Roman" w:cs="Times New Roman"/>
          <w:sz w:val="20"/>
          <w:szCs w:val="20"/>
          <w:lang w:val="en-US"/>
        </w:rPr>
        <w:t>fektivitas</w:t>
      </w:r>
      <w:proofErr w:type="spellEnd"/>
      <w:r w:rsidR="00385BDC" w:rsidRPr="00B61E88">
        <w:rPr>
          <w:rFonts w:ascii="Times New Roman" w:hAnsi="Times New Roman" w:cs="Times New Roman"/>
          <w:sz w:val="20"/>
          <w:szCs w:val="20"/>
          <w:lang w:val="en-US"/>
        </w:rPr>
        <w:t xml:space="preserve"> Program Kampung </w:t>
      </w:r>
      <w:proofErr w:type="spellStart"/>
      <w:r w:rsidR="00385BDC" w:rsidRPr="00B61E88">
        <w:rPr>
          <w:rFonts w:ascii="Times New Roman" w:hAnsi="Times New Roman" w:cs="Times New Roman"/>
          <w:sz w:val="20"/>
          <w:szCs w:val="20"/>
          <w:lang w:val="en-US"/>
        </w:rPr>
        <w:t>Keluarga</w:t>
      </w:r>
      <w:proofErr w:type="spellEnd"/>
      <w:r w:rsidR="00385BDC" w:rsidRPr="00B61E88">
        <w:rPr>
          <w:rFonts w:ascii="Times New Roman" w:hAnsi="Times New Roman" w:cs="Times New Roman"/>
          <w:sz w:val="20"/>
          <w:szCs w:val="20"/>
          <w:lang w:val="en-US"/>
        </w:rPr>
        <w:t xml:space="preserve"> </w:t>
      </w:r>
      <w:proofErr w:type="spellStart"/>
      <w:r w:rsidR="00385BDC" w:rsidRPr="00B61E88">
        <w:rPr>
          <w:rFonts w:ascii="Times New Roman" w:hAnsi="Times New Roman" w:cs="Times New Roman"/>
          <w:sz w:val="20"/>
          <w:szCs w:val="20"/>
          <w:lang w:val="en-US"/>
        </w:rPr>
        <w:t>Berkualitas</w:t>
      </w:r>
      <w:proofErr w:type="spellEnd"/>
      <w:r w:rsidR="00385BDC" w:rsidRPr="00B61E88">
        <w:rPr>
          <w:rFonts w:ascii="Times New Roman" w:hAnsi="Times New Roman" w:cs="Times New Roman"/>
          <w:sz w:val="20"/>
          <w:szCs w:val="20"/>
          <w:lang w:val="en-US"/>
        </w:rPr>
        <w:t xml:space="preserve"> Desa </w:t>
      </w:r>
      <w:proofErr w:type="spellStart"/>
      <w:r w:rsidR="00385BDC" w:rsidRPr="00B61E88">
        <w:rPr>
          <w:rFonts w:ascii="Times New Roman" w:hAnsi="Times New Roman" w:cs="Times New Roman"/>
          <w:sz w:val="20"/>
          <w:szCs w:val="20"/>
          <w:lang w:val="en-US"/>
        </w:rPr>
        <w:t>Mongpok</w:t>
      </w:r>
      <w:proofErr w:type="spellEnd"/>
      <w:r w:rsidR="00385BDC" w:rsidRPr="00B61E88">
        <w:rPr>
          <w:rFonts w:ascii="Times New Roman" w:hAnsi="Times New Roman" w:cs="Times New Roman"/>
          <w:sz w:val="20"/>
          <w:szCs w:val="20"/>
          <w:lang w:val="en-US"/>
        </w:rPr>
        <w:t xml:space="preserve"> </w:t>
      </w:r>
      <w:proofErr w:type="spellStart"/>
      <w:r w:rsidR="00385BDC" w:rsidRPr="00B61E88">
        <w:rPr>
          <w:rFonts w:ascii="Times New Roman" w:hAnsi="Times New Roman" w:cs="Times New Roman"/>
          <w:sz w:val="20"/>
          <w:szCs w:val="20"/>
          <w:lang w:val="en-US"/>
        </w:rPr>
        <w:t>Kecamatan</w:t>
      </w:r>
      <w:proofErr w:type="spellEnd"/>
      <w:r w:rsidR="00385BDC" w:rsidRPr="00B61E88">
        <w:rPr>
          <w:rFonts w:ascii="Times New Roman" w:hAnsi="Times New Roman" w:cs="Times New Roman"/>
          <w:sz w:val="20"/>
          <w:szCs w:val="20"/>
          <w:lang w:val="en-US"/>
        </w:rPr>
        <w:t xml:space="preserve"> </w:t>
      </w:r>
      <w:proofErr w:type="spellStart"/>
      <w:r w:rsidR="00385BDC" w:rsidRPr="00B61E88">
        <w:rPr>
          <w:rFonts w:ascii="Times New Roman" w:hAnsi="Times New Roman" w:cs="Times New Roman"/>
          <w:sz w:val="20"/>
          <w:szCs w:val="20"/>
          <w:lang w:val="en-US"/>
        </w:rPr>
        <w:t>Cikeusal</w:t>
      </w:r>
      <w:proofErr w:type="spellEnd"/>
      <w:r w:rsidR="00385BDC" w:rsidRPr="00B61E88">
        <w:rPr>
          <w:rFonts w:ascii="Times New Roman" w:hAnsi="Times New Roman" w:cs="Times New Roman"/>
          <w:sz w:val="20"/>
          <w:szCs w:val="20"/>
          <w:lang w:val="en-US"/>
        </w:rPr>
        <w:t xml:space="preserve"> </w:t>
      </w:r>
      <w:proofErr w:type="spellStart"/>
      <w:r w:rsidR="00385BDC" w:rsidRPr="00B61E88">
        <w:rPr>
          <w:rFonts w:ascii="Times New Roman" w:hAnsi="Times New Roman" w:cs="Times New Roman"/>
          <w:sz w:val="20"/>
          <w:szCs w:val="20"/>
          <w:lang w:val="en-US"/>
        </w:rPr>
        <w:t>Kabupaten</w:t>
      </w:r>
      <w:proofErr w:type="spellEnd"/>
      <w:r w:rsidR="00385BDC" w:rsidRPr="00B61E88">
        <w:rPr>
          <w:rFonts w:ascii="Times New Roman" w:hAnsi="Times New Roman" w:cs="Times New Roman"/>
          <w:sz w:val="20"/>
          <w:szCs w:val="20"/>
          <w:lang w:val="en-US"/>
        </w:rPr>
        <w:t xml:space="preserve"> </w:t>
      </w:r>
      <w:proofErr w:type="spellStart"/>
      <w:r w:rsidR="00385BDC" w:rsidRPr="00B61E88">
        <w:rPr>
          <w:rFonts w:ascii="Times New Roman" w:hAnsi="Times New Roman" w:cs="Times New Roman"/>
          <w:sz w:val="20"/>
          <w:szCs w:val="20"/>
          <w:lang w:val="en-US"/>
        </w:rPr>
        <w:t>Serang</w:t>
      </w:r>
      <w:proofErr w:type="spellEnd"/>
      <w:r w:rsidR="00385BDC" w:rsidRPr="00B61E88">
        <w:rPr>
          <w:rFonts w:ascii="Times New Roman" w:hAnsi="Times New Roman" w:cs="Times New Roman"/>
          <w:sz w:val="20"/>
          <w:szCs w:val="20"/>
          <w:lang w:val="en-US"/>
        </w:rPr>
        <w:t xml:space="preserve"> </w:t>
      </w:r>
      <w:proofErr w:type="spellStart"/>
      <w:r w:rsidR="00385BDC" w:rsidRPr="00B61E88">
        <w:rPr>
          <w:rFonts w:ascii="Times New Roman" w:hAnsi="Times New Roman" w:cs="Times New Roman"/>
          <w:sz w:val="20"/>
          <w:szCs w:val="20"/>
          <w:lang w:val="en-US"/>
        </w:rPr>
        <w:t>dalam</w:t>
      </w:r>
      <w:proofErr w:type="spellEnd"/>
      <w:r w:rsidR="00385BDC" w:rsidRPr="00B61E88">
        <w:rPr>
          <w:rFonts w:ascii="Times New Roman" w:hAnsi="Times New Roman" w:cs="Times New Roman"/>
          <w:sz w:val="20"/>
          <w:szCs w:val="20"/>
          <w:lang w:val="en-US"/>
        </w:rPr>
        <w:t xml:space="preserve"> </w:t>
      </w:r>
      <w:proofErr w:type="spellStart"/>
      <w:r w:rsidR="00385BDC" w:rsidRPr="00B61E88">
        <w:rPr>
          <w:rFonts w:ascii="Times New Roman" w:hAnsi="Times New Roman" w:cs="Times New Roman"/>
          <w:sz w:val="20"/>
          <w:szCs w:val="20"/>
          <w:lang w:val="en-US"/>
        </w:rPr>
        <w:t>Lanskap</w:t>
      </w:r>
      <w:proofErr w:type="spellEnd"/>
      <w:r w:rsidR="00385BDC"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percepatan</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penurunan</w:t>
      </w:r>
      <w:proofErr w:type="spellEnd"/>
      <w:r w:rsidR="00385BDC" w:rsidRPr="00B61E88">
        <w:rPr>
          <w:rFonts w:ascii="Times New Roman" w:hAnsi="Times New Roman" w:cs="Times New Roman"/>
          <w:sz w:val="20"/>
          <w:szCs w:val="20"/>
          <w:lang w:val="en-US"/>
        </w:rPr>
        <w:t xml:space="preserve"> Stunting. Metode </w:t>
      </w:r>
      <w:proofErr w:type="spellStart"/>
      <w:r w:rsidR="00385BDC" w:rsidRPr="00B61E88">
        <w:rPr>
          <w:rFonts w:ascii="Times New Roman" w:hAnsi="Times New Roman" w:cs="Times New Roman"/>
          <w:sz w:val="20"/>
          <w:szCs w:val="20"/>
          <w:lang w:val="en-US"/>
        </w:rPr>
        <w:t>penelitian</w:t>
      </w:r>
      <w:proofErr w:type="spellEnd"/>
      <w:r w:rsidR="00385BDC"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menggunakan</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pendekatan</w:t>
      </w:r>
      <w:proofErr w:type="spellEnd"/>
      <w:r w:rsidRPr="00B61E88">
        <w:rPr>
          <w:rFonts w:ascii="Times New Roman" w:hAnsi="Times New Roman" w:cs="Times New Roman"/>
          <w:sz w:val="20"/>
          <w:szCs w:val="20"/>
          <w:lang w:val="en-US"/>
        </w:rPr>
        <w:t xml:space="preserve"> </w:t>
      </w:r>
      <w:proofErr w:type="spellStart"/>
      <w:r w:rsidR="00AF0CE8" w:rsidRPr="00B61E88">
        <w:rPr>
          <w:rFonts w:ascii="Times New Roman" w:hAnsi="Times New Roman" w:cs="Times New Roman"/>
          <w:sz w:val="20"/>
          <w:szCs w:val="20"/>
          <w:lang w:val="en-US"/>
        </w:rPr>
        <w:t>studi</w:t>
      </w:r>
      <w:proofErr w:type="spellEnd"/>
      <w:r w:rsidR="00AF0CE8" w:rsidRPr="00B61E88">
        <w:rPr>
          <w:rFonts w:ascii="Times New Roman" w:hAnsi="Times New Roman" w:cs="Times New Roman"/>
          <w:sz w:val="20"/>
          <w:szCs w:val="20"/>
          <w:lang w:val="en-US"/>
        </w:rPr>
        <w:t xml:space="preserve"> </w:t>
      </w:r>
      <w:proofErr w:type="spellStart"/>
      <w:r w:rsidR="00AF0CE8" w:rsidRPr="00B61E88">
        <w:rPr>
          <w:rFonts w:ascii="Times New Roman" w:hAnsi="Times New Roman" w:cs="Times New Roman"/>
          <w:sz w:val="20"/>
          <w:szCs w:val="20"/>
          <w:lang w:val="en-US"/>
        </w:rPr>
        <w:t>kasus</w:t>
      </w:r>
      <w:proofErr w:type="spellEnd"/>
      <w:r w:rsidR="003543EB" w:rsidRPr="00B61E88">
        <w:rPr>
          <w:rFonts w:ascii="Times New Roman" w:hAnsi="Times New Roman" w:cs="Times New Roman"/>
          <w:sz w:val="20"/>
          <w:szCs w:val="20"/>
          <w:lang w:val="en-US"/>
        </w:rPr>
        <w:t xml:space="preserve">. </w:t>
      </w:r>
      <w:r w:rsidRPr="00B61E88">
        <w:rPr>
          <w:rFonts w:ascii="Times New Roman" w:hAnsi="Times New Roman" w:cs="Times New Roman"/>
          <w:sz w:val="20"/>
          <w:szCs w:val="20"/>
          <w:lang w:val="en-US"/>
        </w:rPr>
        <w:t xml:space="preserve">Teknik </w:t>
      </w:r>
      <w:proofErr w:type="spellStart"/>
      <w:r w:rsidRPr="00B61E88">
        <w:rPr>
          <w:rFonts w:ascii="Times New Roman" w:hAnsi="Times New Roman" w:cs="Times New Roman"/>
          <w:sz w:val="20"/>
          <w:szCs w:val="20"/>
          <w:lang w:val="en-US"/>
        </w:rPr>
        <w:t>pengumpulan</w:t>
      </w:r>
      <w:proofErr w:type="spellEnd"/>
      <w:r w:rsidRPr="00B61E88">
        <w:rPr>
          <w:rFonts w:ascii="Times New Roman" w:hAnsi="Times New Roman" w:cs="Times New Roman"/>
          <w:sz w:val="20"/>
          <w:szCs w:val="20"/>
          <w:lang w:val="en-US"/>
        </w:rPr>
        <w:t xml:space="preserve"> data</w:t>
      </w:r>
      <w:r w:rsidR="003543EB" w:rsidRPr="00B61E88">
        <w:rPr>
          <w:rFonts w:ascii="Times New Roman" w:hAnsi="Times New Roman" w:cs="Times New Roman"/>
          <w:sz w:val="20"/>
          <w:szCs w:val="20"/>
          <w:lang w:val="en-US"/>
        </w:rPr>
        <w:t xml:space="preserve"> </w:t>
      </w:r>
      <w:proofErr w:type="spellStart"/>
      <w:r w:rsidR="003543EB" w:rsidRPr="00B61E88">
        <w:rPr>
          <w:rFonts w:ascii="Times New Roman" w:hAnsi="Times New Roman" w:cs="Times New Roman"/>
          <w:sz w:val="20"/>
          <w:szCs w:val="20"/>
          <w:lang w:val="en-US"/>
        </w:rPr>
        <w:t>dilakukan</w:t>
      </w:r>
      <w:proofErr w:type="spellEnd"/>
      <w:r w:rsidR="003543EB" w:rsidRPr="00B61E88">
        <w:rPr>
          <w:rFonts w:ascii="Times New Roman" w:hAnsi="Times New Roman" w:cs="Times New Roman"/>
          <w:sz w:val="20"/>
          <w:szCs w:val="20"/>
          <w:lang w:val="en-US"/>
        </w:rPr>
        <w:t xml:space="preserve"> </w:t>
      </w:r>
      <w:proofErr w:type="spellStart"/>
      <w:r w:rsidR="003543EB" w:rsidRPr="00B61E88">
        <w:rPr>
          <w:rFonts w:ascii="Times New Roman" w:hAnsi="Times New Roman" w:cs="Times New Roman"/>
          <w:sz w:val="20"/>
          <w:szCs w:val="20"/>
          <w:lang w:val="en-US"/>
        </w:rPr>
        <w:t>melalui</w:t>
      </w:r>
      <w:proofErr w:type="spellEnd"/>
      <w:r w:rsidR="003543EB" w:rsidRPr="00B61E88">
        <w:rPr>
          <w:rFonts w:ascii="Times New Roman" w:hAnsi="Times New Roman" w:cs="Times New Roman"/>
          <w:sz w:val="20"/>
          <w:szCs w:val="20"/>
          <w:lang w:val="en-US"/>
        </w:rPr>
        <w:t xml:space="preserve"> </w:t>
      </w:r>
      <w:proofErr w:type="spellStart"/>
      <w:r w:rsidR="003543EB" w:rsidRPr="00B61E88">
        <w:rPr>
          <w:rStyle w:val="tlid-translation"/>
          <w:rFonts w:ascii="Times New Roman" w:hAnsi="Times New Roman" w:cs="Times New Roman"/>
          <w:sz w:val="20"/>
          <w:szCs w:val="20"/>
        </w:rPr>
        <w:t>wawancara</w:t>
      </w:r>
      <w:proofErr w:type="spellEnd"/>
      <w:r w:rsidR="003543EB" w:rsidRPr="00B61E88">
        <w:rPr>
          <w:rStyle w:val="tlid-translation"/>
          <w:rFonts w:ascii="Times New Roman" w:hAnsi="Times New Roman" w:cs="Times New Roman"/>
          <w:sz w:val="20"/>
          <w:szCs w:val="20"/>
          <w:lang w:val="en-US"/>
        </w:rPr>
        <w:t xml:space="preserve"> pada </w:t>
      </w:r>
      <w:proofErr w:type="spellStart"/>
      <w:r w:rsidR="003543EB" w:rsidRPr="00B61E88">
        <w:rPr>
          <w:rStyle w:val="tlid-translation"/>
          <w:rFonts w:ascii="Times New Roman" w:hAnsi="Times New Roman" w:cs="Times New Roman"/>
          <w:sz w:val="20"/>
          <w:szCs w:val="20"/>
          <w:lang w:val="en-US"/>
        </w:rPr>
        <w:t>kegiatan</w:t>
      </w:r>
      <w:proofErr w:type="spellEnd"/>
      <w:r w:rsidR="003543EB" w:rsidRPr="00B61E88">
        <w:rPr>
          <w:rStyle w:val="tlid-translation"/>
          <w:rFonts w:ascii="Times New Roman" w:hAnsi="Times New Roman" w:cs="Times New Roman"/>
          <w:sz w:val="20"/>
          <w:szCs w:val="20"/>
          <w:lang w:val="en-US"/>
        </w:rPr>
        <w:t xml:space="preserve"> </w:t>
      </w:r>
      <w:r w:rsidR="003543EB" w:rsidRPr="00B61E88">
        <w:rPr>
          <w:rStyle w:val="tlid-translation"/>
          <w:rFonts w:ascii="Times New Roman" w:hAnsi="Times New Roman" w:cs="Times New Roman"/>
          <w:i/>
          <w:iCs/>
          <w:sz w:val="20"/>
          <w:szCs w:val="20"/>
          <w:lang w:val="en-US"/>
        </w:rPr>
        <w:t>Focus Group Discussion</w:t>
      </w:r>
      <w:r w:rsidR="003543EB" w:rsidRPr="00B61E88">
        <w:rPr>
          <w:rStyle w:val="tlid-translation"/>
          <w:rFonts w:ascii="Times New Roman" w:hAnsi="Times New Roman" w:cs="Times New Roman"/>
          <w:sz w:val="20"/>
          <w:szCs w:val="20"/>
          <w:lang w:val="en-US"/>
        </w:rPr>
        <w:t xml:space="preserve"> (FGD) yang </w:t>
      </w:r>
      <w:proofErr w:type="spellStart"/>
      <w:r w:rsidR="003543EB" w:rsidRPr="00B61E88">
        <w:rPr>
          <w:rStyle w:val="tlid-translation"/>
          <w:rFonts w:ascii="Times New Roman" w:hAnsi="Times New Roman" w:cs="Times New Roman"/>
          <w:sz w:val="20"/>
          <w:szCs w:val="20"/>
        </w:rPr>
        <w:t>dilakukan</w:t>
      </w:r>
      <w:proofErr w:type="spellEnd"/>
      <w:r w:rsidR="003543EB" w:rsidRPr="00B61E88">
        <w:rPr>
          <w:rStyle w:val="tlid-translation"/>
          <w:rFonts w:ascii="Times New Roman" w:hAnsi="Times New Roman" w:cs="Times New Roman"/>
          <w:sz w:val="20"/>
          <w:szCs w:val="20"/>
        </w:rPr>
        <w:t xml:space="preserve"> </w:t>
      </w:r>
      <w:proofErr w:type="spellStart"/>
      <w:r w:rsidR="003543EB" w:rsidRPr="00B61E88">
        <w:rPr>
          <w:rStyle w:val="tlid-translation"/>
          <w:rFonts w:ascii="Times New Roman" w:hAnsi="Times New Roman" w:cs="Times New Roman"/>
          <w:sz w:val="20"/>
          <w:szCs w:val="20"/>
        </w:rPr>
        <w:t>secara</w:t>
      </w:r>
      <w:proofErr w:type="spellEnd"/>
      <w:r w:rsidR="003543EB" w:rsidRPr="00B61E88">
        <w:rPr>
          <w:rStyle w:val="tlid-translation"/>
          <w:rFonts w:ascii="Times New Roman" w:hAnsi="Times New Roman" w:cs="Times New Roman"/>
          <w:sz w:val="20"/>
          <w:szCs w:val="20"/>
        </w:rPr>
        <w:t xml:space="preserve"> semi-</w:t>
      </w:r>
      <w:proofErr w:type="spellStart"/>
      <w:r w:rsidR="003543EB" w:rsidRPr="00B61E88">
        <w:rPr>
          <w:rStyle w:val="tlid-translation"/>
          <w:rFonts w:ascii="Times New Roman" w:hAnsi="Times New Roman" w:cs="Times New Roman"/>
          <w:sz w:val="20"/>
          <w:szCs w:val="20"/>
        </w:rPr>
        <w:t>terstruktur</w:t>
      </w:r>
      <w:proofErr w:type="spellEnd"/>
      <w:r w:rsidR="003543EB" w:rsidRPr="00B61E88">
        <w:rPr>
          <w:rStyle w:val="tlid-translation"/>
          <w:rFonts w:ascii="Times New Roman" w:hAnsi="Times New Roman" w:cs="Times New Roman"/>
          <w:sz w:val="20"/>
          <w:szCs w:val="20"/>
        </w:rPr>
        <w:t xml:space="preserve"> </w:t>
      </w:r>
      <w:proofErr w:type="spellStart"/>
      <w:r w:rsidR="003543EB" w:rsidRPr="00B61E88">
        <w:rPr>
          <w:rStyle w:val="tlid-translation"/>
          <w:rFonts w:ascii="Times New Roman" w:hAnsi="Times New Roman" w:cs="Times New Roman"/>
          <w:sz w:val="20"/>
          <w:szCs w:val="20"/>
        </w:rPr>
        <w:t>dengan</w:t>
      </w:r>
      <w:proofErr w:type="spellEnd"/>
      <w:r w:rsidR="003543EB" w:rsidRPr="00B61E88">
        <w:rPr>
          <w:rStyle w:val="tlid-translation"/>
          <w:rFonts w:ascii="Times New Roman" w:hAnsi="Times New Roman" w:cs="Times New Roman"/>
          <w:sz w:val="20"/>
          <w:szCs w:val="20"/>
        </w:rPr>
        <w:t xml:space="preserve"> </w:t>
      </w:r>
      <w:proofErr w:type="spellStart"/>
      <w:r w:rsidR="003543EB" w:rsidRPr="00B61E88">
        <w:rPr>
          <w:rStyle w:val="tlid-translation"/>
          <w:rFonts w:ascii="Times New Roman" w:hAnsi="Times New Roman" w:cs="Times New Roman"/>
          <w:sz w:val="20"/>
          <w:szCs w:val="20"/>
        </w:rPr>
        <w:t>pertanyaan</w:t>
      </w:r>
      <w:proofErr w:type="spellEnd"/>
      <w:r w:rsidR="003543EB" w:rsidRPr="00B61E88">
        <w:rPr>
          <w:rStyle w:val="tlid-translation"/>
          <w:rFonts w:ascii="Times New Roman" w:hAnsi="Times New Roman" w:cs="Times New Roman"/>
          <w:sz w:val="20"/>
          <w:szCs w:val="20"/>
        </w:rPr>
        <w:t xml:space="preserve"> </w:t>
      </w:r>
      <w:proofErr w:type="spellStart"/>
      <w:r w:rsidR="003543EB" w:rsidRPr="00B61E88">
        <w:rPr>
          <w:rStyle w:val="tlid-translation"/>
          <w:rFonts w:ascii="Times New Roman" w:hAnsi="Times New Roman" w:cs="Times New Roman"/>
          <w:sz w:val="20"/>
          <w:szCs w:val="20"/>
        </w:rPr>
        <w:t>terbuka</w:t>
      </w:r>
      <w:proofErr w:type="spellEnd"/>
      <w:r w:rsidR="003543EB" w:rsidRPr="00B61E88">
        <w:rPr>
          <w:rStyle w:val="tlid-translation"/>
          <w:rFonts w:ascii="Times New Roman" w:hAnsi="Times New Roman" w:cs="Times New Roman"/>
          <w:sz w:val="20"/>
          <w:szCs w:val="20"/>
          <w:lang w:val="en-US"/>
        </w:rPr>
        <w:t xml:space="preserve">. </w:t>
      </w:r>
      <w:proofErr w:type="spellStart"/>
      <w:r w:rsidR="003543EB" w:rsidRPr="00B61E88">
        <w:rPr>
          <w:rStyle w:val="tlid-translation"/>
          <w:rFonts w:ascii="Times New Roman" w:hAnsi="Times New Roman" w:cs="Times New Roman"/>
          <w:sz w:val="20"/>
          <w:szCs w:val="20"/>
          <w:lang w:val="en-US"/>
        </w:rPr>
        <w:t>Analisi</w:t>
      </w:r>
      <w:proofErr w:type="spellEnd"/>
      <w:r w:rsidR="003543EB" w:rsidRPr="00B61E88">
        <w:rPr>
          <w:rStyle w:val="tlid-translation"/>
          <w:rFonts w:ascii="Times New Roman" w:hAnsi="Times New Roman" w:cs="Times New Roman"/>
          <w:sz w:val="20"/>
          <w:szCs w:val="20"/>
          <w:lang w:val="en-US"/>
        </w:rPr>
        <w:t xml:space="preserve"> d</w:t>
      </w:r>
      <w:proofErr w:type="spellStart"/>
      <w:r w:rsidR="003543EB" w:rsidRPr="00B61E88">
        <w:rPr>
          <w:rFonts w:ascii="Times New Roman" w:hAnsi="Times New Roman" w:cs="Times New Roman"/>
          <w:sz w:val="20"/>
          <w:szCs w:val="20"/>
          <w:lang w:eastAsia="id-ID"/>
        </w:rPr>
        <w:t>ata</w:t>
      </w:r>
      <w:proofErr w:type="spellEnd"/>
      <w:r w:rsidR="003543EB" w:rsidRPr="00B61E88">
        <w:rPr>
          <w:rFonts w:ascii="Times New Roman" w:hAnsi="Times New Roman" w:cs="Times New Roman"/>
          <w:sz w:val="20"/>
          <w:szCs w:val="20"/>
          <w:lang w:eastAsia="id-ID"/>
        </w:rPr>
        <w:t xml:space="preserve"> </w:t>
      </w:r>
      <w:proofErr w:type="spellStart"/>
      <w:r w:rsidR="003543EB" w:rsidRPr="00B61E88">
        <w:rPr>
          <w:rFonts w:ascii="Times New Roman" w:hAnsi="Times New Roman" w:cs="Times New Roman"/>
          <w:sz w:val="20"/>
          <w:szCs w:val="20"/>
          <w:lang w:eastAsia="id-ID"/>
        </w:rPr>
        <w:t>menggunakan</w:t>
      </w:r>
      <w:proofErr w:type="spellEnd"/>
      <w:r w:rsidR="003543EB" w:rsidRPr="00B61E88">
        <w:rPr>
          <w:rFonts w:ascii="Times New Roman" w:hAnsi="Times New Roman" w:cs="Times New Roman"/>
          <w:sz w:val="20"/>
          <w:szCs w:val="20"/>
          <w:lang w:eastAsia="id-ID"/>
        </w:rPr>
        <w:t xml:space="preserve"> </w:t>
      </w:r>
      <w:proofErr w:type="spellStart"/>
      <w:r w:rsidR="003543EB" w:rsidRPr="00B61E88">
        <w:rPr>
          <w:rFonts w:ascii="Times New Roman" w:hAnsi="Times New Roman" w:cs="Times New Roman"/>
          <w:sz w:val="20"/>
          <w:szCs w:val="20"/>
          <w:lang w:eastAsia="id-ID"/>
        </w:rPr>
        <w:t>analisis</w:t>
      </w:r>
      <w:proofErr w:type="spellEnd"/>
      <w:r w:rsidR="003543EB" w:rsidRPr="00B61E88">
        <w:rPr>
          <w:rFonts w:ascii="Times New Roman" w:hAnsi="Times New Roman" w:cs="Times New Roman"/>
          <w:sz w:val="20"/>
          <w:szCs w:val="20"/>
          <w:lang w:eastAsia="id-ID"/>
        </w:rPr>
        <w:t xml:space="preserve"> data </w:t>
      </w:r>
      <w:proofErr w:type="spellStart"/>
      <w:r w:rsidR="003543EB" w:rsidRPr="00B61E88">
        <w:rPr>
          <w:rFonts w:ascii="Times New Roman" w:hAnsi="Times New Roman" w:cs="Times New Roman"/>
          <w:sz w:val="20"/>
          <w:szCs w:val="20"/>
          <w:lang w:eastAsia="id-ID"/>
        </w:rPr>
        <w:t>kualitatif</w:t>
      </w:r>
      <w:proofErr w:type="spellEnd"/>
      <w:r w:rsidR="003543EB" w:rsidRPr="00B61E88">
        <w:rPr>
          <w:rFonts w:ascii="Times New Roman" w:hAnsi="Times New Roman" w:cs="Times New Roman"/>
          <w:sz w:val="20"/>
          <w:szCs w:val="20"/>
          <w:lang w:eastAsia="id-ID"/>
        </w:rPr>
        <w:t xml:space="preserve"> </w:t>
      </w:r>
      <w:proofErr w:type="spellStart"/>
      <w:r w:rsidR="003543EB" w:rsidRPr="00B61E88">
        <w:rPr>
          <w:rFonts w:ascii="Times New Roman" w:hAnsi="Times New Roman" w:cs="Times New Roman"/>
          <w:sz w:val="20"/>
          <w:szCs w:val="20"/>
          <w:lang w:eastAsia="id-ID"/>
        </w:rPr>
        <w:t>sistematis</w:t>
      </w:r>
      <w:proofErr w:type="spellEnd"/>
      <w:r w:rsidR="003543EB" w:rsidRPr="00B61E88">
        <w:rPr>
          <w:rFonts w:ascii="Times New Roman" w:hAnsi="Times New Roman" w:cs="Times New Roman"/>
          <w:sz w:val="20"/>
          <w:szCs w:val="20"/>
          <w:lang w:eastAsia="id-ID"/>
        </w:rPr>
        <w:t xml:space="preserve"> </w:t>
      </w:r>
      <w:r w:rsidR="003543EB" w:rsidRPr="00B61E88">
        <w:rPr>
          <w:rFonts w:ascii="Times New Roman" w:hAnsi="Times New Roman" w:cs="Times New Roman"/>
          <w:sz w:val="20"/>
          <w:szCs w:val="20"/>
          <w:lang w:val="id-ID" w:eastAsia="id-ID"/>
        </w:rPr>
        <w:t>melalui proses klasifikasi data (koding data), label (labeling</w:t>
      </w:r>
      <w:r w:rsidR="003543EB" w:rsidRPr="00B61E88">
        <w:rPr>
          <w:rFonts w:ascii="Times New Roman" w:hAnsi="Times New Roman" w:cs="Times New Roman"/>
          <w:sz w:val="20"/>
          <w:szCs w:val="20"/>
          <w:lang w:val="en-US" w:eastAsia="id-ID"/>
        </w:rPr>
        <w:t>),</w:t>
      </w:r>
      <w:r w:rsidR="003543EB" w:rsidRPr="00B61E88">
        <w:rPr>
          <w:rFonts w:ascii="Times New Roman" w:hAnsi="Times New Roman" w:cs="Times New Roman"/>
          <w:sz w:val="20"/>
          <w:szCs w:val="20"/>
          <w:lang w:val="id-ID" w:eastAsia="id-ID"/>
        </w:rPr>
        <w:t xml:space="preserve"> penyusunan kategori</w:t>
      </w:r>
      <w:r w:rsidR="003543EB" w:rsidRPr="00B61E88">
        <w:rPr>
          <w:rFonts w:ascii="Times New Roman" w:hAnsi="Times New Roman" w:cs="Times New Roman"/>
          <w:sz w:val="20"/>
          <w:szCs w:val="20"/>
          <w:lang w:val="en-US" w:eastAsia="id-ID"/>
        </w:rPr>
        <w:t xml:space="preserve">. </w:t>
      </w:r>
      <w:r w:rsidRPr="00B61E88">
        <w:rPr>
          <w:rFonts w:ascii="Times New Roman" w:hAnsi="Times New Roman" w:cs="Times New Roman"/>
          <w:sz w:val="20"/>
          <w:szCs w:val="20"/>
          <w:lang w:val="en-US"/>
        </w:rPr>
        <w:t xml:space="preserve">Hasil </w:t>
      </w:r>
      <w:proofErr w:type="spellStart"/>
      <w:r w:rsidRPr="00B61E88">
        <w:rPr>
          <w:rFonts w:ascii="Times New Roman" w:hAnsi="Times New Roman" w:cs="Times New Roman"/>
          <w:sz w:val="20"/>
          <w:szCs w:val="20"/>
          <w:lang w:val="en-US"/>
        </w:rPr>
        <w:t>penelitian</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menunjukkan</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implementasi</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kebijakan</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percepatan</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penurunan</w:t>
      </w:r>
      <w:proofErr w:type="spellEnd"/>
      <w:r w:rsidRPr="00B61E88">
        <w:rPr>
          <w:rFonts w:ascii="Times New Roman" w:hAnsi="Times New Roman" w:cs="Times New Roman"/>
          <w:sz w:val="20"/>
          <w:szCs w:val="20"/>
          <w:lang w:val="en-US"/>
        </w:rPr>
        <w:t xml:space="preserve"> stunting di Kampung </w:t>
      </w:r>
      <w:proofErr w:type="spellStart"/>
      <w:r w:rsidR="003543EB" w:rsidRPr="00B61E88">
        <w:rPr>
          <w:rFonts w:ascii="Times New Roman" w:hAnsi="Times New Roman" w:cs="Times New Roman"/>
          <w:sz w:val="20"/>
          <w:szCs w:val="20"/>
          <w:lang w:val="en-US"/>
        </w:rPr>
        <w:t>Keluarga</w:t>
      </w:r>
      <w:proofErr w:type="spellEnd"/>
      <w:r w:rsidR="003543EB" w:rsidRPr="00B61E88">
        <w:rPr>
          <w:rFonts w:ascii="Times New Roman" w:hAnsi="Times New Roman" w:cs="Times New Roman"/>
          <w:sz w:val="20"/>
          <w:szCs w:val="20"/>
          <w:lang w:val="en-US"/>
        </w:rPr>
        <w:t xml:space="preserve"> </w:t>
      </w:r>
      <w:proofErr w:type="spellStart"/>
      <w:r w:rsidR="003543EB" w:rsidRPr="00B61E88">
        <w:rPr>
          <w:rFonts w:ascii="Times New Roman" w:hAnsi="Times New Roman" w:cs="Times New Roman"/>
          <w:sz w:val="20"/>
          <w:szCs w:val="20"/>
          <w:lang w:val="en-US"/>
        </w:rPr>
        <w:t>Berkualitas</w:t>
      </w:r>
      <w:proofErr w:type="spellEnd"/>
      <w:r w:rsidR="003543EB" w:rsidRPr="00B61E88">
        <w:rPr>
          <w:rFonts w:ascii="Times New Roman" w:hAnsi="Times New Roman" w:cs="Times New Roman"/>
          <w:sz w:val="20"/>
          <w:szCs w:val="20"/>
          <w:lang w:val="en-US"/>
        </w:rPr>
        <w:t xml:space="preserve"> (KB)</w:t>
      </w:r>
      <w:r w:rsidRPr="00B61E88">
        <w:rPr>
          <w:rFonts w:ascii="Times New Roman" w:hAnsi="Times New Roman" w:cs="Times New Roman"/>
          <w:sz w:val="20"/>
          <w:szCs w:val="20"/>
          <w:lang w:val="en-US"/>
        </w:rPr>
        <w:t xml:space="preserve"> Desa </w:t>
      </w:r>
      <w:proofErr w:type="spellStart"/>
      <w:r w:rsidRPr="00B61E88">
        <w:rPr>
          <w:rFonts w:ascii="Times New Roman" w:hAnsi="Times New Roman" w:cs="Times New Roman"/>
          <w:sz w:val="20"/>
          <w:szCs w:val="20"/>
          <w:lang w:val="en-US"/>
        </w:rPr>
        <w:t>Mongpok</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berdasarkan</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rPr>
        <w:t>pendekatan</w:t>
      </w:r>
      <w:proofErr w:type="spellEnd"/>
      <w:r w:rsidRPr="00B61E88">
        <w:rPr>
          <w:rFonts w:ascii="Times New Roman" w:hAnsi="Times New Roman" w:cs="Times New Roman"/>
          <w:sz w:val="20"/>
          <w:szCs w:val="20"/>
        </w:rPr>
        <w:t xml:space="preserve"> </w:t>
      </w:r>
      <w:proofErr w:type="spellStart"/>
      <w:r w:rsidRPr="00B61E88">
        <w:rPr>
          <w:rFonts w:ascii="Times New Roman" w:hAnsi="Times New Roman" w:cs="Times New Roman"/>
          <w:sz w:val="20"/>
          <w:szCs w:val="20"/>
        </w:rPr>
        <w:t>terhadap</w:t>
      </w:r>
      <w:proofErr w:type="spellEnd"/>
      <w:r w:rsidRPr="00B61E88">
        <w:rPr>
          <w:rFonts w:ascii="Times New Roman" w:hAnsi="Times New Roman" w:cs="Times New Roman"/>
          <w:sz w:val="20"/>
          <w:szCs w:val="20"/>
        </w:rPr>
        <w:t xml:space="preserve"> </w:t>
      </w:r>
      <w:proofErr w:type="spellStart"/>
      <w:r w:rsidRPr="00B61E88">
        <w:rPr>
          <w:rFonts w:ascii="Times New Roman" w:hAnsi="Times New Roman" w:cs="Times New Roman"/>
          <w:sz w:val="20"/>
          <w:szCs w:val="20"/>
        </w:rPr>
        <w:t>perubahan</w:t>
      </w:r>
      <w:proofErr w:type="spellEnd"/>
      <w:r w:rsidRPr="00B61E88">
        <w:rPr>
          <w:rFonts w:ascii="Times New Roman" w:hAnsi="Times New Roman" w:cs="Times New Roman"/>
          <w:sz w:val="20"/>
          <w:szCs w:val="20"/>
        </w:rPr>
        <w:t xml:space="preserve"> </w:t>
      </w:r>
      <w:proofErr w:type="spellStart"/>
      <w:r w:rsidRPr="00B61E88">
        <w:rPr>
          <w:rFonts w:ascii="Times New Roman" w:hAnsi="Times New Roman" w:cs="Times New Roman"/>
          <w:sz w:val="20"/>
          <w:szCs w:val="20"/>
        </w:rPr>
        <w:t>perilaku</w:t>
      </w:r>
      <w:proofErr w:type="spellEnd"/>
      <w:r w:rsidRPr="00B61E88">
        <w:rPr>
          <w:rFonts w:ascii="Times New Roman" w:hAnsi="Times New Roman" w:cs="Times New Roman"/>
          <w:sz w:val="20"/>
          <w:szCs w:val="20"/>
        </w:rPr>
        <w:t xml:space="preserve"> </w:t>
      </w:r>
      <w:proofErr w:type="spellStart"/>
      <w:r w:rsidRPr="00B61E88">
        <w:rPr>
          <w:rFonts w:ascii="Times New Roman" w:hAnsi="Times New Roman" w:cs="Times New Roman"/>
          <w:sz w:val="20"/>
          <w:szCs w:val="20"/>
        </w:rPr>
        <w:t>kelompok</w:t>
      </w:r>
      <w:proofErr w:type="spellEnd"/>
      <w:r w:rsidRPr="00B61E88">
        <w:rPr>
          <w:rFonts w:ascii="Times New Roman" w:hAnsi="Times New Roman" w:cs="Times New Roman"/>
          <w:sz w:val="20"/>
          <w:szCs w:val="20"/>
        </w:rPr>
        <w:t xml:space="preserve"> </w:t>
      </w:r>
      <w:proofErr w:type="spellStart"/>
      <w:r w:rsidRPr="00B61E88">
        <w:rPr>
          <w:rFonts w:ascii="Times New Roman" w:hAnsi="Times New Roman" w:cs="Times New Roman"/>
          <w:sz w:val="20"/>
          <w:szCs w:val="20"/>
        </w:rPr>
        <w:t>sasaran</w:t>
      </w:r>
      <w:proofErr w:type="spellEnd"/>
      <w:r w:rsidRPr="00B61E88">
        <w:rPr>
          <w:rFonts w:ascii="Times New Roman" w:hAnsi="Times New Roman" w:cs="Times New Roman"/>
          <w:sz w:val="20"/>
          <w:szCs w:val="20"/>
        </w:rPr>
        <w:t xml:space="preserve">, </w:t>
      </w:r>
      <w:proofErr w:type="spellStart"/>
      <w:r w:rsidRPr="00B61E88">
        <w:rPr>
          <w:rFonts w:ascii="Times New Roman" w:hAnsi="Times New Roman" w:cs="Times New Roman"/>
          <w:sz w:val="20"/>
          <w:szCs w:val="20"/>
        </w:rPr>
        <w:t>inovasi</w:t>
      </w:r>
      <w:proofErr w:type="spellEnd"/>
      <w:r w:rsidRPr="00B61E88">
        <w:rPr>
          <w:rFonts w:ascii="Times New Roman" w:hAnsi="Times New Roman" w:cs="Times New Roman"/>
          <w:sz w:val="20"/>
          <w:szCs w:val="20"/>
        </w:rPr>
        <w:t xml:space="preserve"> </w:t>
      </w:r>
      <w:proofErr w:type="spellStart"/>
      <w:r w:rsidRPr="00B61E88">
        <w:rPr>
          <w:rFonts w:ascii="Times New Roman" w:hAnsi="Times New Roman" w:cs="Times New Roman"/>
          <w:sz w:val="20"/>
          <w:szCs w:val="20"/>
        </w:rPr>
        <w:t>implementasi</w:t>
      </w:r>
      <w:proofErr w:type="spellEnd"/>
      <w:r w:rsidRPr="00B61E88">
        <w:rPr>
          <w:rFonts w:ascii="Times New Roman" w:hAnsi="Times New Roman" w:cs="Times New Roman"/>
          <w:sz w:val="20"/>
          <w:szCs w:val="20"/>
        </w:rPr>
        <w:t xml:space="preserve"> Kampung KB, </w:t>
      </w:r>
      <w:proofErr w:type="spellStart"/>
      <w:r w:rsidRPr="00B61E88">
        <w:rPr>
          <w:rFonts w:ascii="Times New Roman" w:hAnsi="Times New Roman" w:cs="Times New Roman"/>
          <w:sz w:val="20"/>
          <w:szCs w:val="20"/>
        </w:rPr>
        <w:t>dukungan</w:t>
      </w:r>
      <w:proofErr w:type="spellEnd"/>
      <w:r w:rsidRPr="00B61E88">
        <w:rPr>
          <w:rFonts w:ascii="Times New Roman" w:hAnsi="Times New Roman" w:cs="Times New Roman"/>
          <w:sz w:val="20"/>
          <w:szCs w:val="20"/>
        </w:rPr>
        <w:t xml:space="preserve"> </w:t>
      </w:r>
      <w:proofErr w:type="spellStart"/>
      <w:r w:rsidRPr="00B61E88">
        <w:rPr>
          <w:rFonts w:ascii="Times New Roman" w:hAnsi="Times New Roman" w:cs="Times New Roman"/>
          <w:sz w:val="20"/>
          <w:szCs w:val="20"/>
        </w:rPr>
        <w:t>pemerintah</w:t>
      </w:r>
      <w:proofErr w:type="spellEnd"/>
      <w:r w:rsidRPr="00B61E88">
        <w:rPr>
          <w:rFonts w:ascii="Times New Roman" w:hAnsi="Times New Roman" w:cs="Times New Roman"/>
          <w:sz w:val="20"/>
          <w:szCs w:val="20"/>
        </w:rPr>
        <w:t xml:space="preserve"> yang </w:t>
      </w:r>
      <w:proofErr w:type="spellStart"/>
      <w:r w:rsidRPr="00B61E88">
        <w:rPr>
          <w:rFonts w:ascii="Times New Roman" w:hAnsi="Times New Roman" w:cs="Times New Roman"/>
          <w:sz w:val="20"/>
          <w:szCs w:val="20"/>
        </w:rPr>
        <w:t>efektif</w:t>
      </w:r>
      <w:proofErr w:type="spellEnd"/>
      <w:r w:rsidRPr="00B61E88">
        <w:rPr>
          <w:rFonts w:ascii="Times New Roman" w:hAnsi="Times New Roman" w:cs="Times New Roman"/>
          <w:sz w:val="20"/>
          <w:szCs w:val="20"/>
        </w:rPr>
        <w:t xml:space="preserve"> dan </w:t>
      </w:r>
      <w:proofErr w:type="spellStart"/>
      <w:r w:rsidRPr="00B61E88">
        <w:rPr>
          <w:rFonts w:ascii="Times New Roman" w:hAnsi="Times New Roman" w:cs="Times New Roman"/>
          <w:sz w:val="20"/>
          <w:szCs w:val="20"/>
        </w:rPr>
        <w:t>dampak</w:t>
      </w:r>
      <w:proofErr w:type="spellEnd"/>
      <w:r w:rsidRPr="00B61E88">
        <w:rPr>
          <w:rFonts w:ascii="Times New Roman" w:hAnsi="Times New Roman" w:cs="Times New Roman"/>
          <w:sz w:val="20"/>
          <w:szCs w:val="20"/>
        </w:rPr>
        <w:t xml:space="preserve"> </w:t>
      </w:r>
      <w:proofErr w:type="spellStart"/>
      <w:r w:rsidRPr="00B61E88">
        <w:rPr>
          <w:rFonts w:ascii="Times New Roman" w:hAnsi="Times New Roman" w:cs="Times New Roman"/>
          <w:sz w:val="20"/>
          <w:szCs w:val="20"/>
        </w:rPr>
        <w:t>implementasi</w:t>
      </w:r>
      <w:proofErr w:type="spellEnd"/>
      <w:r w:rsidRPr="00B61E88">
        <w:rPr>
          <w:rFonts w:ascii="Times New Roman" w:hAnsi="Times New Roman" w:cs="Times New Roman"/>
          <w:sz w:val="20"/>
          <w:szCs w:val="20"/>
        </w:rPr>
        <w:t xml:space="preserve"> program</w:t>
      </w:r>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sudah</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cukup</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efektif</w:t>
      </w:r>
      <w:proofErr w:type="spellEnd"/>
      <w:r w:rsidRPr="00B61E88">
        <w:rPr>
          <w:rFonts w:ascii="Times New Roman" w:hAnsi="Times New Roman" w:cs="Times New Roman"/>
          <w:sz w:val="20"/>
          <w:szCs w:val="20"/>
          <w:lang w:val="en-US"/>
        </w:rPr>
        <w:t xml:space="preserve">. </w:t>
      </w:r>
      <w:r w:rsidR="001B5F2D" w:rsidRPr="00B61E88">
        <w:rPr>
          <w:rFonts w:ascii="Times New Roman" w:hAnsi="Times New Roman" w:cs="Times New Roman"/>
          <w:sz w:val="20"/>
          <w:szCs w:val="20"/>
          <w:lang w:val="en-US"/>
        </w:rPr>
        <w:t>Faktor-</w:t>
      </w:r>
      <w:proofErr w:type="spellStart"/>
      <w:r w:rsidR="001B5F2D" w:rsidRPr="00B61E88">
        <w:rPr>
          <w:rFonts w:ascii="Times New Roman" w:hAnsi="Times New Roman" w:cs="Times New Roman"/>
          <w:sz w:val="20"/>
          <w:szCs w:val="20"/>
          <w:lang w:val="en-US"/>
        </w:rPr>
        <w:t>faktor</w:t>
      </w:r>
      <w:proofErr w:type="spellEnd"/>
      <w:r w:rsidR="001B5F2D" w:rsidRPr="00B61E88">
        <w:rPr>
          <w:rFonts w:ascii="Times New Roman" w:hAnsi="Times New Roman" w:cs="Times New Roman"/>
          <w:sz w:val="20"/>
          <w:szCs w:val="20"/>
          <w:lang w:val="en-US"/>
        </w:rPr>
        <w:t xml:space="preserve"> yang </w:t>
      </w:r>
      <w:proofErr w:type="spellStart"/>
      <w:r w:rsidR="001B5F2D" w:rsidRPr="00B61E88">
        <w:rPr>
          <w:rFonts w:ascii="Times New Roman" w:hAnsi="Times New Roman" w:cs="Times New Roman"/>
          <w:sz w:val="20"/>
          <w:szCs w:val="20"/>
          <w:lang w:val="en-US"/>
        </w:rPr>
        <w:t>mendukung</w:t>
      </w:r>
      <w:proofErr w:type="spellEnd"/>
      <w:r w:rsidR="001B5F2D" w:rsidRPr="00B61E88">
        <w:rPr>
          <w:rFonts w:ascii="Times New Roman" w:hAnsi="Times New Roman" w:cs="Times New Roman"/>
          <w:sz w:val="20"/>
          <w:szCs w:val="20"/>
          <w:lang w:val="en-US"/>
        </w:rPr>
        <w:t xml:space="preserve"> </w:t>
      </w:r>
      <w:proofErr w:type="spellStart"/>
      <w:r w:rsidR="001B5F2D" w:rsidRPr="00B61E88">
        <w:rPr>
          <w:rFonts w:ascii="Times New Roman" w:hAnsi="Times New Roman" w:cs="Times New Roman"/>
          <w:sz w:val="20"/>
          <w:szCs w:val="20"/>
          <w:lang w:val="en-US"/>
        </w:rPr>
        <w:t>keberhasilan</w:t>
      </w:r>
      <w:proofErr w:type="spellEnd"/>
      <w:r w:rsidR="001B5F2D"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penurunan</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percepatan</w:t>
      </w:r>
      <w:proofErr w:type="spellEnd"/>
      <w:r w:rsidR="001B5F2D" w:rsidRPr="00B61E88">
        <w:rPr>
          <w:rFonts w:ascii="Times New Roman" w:hAnsi="Times New Roman" w:cs="Times New Roman"/>
          <w:sz w:val="20"/>
          <w:szCs w:val="20"/>
          <w:lang w:val="en-US"/>
        </w:rPr>
        <w:t xml:space="preserve"> stunting di Kampung KB Desa </w:t>
      </w:r>
      <w:proofErr w:type="spellStart"/>
      <w:r w:rsidR="001B5F2D" w:rsidRPr="00B61E88">
        <w:rPr>
          <w:rFonts w:ascii="Times New Roman" w:hAnsi="Times New Roman" w:cs="Times New Roman"/>
          <w:sz w:val="20"/>
          <w:szCs w:val="20"/>
          <w:lang w:val="en-US"/>
        </w:rPr>
        <w:t>Mongpok</w:t>
      </w:r>
      <w:proofErr w:type="spellEnd"/>
      <w:r w:rsidR="001B5F2D" w:rsidRPr="00B61E88">
        <w:rPr>
          <w:rFonts w:ascii="Times New Roman" w:hAnsi="Times New Roman" w:cs="Times New Roman"/>
          <w:sz w:val="20"/>
          <w:szCs w:val="20"/>
          <w:lang w:val="en-US"/>
        </w:rPr>
        <w:t xml:space="preserve"> </w:t>
      </w:r>
      <w:proofErr w:type="spellStart"/>
      <w:r w:rsidR="001B5F2D" w:rsidRPr="00B61E88">
        <w:rPr>
          <w:rFonts w:ascii="Times New Roman" w:hAnsi="Times New Roman" w:cs="Times New Roman"/>
          <w:sz w:val="20"/>
          <w:szCs w:val="20"/>
          <w:lang w:val="en-US"/>
        </w:rPr>
        <w:t>Kecamatan</w:t>
      </w:r>
      <w:proofErr w:type="spellEnd"/>
      <w:r w:rsidR="001B5F2D" w:rsidRPr="00B61E88">
        <w:rPr>
          <w:rFonts w:ascii="Times New Roman" w:hAnsi="Times New Roman" w:cs="Times New Roman"/>
          <w:sz w:val="20"/>
          <w:szCs w:val="20"/>
          <w:lang w:val="en-US"/>
        </w:rPr>
        <w:t xml:space="preserve"> </w:t>
      </w:r>
      <w:proofErr w:type="spellStart"/>
      <w:r w:rsidR="001B5F2D" w:rsidRPr="00B61E88">
        <w:rPr>
          <w:rFonts w:ascii="Times New Roman" w:hAnsi="Times New Roman" w:cs="Times New Roman"/>
          <w:sz w:val="20"/>
          <w:szCs w:val="20"/>
          <w:lang w:val="en-US"/>
        </w:rPr>
        <w:t>Cike</w:t>
      </w:r>
      <w:r w:rsidR="003543EB" w:rsidRPr="00B61E88">
        <w:rPr>
          <w:rFonts w:ascii="Times New Roman" w:hAnsi="Times New Roman" w:cs="Times New Roman"/>
          <w:sz w:val="20"/>
          <w:szCs w:val="20"/>
          <w:lang w:val="en-US"/>
        </w:rPr>
        <w:t>u</w:t>
      </w:r>
      <w:r w:rsidR="001B5F2D" w:rsidRPr="00B61E88">
        <w:rPr>
          <w:rFonts w:ascii="Times New Roman" w:hAnsi="Times New Roman" w:cs="Times New Roman"/>
          <w:sz w:val="20"/>
          <w:szCs w:val="20"/>
          <w:lang w:val="en-US"/>
        </w:rPr>
        <w:t>sal</w:t>
      </w:r>
      <w:proofErr w:type="spellEnd"/>
      <w:r w:rsidR="001B5F2D"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sekaligus</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menjadi</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temuan</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penelitian</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yaitu</w:t>
      </w:r>
      <w:proofErr w:type="spellEnd"/>
      <w:r w:rsidRPr="00B61E88">
        <w:rPr>
          <w:rFonts w:ascii="Times New Roman" w:hAnsi="Times New Roman" w:cs="Times New Roman"/>
          <w:sz w:val="20"/>
          <w:szCs w:val="20"/>
          <w:lang w:val="en-US"/>
        </w:rPr>
        <w:t xml:space="preserve"> </w:t>
      </w:r>
      <w:proofErr w:type="spellStart"/>
      <w:r w:rsidR="001B5F2D" w:rsidRPr="00B61E88">
        <w:rPr>
          <w:rFonts w:ascii="Times New Roman" w:hAnsi="Times New Roman" w:cs="Times New Roman"/>
          <w:sz w:val="20"/>
          <w:szCs w:val="20"/>
          <w:lang w:val="en-US"/>
        </w:rPr>
        <w:t>kepemimpinan</w:t>
      </w:r>
      <w:proofErr w:type="spellEnd"/>
      <w:r w:rsidR="001B5F2D" w:rsidRPr="00B61E88">
        <w:rPr>
          <w:rFonts w:ascii="Times New Roman" w:hAnsi="Times New Roman" w:cs="Times New Roman"/>
          <w:sz w:val="20"/>
          <w:szCs w:val="20"/>
          <w:lang w:val="en-US"/>
        </w:rPr>
        <w:t xml:space="preserve"> responsive, </w:t>
      </w:r>
      <w:proofErr w:type="spellStart"/>
      <w:r w:rsidR="001B5F2D" w:rsidRPr="00B61E88">
        <w:rPr>
          <w:rFonts w:ascii="Times New Roman" w:hAnsi="Times New Roman" w:cs="Times New Roman"/>
          <w:sz w:val="20"/>
          <w:szCs w:val="20"/>
          <w:lang w:val="en-US"/>
        </w:rPr>
        <w:t>komitmen</w:t>
      </w:r>
      <w:proofErr w:type="spellEnd"/>
      <w:r w:rsidR="001B5F2D" w:rsidRPr="00B61E88">
        <w:rPr>
          <w:rFonts w:ascii="Times New Roman" w:hAnsi="Times New Roman" w:cs="Times New Roman"/>
          <w:sz w:val="20"/>
          <w:szCs w:val="20"/>
          <w:lang w:val="en-US"/>
        </w:rPr>
        <w:t xml:space="preserve"> para stakeholder, </w:t>
      </w:r>
      <w:proofErr w:type="spellStart"/>
      <w:r w:rsidR="001B5F2D" w:rsidRPr="00B61E88">
        <w:rPr>
          <w:rFonts w:ascii="Times New Roman" w:hAnsi="Times New Roman" w:cs="Times New Roman"/>
          <w:sz w:val="20"/>
          <w:szCs w:val="20"/>
          <w:lang w:val="en-US"/>
        </w:rPr>
        <w:t>kolaborasi</w:t>
      </w:r>
      <w:proofErr w:type="spellEnd"/>
      <w:r w:rsidR="001B5F2D" w:rsidRPr="00B61E88">
        <w:rPr>
          <w:rFonts w:ascii="Times New Roman" w:hAnsi="Times New Roman" w:cs="Times New Roman"/>
          <w:sz w:val="20"/>
          <w:szCs w:val="20"/>
          <w:lang w:val="en-US"/>
        </w:rPr>
        <w:t xml:space="preserve">, </w:t>
      </w:r>
      <w:proofErr w:type="spellStart"/>
      <w:r w:rsidR="001B5F2D" w:rsidRPr="00B61E88">
        <w:rPr>
          <w:rFonts w:ascii="Times New Roman" w:hAnsi="Times New Roman" w:cs="Times New Roman"/>
          <w:sz w:val="20"/>
          <w:szCs w:val="20"/>
          <w:lang w:val="en-US"/>
        </w:rPr>
        <w:t>kesadaran</w:t>
      </w:r>
      <w:proofErr w:type="spellEnd"/>
      <w:r w:rsidR="001B5F2D" w:rsidRPr="00B61E88">
        <w:rPr>
          <w:rFonts w:ascii="Times New Roman" w:hAnsi="Times New Roman" w:cs="Times New Roman"/>
          <w:sz w:val="20"/>
          <w:szCs w:val="20"/>
          <w:lang w:val="en-US"/>
        </w:rPr>
        <w:t xml:space="preserve"> dan </w:t>
      </w:r>
      <w:proofErr w:type="spellStart"/>
      <w:r w:rsidR="001B5F2D" w:rsidRPr="00B61E88">
        <w:rPr>
          <w:rFonts w:ascii="Times New Roman" w:hAnsi="Times New Roman" w:cs="Times New Roman"/>
          <w:sz w:val="20"/>
          <w:szCs w:val="20"/>
          <w:lang w:val="en-US"/>
        </w:rPr>
        <w:t>kepatuhan</w:t>
      </w:r>
      <w:proofErr w:type="spellEnd"/>
      <w:r w:rsidR="001B5F2D" w:rsidRPr="00B61E88">
        <w:rPr>
          <w:rFonts w:ascii="Times New Roman" w:hAnsi="Times New Roman" w:cs="Times New Roman"/>
          <w:sz w:val="20"/>
          <w:szCs w:val="20"/>
          <w:lang w:val="en-US"/>
        </w:rPr>
        <w:t xml:space="preserve"> </w:t>
      </w:r>
      <w:proofErr w:type="spellStart"/>
      <w:r w:rsidR="001B5F2D" w:rsidRPr="00B61E88">
        <w:rPr>
          <w:rFonts w:ascii="Times New Roman" w:hAnsi="Times New Roman" w:cs="Times New Roman"/>
          <w:sz w:val="20"/>
          <w:szCs w:val="20"/>
          <w:lang w:val="en-US"/>
        </w:rPr>
        <w:t>masyarakat</w:t>
      </w:r>
      <w:proofErr w:type="spellEnd"/>
      <w:r w:rsidR="001B5F2D" w:rsidRPr="00B61E88">
        <w:rPr>
          <w:rFonts w:ascii="Times New Roman" w:hAnsi="Times New Roman" w:cs="Times New Roman"/>
          <w:sz w:val="20"/>
          <w:szCs w:val="20"/>
          <w:lang w:val="en-US"/>
        </w:rPr>
        <w:t xml:space="preserve"> </w:t>
      </w:r>
      <w:r w:rsidRPr="00B61E88">
        <w:rPr>
          <w:rFonts w:ascii="Times New Roman" w:hAnsi="Times New Roman" w:cs="Times New Roman"/>
          <w:sz w:val="20"/>
          <w:szCs w:val="20"/>
          <w:lang w:val="en-US"/>
        </w:rPr>
        <w:t xml:space="preserve">yang </w:t>
      </w:r>
      <w:proofErr w:type="spellStart"/>
      <w:r w:rsidRPr="00B61E88">
        <w:rPr>
          <w:rFonts w:ascii="Times New Roman" w:hAnsi="Times New Roman" w:cs="Times New Roman"/>
          <w:sz w:val="20"/>
          <w:szCs w:val="20"/>
          <w:lang w:val="en-US"/>
        </w:rPr>
        <w:t>berdampak</w:t>
      </w:r>
      <w:proofErr w:type="spellEnd"/>
      <w:r w:rsidRPr="00B61E88">
        <w:rPr>
          <w:rFonts w:ascii="Times New Roman" w:hAnsi="Times New Roman" w:cs="Times New Roman"/>
          <w:sz w:val="20"/>
          <w:szCs w:val="20"/>
          <w:lang w:val="en-US"/>
        </w:rPr>
        <w:t xml:space="preserve"> pada </w:t>
      </w:r>
      <w:proofErr w:type="spellStart"/>
      <w:r w:rsidR="001B5F2D" w:rsidRPr="00B61E88">
        <w:rPr>
          <w:rFonts w:ascii="Times New Roman" w:hAnsi="Times New Roman" w:cs="Times New Roman"/>
          <w:sz w:val="20"/>
          <w:szCs w:val="20"/>
          <w:lang w:val="en-US"/>
        </w:rPr>
        <w:t>meningkatnya</w:t>
      </w:r>
      <w:proofErr w:type="spellEnd"/>
      <w:r w:rsidR="001B5F2D" w:rsidRPr="00B61E88">
        <w:rPr>
          <w:rFonts w:ascii="Times New Roman" w:hAnsi="Times New Roman" w:cs="Times New Roman"/>
          <w:sz w:val="20"/>
          <w:szCs w:val="20"/>
          <w:lang w:val="en-US"/>
        </w:rPr>
        <w:t xml:space="preserve"> </w:t>
      </w:r>
      <w:proofErr w:type="spellStart"/>
      <w:r w:rsidR="001B5F2D" w:rsidRPr="00B61E88">
        <w:rPr>
          <w:rFonts w:ascii="Times New Roman" w:hAnsi="Times New Roman" w:cs="Times New Roman"/>
          <w:sz w:val="20"/>
          <w:szCs w:val="20"/>
          <w:lang w:val="en-US"/>
        </w:rPr>
        <w:t>derajat</w:t>
      </w:r>
      <w:proofErr w:type="spellEnd"/>
      <w:r w:rsidR="001B5F2D" w:rsidRPr="00B61E88">
        <w:rPr>
          <w:rFonts w:ascii="Times New Roman" w:hAnsi="Times New Roman" w:cs="Times New Roman"/>
          <w:sz w:val="20"/>
          <w:szCs w:val="20"/>
          <w:lang w:val="en-US"/>
        </w:rPr>
        <w:t xml:space="preserve"> </w:t>
      </w:r>
      <w:proofErr w:type="spellStart"/>
      <w:r w:rsidR="001B5F2D" w:rsidRPr="00B61E88">
        <w:rPr>
          <w:rFonts w:ascii="Times New Roman" w:hAnsi="Times New Roman" w:cs="Times New Roman"/>
          <w:sz w:val="20"/>
          <w:szCs w:val="20"/>
          <w:lang w:val="en-US"/>
        </w:rPr>
        <w:t>kesehatan</w:t>
      </w:r>
      <w:proofErr w:type="spellEnd"/>
      <w:r w:rsidR="001B5F2D" w:rsidRPr="00B61E88">
        <w:rPr>
          <w:rFonts w:ascii="Times New Roman" w:hAnsi="Times New Roman" w:cs="Times New Roman"/>
          <w:sz w:val="20"/>
          <w:szCs w:val="20"/>
          <w:lang w:val="en-US"/>
        </w:rPr>
        <w:t xml:space="preserve"> </w:t>
      </w:r>
      <w:proofErr w:type="spellStart"/>
      <w:r w:rsidR="00504B83" w:rsidRPr="00B61E88">
        <w:rPr>
          <w:rFonts w:ascii="Times New Roman" w:hAnsi="Times New Roman" w:cs="Times New Roman"/>
          <w:sz w:val="20"/>
          <w:szCs w:val="20"/>
          <w:lang w:val="en-US"/>
        </w:rPr>
        <w:t>m</w:t>
      </w:r>
      <w:r w:rsidRPr="00B61E88">
        <w:rPr>
          <w:rFonts w:ascii="Times New Roman" w:hAnsi="Times New Roman" w:cs="Times New Roman"/>
          <w:sz w:val="20"/>
          <w:szCs w:val="20"/>
          <w:lang w:val="en-US"/>
        </w:rPr>
        <w:t>asyarakat</w:t>
      </w:r>
      <w:proofErr w:type="spellEnd"/>
      <w:r w:rsidRPr="00B61E88">
        <w:rPr>
          <w:rFonts w:ascii="Times New Roman" w:hAnsi="Times New Roman" w:cs="Times New Roman"/>
          <w:sz w:val="20"/>
          <w:szCs w:val="20"/>
          <w:lang w:val="en-US"/>
        </w:rPr>
        <w:t>.</w:t>
      </w:r>
    </w:p>
    <w:p w14:paraId="1C4175CB" w14:textId="42DB06F9" w:rsidR="003543EB" w:rsidRPr="00B61E88" w:rsidRDefault="003543EB" w:rsidP="003543EB">
      <w:pPr>
        <w:spacing w:after="0" w:line="240" w:lineRule="auto"/>
        <w:contextualSpacing/>
        <w:jc w:val="both"/>
        <w:rPr>
          <w:rFonts w:ascii="Times New Roman" w:hAnsi="Times New Roman" w:cs="Times New Roman"/>
          <w:sz w:val="20"/>
          <w:szCs w:val="20"/>
          <w:lang w:val="en-US"/>
        </w:rPr>
      </w:pPr>
      <w:r w:rsidRPr="00B61E88">
        <w:rPr>
          <w:rFonts w:ascii="Times New Roman" w:hAnsi="Times New Roman" w:cs="Times New Roman"/>
          <w:b/>
          <w:bCs/>
          <w:sz w:val="20"/>
          <w:szCs w:val="20"/>
          <w:lang w:val="en-US"/>
        </w:rPr>
        <w:t xml:space="preserve">Kata </w:t>
      </w:r>
      <w:proofErr w:type="spellStart"/>
      <w:r w:rsidRPr="00B61E88">
        <w:rPr>
          <w:rFonts w:ascii="Times New Roman" w:hAnsi="Times New Roman" w:cs="Times New Roman"/>
          <w:b/>
          <w:bCs/>
          <w:sz w:val="20"/>
          <w:szCs w:val="20"/>
          <w:lang w:val="en-US"/>
        </w:rPr>
        <w:t>Kunci</w:t>
      </w:r>
      <w:proofErr w:type="spellEnd"/>
      <w:r w:rsidRPr="00B61E88">
        <w:rPr>
          <w:rFonts w:ascii="Times New Roman" w:hAnsi="Times New Roman" w:cs="Times New Roman"/>
          <w:b/>
          <w:bCs/>
          <w:sz w:val="20"/>
          <w:szCs w:val="20"/>
          <w:lang w:val="en-US"/>
        </w:rPr>
        <w:t>:</w:t>
      </w:r>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Efektivitas</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Implementasi</w:t>
      </w:r>
      <w:proofErr w:type="spellEnd"/>
      <w:r w:rsidRPr="00B61E88">
        <w:rPr>
          <w:rFonts w:ascii="Times New Roman" w:hAnsi="Times New Roman" w:cs="Times New Roman"/>
          <w:sz w:val="20"/>
          <w:szCs w:val="20"/>
          <w:lang w:val="en-US"/>
        </w:rPr>
        <w:t xml:space="preserve"> </w:t>
      </w:r>
      <w:proofErr w:type="spellStart"/>
      <w:r w:rsidRPr="00B61E88">
        <w:rPr>
          <w:rFonts w:ascii="Times New Roman" w:hAnsi="Times New Roman" w:cs="Times New Roman"/>
          <w:sz w:val="20"/>
          <w:szCs w:val="20"/>
          <w:lang w:val="en-US"/>
        </w:rPr>
        <w:t>Kebijakan</w:t>
      </w:r>
      <w:proofErr w:type="spellEnd"/>
      <w:r w:rsidRPr="00B61E88">
        <w:rPr>
          <w:rFonts w:ascii="Times New Roman" w:hAnsi="Times New Roman" w:cs="Times New Roman"/>
          <w:sz w:val="20"/>
          <w:szCs w:val="20"/>
          <w:lang w:val="en-US"/>
        </w:rPr>
        <w:t>, Stunting, Kampung KB</w:t>
      </w:r>
      <w:r w:rsidR="009560F4" w:rsidRPr="00B61E88">
        <w:rPr>
          <w:rFonts w:ascii="Times New Roman" w:hAnsi="Times New Roman" w:cs="Times New Roman"/>
          <w:sz w:val="20"/>
          <w:szCs w:val="20"/>
          <w:lang w:val="en-US"/>
        </w:rPr>
        <w:t xml:space="preserve">, Desa </w:t>
      </w:r>
      <w:proofErr w:type="spellStart"/>
      <w:r w:rsidR="009560F4" w:rsidRPr="00B61E88">
        <w:rPr>
          <w:rFonts w:ascii="Times New Roman" w:hAnsi="Times New Roman" w:cs="Times New Roman"/>
          <w:sz w:val="20"/>
          <w:szCs w:val="20"/>
          <w:lang w:val="en-US"/>
        </w:rPr>
        <w:t>Mongpok</w:t>
      </w:r>
      <w:proofErr w:type="spellEnd"/>
    </w:p>
    <w:p w14:paraId="45D17A5B" w14:textId="77777777" w:rsidR="009560F4" w:rsidRPr="00B61E88" w:rsidRDefault="009560F4" w:rsidP="003543EB">
      <w:pPr>
        <w:spacing w:after="0" w:line="240" w:lineRule="auto"/>
        <w:contextualSpacing/>
        <w:jc w:val="both"/>
        <w:rPr>
          <w:rFonts w:ascii="Times New Roman" w:hAnsi="Times New Roman" w:cs="Times New Roman"/>
          <w:sz w:val="20"/>
          <w:szCs w:val="20"/>
          <w:lang w:val="en-US"/>
        </w:rPr>
      </w:pPr>
    </w:p>
    <w:p w14:paraId="4E7D3551" w14:textId="5D476771" w:rsidR="003543EB" w:rsidRPr="005542AD" w:rsidRDefault="003543EB" w:rsidP="003543EB">
      <w:pPr>
        <w:spacing w:after="0" w:line="240" w:lineRule="auto"/>
        <w:contextualSpacing/>
        <w:jc w:val="center"/>
        <w:rPr>
          <w:rFonts w:ascii="Times New Roman" w:hAnsi="Times New Roman" w:cs="Times New Roman"/>
          <w:b/>
          <w:bCs/>
          <w:i/>
          <w:iCs/>
          <w:sz w:val="20"/>
          <w:szCs w:val="20"/>
          <w:lang w:val="en-US"/>
        </w:rPr>
      </w:pPr>
      <w:r w:rsidRPr="005542AD">
        <w:rPr>
          <w:rFonts w:ascii="Times New Roman" w:hAnsi="Times New Roman" w:cs="Times New Roman"/>
          <w:b/>
          <w:bCs/>
          <w:i/>
          <w:iCs/>
          <w:sz w:val="20"/>
          <w:szCs w:val="20"/>
          <w:lang w:val="en-US"/>
        </w:rPr>
        <w:t>Abstract</w:t>
      </w:r>
    </w:p>
    <w:p w14:paraId="052A6B61" w14:textId="429FE738" w:rsidR="00C348A9" w:rsidRPr="00B61E88" w:rsidRDefault="003543EB" w:rsidP="009560F4">
      <w:pPr>
        <w:pStyle w:val="BodyText"/>
        <w:ind w:right="-1"/>
        <w:contextualSpacing/>
        <w:jc w:val="both"/>
        <w:rPr>
          <w:i/>
          <w:iCs/>
          <w:sz w:val="20"/>
          <w:szCs w:val="20"/>
          <w:lang w:val="en-US"/>
        </w:rPr>
      </w:pPr>
      <w:r w:rsidRPr="00B61E88">
        <w:rPr>
          <w:i/>
          <w:iCs/>
          <w:sz w:val="20"/>
          <w:szCs w:val="20"/>
          <w:lang w:val="en-US"/>
        </w:rPr>
        <w:t xml:space="preserve">Accelerating the reduction of stunting requires synergistic implementation between various sectors, both at the central government level and regional and village governments. The purpose of this study was to find out the effectiveness of the Quality Family Village Program in </w:t>
      </w:r>
      <w:proofErr w:type="spellStart"/>
      <w:r w:rsidRPr="00B61E88">
        <w:rPr>
          <w:i/>
          <w:iCs/>
          <w:sz w:val="20"/>
          <w:szCs w:val="20"/>
          <w:lang w:val="en-US"/>
        </w:rPr>
        <w:t>Mongpok</w:t>
      </w:r>
      <w:proofErr w:type="spellEnd"/>
      <w:r w:rsidRPr="00B61E88">
        <w:rPr>
          <w:i/>
          <w:iCs/>
          <w:sz w:val="20"/>
          <w:szCs w:val="20"/>
          <w:lang w:val="en-US"/>
        </w:rPr>
        <w:t xml:space="preserve"> Village, </w:t>
      </w:r>
      <w:proofErr w:type="spellStart"/>
      <w:r w:rsidRPr="00B61E88">
        <w:rPr>
          <w:i/>
          <w:iCs/>
          <w:sz w:val="20"/>
          <w:szCs w:val="20"/>
          <w:lang w:val="en-US"/>
        </w:rPr>
        <w:t>Cikeusal</w:t>
      </w:r>
      <w:proofErr w:type="spellEnd"/>
      <w:r w:rsidRPr="00B61E88">
        <w:rPr>
          <w:i/>
          <w:iCs/>
          <w:sz w:val="20"/>
          <w:szCs w:val="20"/>
          <w:lang w:val="en-US"/>
        </w:rPr>
        <w:t xml:space="preserve"> District, </w:t>
      </w:r>
      <w:proofErr w:type="spellStart"/>
      <w:r w:rsidRPr="00B61E88">
        <w:rPr>
          <w:i/>
          <w:iCs/>
          <w:sz w:val="20"/>
          <w:szCs w:val="20"/>
          <w:lang w:val="en-US"/>
        </w:rPr>
        <w:t>Serang</w:t>
      </w:r>
      <w:proofErr w:type="spellEnd"/>
      <w:r w:rsidRPr="00B61E88">
        <w:rPr>
          <w:i/>
          <w:iCs/>
          <w:sz w:val="20"/>
          <w:szCs w:val="20"/>
          <w:lang w:val="en-US"/>
        </w:rPr>
        <w:t xml:space="preserve"> Regency in the Landscape of accelerated reduction of stunting. The research method uses a </w:t>
      </w:r>
      <w:r w:rsidR="00AF0CE8" w:rsidRPr="00B61E88">
        <w:rPr>
          <w:i/>
          <w:iCs/>
          <w:sz w:val="20"/>
          <w:szCs w:val="20"/>
          <w:lang w:val="en-US"/>
        </w:rPr>
        <w:t>case study</w:t>
      </w:r>
      <w:r w:rsidRPr="00B61E88">
        <w:rPr>
          <w:i/>
          <w:iCs/>
          <w:sz w:val="20"/>
          <w:szCs w:val="20"/>
          <w:lang w:val="en-US"/>
        </w:rPr>
        <w:t xml:space="preserve"> approach. Data collection techniques were carried out through interviews in Focus Group Discussion (FGD) activities which were carried out semi-structured with open questions. Data analysis uses systematic qualitative data analysis through the process of data classification (data coding), labeling, and category preparation. The results showed that the implementation of the accelerated stunting reduction policy in the Quality Family Village (KB) of </w:t>
      </w:r>
      <w:proofErr w:type="spellStart"/>
      <w:r w:rsidRPr="00B61E88">
        <w:rPr>
          <w:i/>
          <w:iCs/>
          <w:sz w:val="20"/>
          <w:szCs w:val="20"/>
          <w:lang w:val="en-US"/>
        </w:rPr>
        <w:t>Mongpok</w:t>
      </w:r>
      <w:proofErr w:type="spellEnd"/>
      <w:r w:rsidRPr="00B61E88">
        <w:rPr>
          <w:i/>
          <w:iCs/>
          <w:sz w:val="20"/>
          <w:szCs w:val="20"/>
          <w:lang w:val="en-US"/>
        </w:rPr>
        <w:t xml:space="preserve"> Village was based on an approach to changing the behavior of the target group, innovation in the implementation of the Family Planning Village, the effectiveness of government support and the impact of program implementation had been quite effective. Factors that support the success of reducing accelerated stunting in KB Village, </w:t>
      </w:r>
      <w:proofErr w:type="spellStart"/>
      <w:r w:rsidRPr="00B61E88">
        <w:rPr>
          <w:i/>
          <w:iCs/>
          <w:sz w:val="20"/>
          <w:szCs w:val="20"/>
          <w:lang w:val="en-US"/>
        </w:rPr>
        <w:t>Mongpok</w:t>
      </w:r>
      <w:proofErr w:type="spellEnd"/>
      <w:r w:rsidRPr="00B61E88">
        <w:rPr>
          <w:i/>
          <w:iCs/>
          <w:sz w:val="20"/>
          <w:szCs w:val="20"/>
          <w:lang w:val="en-US"/>
        </w:rPr>
        <w:t xml:space="preserve"> Village, </w:t>
      </w:r>
      <w:proofErr w:type="spellStart"/>
      <w:r w:rsidRPr="00B61E88">
        <w:rPr>
          <w:i/>
          <w:iCs/>
          <w:sz w:val="20"/>
          <w:szCs w:val="20"/>
          <w:lang w:val="en-US"/>
        </w:rPr>
        <w:t>Cikeusal</w:t>
      </w:r>
      <w:proofErr w:type="spellEnd"/>
      <w:r w:rsidRPr="00B61E88">
        <w:rPr>
          <w:i/>
          <w:iCs/>
          <w:sz w:val="20"/>
          <w:szCs w:val="20"/>
          <w:lang w:val="en-US"/>
        </w:rPr>
        <w:t xml:space="preserve"> District, as well as research findings, namely responsive leadership, stakeholder commitment, collaboration, awareness, and community compliance which have an impact on increasing public health status.</w:t>
      </w:r>
    </w:p>
    <w:p w14:paraId="622B4EEE" w14:textId="1310B775" w:rsidR="009560F4" w:rsidRPr="00B61E88" w:rsidRDefault="009560F4" w:rsidP="009560F4">
      <w:pPr>
        <w:pStyle w:val="BodyText"/>
        <w:ind w:right="-1"/>
        <w:contextualSpacing/>
        <w:jc w:val="both"/>
        <w:rPr>
          <w:i/>
          <w:iCs/>
          <w:sz w:val="20"/>
          <w:szCs w:val="20"/>
          <w:lang w:val="en-US"/>
        </w:rPr>
      </w:pPr>
      <w:r w:rsidRPr="00B61E88">
        <w:rPr>
          <w:b/>
          <w:bCs/>
          <w:i/>
          <w:iCs/>
          <w:sz w:val="20"/>
          <w:szCs w:val="20"/>
          <w:lang w:val="en-US"/>
        </w:rPr>
        <w:t>K</w:t>
      </w:r>
      <w:proofErr w:type="spellStart"/>
      <w:r w:rsidRPr="00B61E88">
        <w:rPr>
          <w:rStyle w:val="rynqvb"/>
          <w:b/>
          <w:bCs/>
          <w:i/>
          <w:iCs/>
          <w:sz w:val="20"/>
          <w:szCs w:val="20"/>
          <w:lang w:val="en"/>
        </w:rPr>
        <w:t>eywords</w:t>
      </w:r>
      <w:proofErr w:type="spellEnd"/>
      <w:r w:rsidRPr="00B61E88">
        <w:rPr>
          <w:rStyle w:val="rynqvb"/>
          <w:i/>
          <w:iCs/>
          <w:sz w:val="20"/>
          <w:szCs w:val="20"/>
          <w:lang w:val="en"/>
        </w:rPr>
        <w:t xml:space="preserve">: Effectiveness, Policy Implementation, Stunting, Family Planning Village, </w:t>
      </w:r>
      <w:proofErr w:type="spellStart"/>
      <w:r w:rsidRPr="00B61E88">
        <w:rPr>
          <w:rStyle w:val="rynqvb"/>
          <w:i/>
          <w:iCs/>
          <w:sz w:val="20"/>
          <w:szCs w:val="20"/>
          <w:lang w:val="en"/>
        </w:rPr>
        <w:t>Mongpok</w:t>
      </w:r>
      <w:proofErr w:type="spellEnd"/>
      <w:r w:rsidRPr="00B61E88">
        <w:rPr>
          <w:rStyle w:val="rynqvb"/>
          <w:i/>
          <w:iCs/>
          <w:sz w:val="20"/>
          <w:szCs w:val="20"/>
          <w:lang w:val="en"/>
        </w:rPr>
        <w:t xml:space="preserve"> Village</w:t>
      </w:r>
    </w:p>
    <w:p w14:paraId="355E74D7" w14:textId="77777777" w:rsidR="00C348A9" w:rsidRPr="007720BC" w:rsidRDefault="00C348A9" w:rsidP="00CB2900">
      <w:pPr>
        <w:pStyle w:val="BodyText"/>
        <w:ind w:right="-1" w:firstLine="720"/>
        <w:contextualSpacing/>
        <w:jc w:val="both"/>
        <w:rPr>
          <w:sz w:val="24"/>
          <w:szCs w:val="24"/>
          <w:lang w:val="en-US"/>
        </w:rPr>
      </w:pPr>
    </w:p>
    <w:p w14:paraId="393C2C77" w14:textId="77777777" w:rsidR="00B61E88" w:rsidRDefault="00B61E88" w:rsidP="00CB2900">
      <w:pPr>
        <w:pStyle w:val="Heading1"/>
        <w:ind w:left="0" w:right="0"/>
        <w:contextualSpacing/>
        <w:jc w:val="both"/>
        <w:rPr>
          <w:rFonts w:ascii="Times New Roman" w:hAnsi="Times New Roman" w:cs="Times New Roman"/>
          <w:sz w:val="24"/>
          <w:szCs w:val="24"/>
          <w:lang w:val="en-ID" w:eastAsia="en-ID"/>
        </w:rPr>
      </w:pPr>
    </w:p>
    <w:p w14:paraId="323D567B" w14:textId="77777777" w:rsidR="00B61E88" w:rsidRDefault="00B61E88" w:rsidP="00CB2900">
      <w:pPr>
        <w:pStyle w:val="Heading1"/>
        <w:ind w:left="0" w:right="0"/>
        <w:contextualSpacing/>
        <w:jc w:val="both"/>
        <w:rPr>
          <w:rFonts w:ascii="Times New Roman" w:hAnsi="Times New Roman" w:cs="Times New Roman"/>
          <w:sz w:val="24"/>
          <w:szCs w:val="24"/>
          <w:lang w:val="en-ID" w:eastAsia="en-ID"/>
        </w:rPr>
      </w:pPr>
    </w:p>
    <w:p w14:paraId="7ECBF4BC" w14:textId="77777777" w:rsidR="00B61E88" w:rsidRDefault="00B61E88" w:rsidP="00CB2900">
      <w:pPr>
        <w:pStyle w:val="Heading1"/>
        <w:ind w:left="0" w:right="0"/>
        <w:contextualSpacing/>
        <w:jc w:val="both"/>
        <w:rPr>
          <w:rFonts w:ascii="Times New Roman" w:hAnsi="Times New Roman" w:cs="Times New Roman"/>
          <w:sz w:val="24"/>
          <w:szCs w:val="24"/>
          <w:lang w:val="en-ID" w:eastAsia="en-ID"/>
        </w:rPr>
      </w:pPr>
    </w:p>
    <w:p w14:paraId="44AF7B8E" w14:textId="77777777" w:rsidR="00B61E88" w:rsidRDefault="00B61E88" w:rsidP="00CB2900">
      <w:pPr>
        <w:pStyle w:val="Heading1"/>
        <w:ind w:left="0" w:right="0"/>
        <w:contextualSpacing/>
        <w:jc w:val="both"/>
        <w:rPr>
          <w:rFonts w:ascii="Times New Roman" w:hAnsi="Times New Roman" w:cs="Times New Roman"/>
          <w:sz w:val="24"/>
          <w:szCs w:val="24"/>
          <w:lang w:val="en-ID" w:eastAsia="en-ID"/>
        </w:rPr>
      </w:pPr>
    </w:p>
    <w:p w14:paraId="47E8B84E" w14:textId="77777777" w:rsidR="00B61E88" w:rsidRDefault="00B61E88" w:rsidP="00CB2900">
      <w:pPr>
        <w:pStyle w:val="Heading1"/>
        <w:ind w:left="0" w:right="0"/>
        <w:contextualSpacing/>
        <w:jc w:val="both"/>
        <w:rPr>
          <w:rFonts w:ascii="Times New Roman" w:hAnsi="Times New Roman" w:cs="Times New Roman"/>
          <w:sz w:val="24"/>
          <w:szCs w:val="24"/>
          <w:lang w:val="en-ID" w:eastAsia="en-ID"/>
        </w:rPr>
      </w:pPr>
    </w:p>
    <w:p w14:paraId="2429F41C" w14:textId="77777777" w:rsidR="00B61E88" w:rsidRDefault="00B61E88" w:rsidP="00CB2900">
      <w:pPr>
        <w:pStyle w:val="Heading1"/>
        <w:ind w:left="0" w:right="0"/>
        <w:contextualSpacing/>
        <w:jc w:val="both"/>
        <w:rPr>
          <w:rFonts w:ascii="Times New Roman" w:hAnsi="Times New Roman" w:cs="Times New Roman"/>
          <w:sz w:val="24"/>
          <w:szCs w:val="24"/>
          <w:lang w:val="en-ID" w:eastAsia="en-ID"/>
        </w:rPr>
      </w:pPr>
    </w:p>
    <w:p w14:paraId="5E77DEA9" w14:textId="77777777" w:rsidR="00B61E88" w:rsidRDefault="00B61E88" w:rsidP="00CB2900">
      <w:pPr>
        <w:pStyle w:val="Heading1"/>
        <w:ind w:left="0" w:right="0"/>
        <w:contextualSpacing/>
        <w:jc w:val="both"/>
        <w:rPr>
          <w:rFonts w:ascii="Times New Roman" w:hAnsi="Times New Roman" w:cs="Times New Roman"/>
          <w:sz w:val="24"/>
          <w:szCs w:val="24"/>
          <w:lang w:val="en-ID" w:eastAsia="en-ID"/>
        </w:rPr>
      </w:pPr>
    </w:p>
    <w:p w14:paraId="743A41B3" w14:textId="77777777" w:rsidR="00B61E88" w:rsidRDefault="00B61E88" w:rsidP="00CB2900">
      <w:pPr>
        <w:pStyle w:val="Heading1"/>
        <w:ind w:left="0" w:right="0"/>
        <w:contextualSpacing/>
        <w:jc w:val="both"/>
        <w:rPr>
          <w:rFonts w:ascii="Times New Roman" w:hAnsi="Times New Roman" w:cs="Times New Roman"/>
          <w:sz w:val="24"/>
          <w:szCs w:val="24"/>
          <w:lang w:val="en-ID" w:eastAsia="en-ID"/>
        </w:rPr>
      </w:pPr>
    </w:p>
    <w:p w14:paraId="25850E94" w14:textId="77777777" w:rsidR="00B61E88" w:rsidRDefault="00B61E88" w:rsidP="00CB2900">
      <w:pPr>
        <w:pStyle w:val="Heading1"/>
        <w:ind w:left="0" w:right="0"/>
        <w:contextualSpacing/>
        <w:jc w:val="both"/>
        <w:rPr>
          <w:rFonts w:ascii="Times New Roman" w:hAnsi="Times New Roman" w:cs="Times New Roman"/>
          <w:sz w:val="24"/>
          <w:szCs w:val="24"/>
          <w:lang w:val="en-ID" w:eastAsia="en-ID"/>
        </w:rPr>
      </w:pPr>
    </w:p>
    <w:p w14:paraId="490C7F24" w14:textId="77777777" w:rsidR="00B61E88" w:rsidRDefault="00B61E88" w:rsidP="00CB2900">
      <w:pPr>
        <w:pStyle w:val="Heading1"/>
        <w:ind w:left="0" w:right="0"/>
        <w:contextualSpacing/>
        <w:jc w:val="both"/>
        <w:rPr>
          <w:rFonts w:ascii="Times New Roman" w:hAnsi="Times New Roman" w:cs="Times New Roman"/>
          <w:sz w:val="24"/>
          <w:szCs w:val="24"/>
          <w:lang w:val="en-ID" w:eastAsia="en-ID"/>
        </w:rPr>
      </w:pPr>
    </w:p>
    <w:p w14:paraId="3088B823" w14:textId="15E4BDD2" w:rsidR="00663688" w:rsidRPr="007720BC" w:rsidRDefault="00B61E88" w:rsidP="00CB2900">
      <w:pPr>
        <w:pStyle w:val="Heading1"/>
        <w:ind w:left="0" w:right="0"/>
        <w:contextualSpacing/>
        <w:jc w:val="both"/>
        <w:rPr>
          <w:rFonts w:ascii="Times New Roman" w:hAnsi="Times New Roman" w:cs="Times New Roman"/>
          <w:sz w:val="24"/>
          <w:szCs w:val="24"/>
          <w:lang w:val="en-ID" w:eastAsia="en-ID"/>
        </w:rPr>
      </w:pPr>
      <w:proofErr w:type="spellStart"/>
      <w:r w:rsidRPr="007720BC">
        <w:rPr>
          <w:rFonts w:ascii="Times New Roman" w:hAnsi="Times New Roman" w:cs="Times New Roman"/>
          <w:sz w:val="24"/>
          <w:szCs w:val="24"/>
          <w:lang w:val="en-ID" w:eastAsia="en-ID"/>
        </w:rPr>
        <w:lastRenderedPageBreak/>
        <w:t>Pendahuluan</w:t>
      </w:r>
      <w:proofErr w:type="spellEnd"/>
    </w:p>
    <w:p w14:paraId="7DB49177" w14:textId="029BF65C" w:rsidR="001B5F2D" w:rsidRPr="007720BC" w:rsidRDefault="001B5F2D" w:rsidP="00CB2900">
      <w:pPr>
        <w:pStyle w:val="Heading1"/>
        <w:ind w:left="0" w:right="-1" w:firstLine="720"/>
        <w:contextualSpacing/>
        <w:jc w:val="both"/>
        <w:rPr>
          <w:rFonts w:ascii="Times New Roman" w:hAnsi="Times New Roman" w:cs="Times New Roman"/>
          <w:b w:val="0"/>
          <w:bCs w:val="0"/>
          <w:sz w:val="24"/>
          <w:szCs w:val="24"/>
          <w:lang w:val="en-US"/>
        </w:rPr>
      </w:pPr>
      <w:proofErr w:type="spellStart"/>
      <w:r w:rsidRPr="007720BC">
        <w:rPr>
          <w:rFonts w:ascii="Times New Roman" w:hAnsi="Times New Roman" w:cs="Times New Roman"/>
          <w:b w:val="0"/>
          <w:bCs w:val="0"/>
          <w:sz w:val="24"/>
          <w:szCs w:val="24"/>
          <w:lang w:val="en-US"/>
        </w:rPr>
        <w:t>Stanting</w:t>
      </w:r>
      <w:proofErr w:type="spellEnd"/>
      <w:r w:rsidRPr="007720BC">
        <w:rPr>
          <w:rFonts w:ascii="Times New Roman" w:hAnsi="Times New Roman" w:cs="Times New Roman"/>
          <w:b w:val="0"/>
          <w:bCs w:val="0"/>
          <w:sz w:val="24"/>
          <w:szCs w:val="24"/>
          <w:lang w:val="en-US"/>
        </w:rPr>
        <w:t xml:space="preserve"> (stunting) </w:t>
      </w:r>
      <w:proofErr w:type="spellStart"/>
      <w:r w:rsidRPr="007720BC">
        <w:rPr>
          <w:rFonts w:ascii="Times New Roman" w:hAnsi="Times New Roman" w:cs="Times New Roman"/>
          <w:b w:val="0"/>
          <w:bCs w:val="0"/>
          <w:sz w:val="24"/>
          <w:szCs w:val="24"/>
          <w:lang w:val="en-US"/>
        </w:rPr>
        <w:t>telah</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menjadi</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masalah</w:t>
      </w:r>
      <w:proofErr w:type="spellEnd"/>
      <w:r w:rsidRPr="007720BC">
        <w:rPr>
          <w:rFonts w:ascii="Times New Roman" w:hAnsi="Times New Roman" w:cs="Times New Roman"/>
          <w:b w:val="0"/>
          <w:bCs w:val="0"/>
          <w:sz w:val="24"/>
          <w:szCs w:val="24"/>
          <w:lang w:val="en-US"/>
        </w:rPr>
        <w:t xml:space="preserve"> global </w:t>
      </w:r>
      <w:proofErr w:type="spellStart"/>
      <w:r w:rsidRPr="007720BC">
        <w:rPr>
          <w:rFonts w:ascii="Times New Roman" w:hAnsi="Times New Roman" w:cs="Times New Roman"/>
          <w:b w:val="0"/>
          <w:bCs w:val="0"/>
          <w:sz w:val="24"/>
          <w:szCs w:val="24"/>
          <w:lang w:val="en-US"/>
        </w:rPr>
        <w:t>dalam</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perspektif</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pembangunan</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manusia</w:t>
      </w:r>
      <w:proofErr w:type="spellEnd"/>
      <w:r w:rsidRPr="007720BC">
        <w:rPr>
          <w:rFonts w:ascii="Times New Roman" w:hAnsi="Times New Roman" w:cs="Times New Roman"/>
          <w:b w:val="0"/>
          <w:bCs w:val="0"/>
          <w:sz w:val="24"/>
          <w:szCs w:val="24"/>
          <w:lang w:val="en-US"/>
        </w:rPr>
        <w:t xml:space="preserve">. </w:t>
      </w:r>
      <w:r w:rsidR="000F0C3B" w:rsidRPr="007720BC">
        <w:rPr>
          <w:rStyle w:val="rynqvb"/>
          <w:rFonts w:ascii="Times New Roman" w:hAnsi="Times New Roman" w:cs="Times New Roman"/>
          <w:b w:val="0"/>
          <w:bCs w:val="0"/>
          <w:sz w:val="24"/>
          <w:szCs w:val="24"/>
          <w:lang w:val="id-ID"/>
        </w:rPr>
        <w:t xml:space="preserve">Stunting </w:t>
      </w:r>
      <w:proofErr w:type="spellStart"/>
      <w:r w:rsidR="000F0C3B" w:rsidRPr="007720BC">
        <w:rPr>
          <w:rStyle w:val="rynqvb"/>
          <w:rFonts w:ascii="Times New Roman" w:hAnsi="Times New Roman" w:cs="Times New Roman"/>
          <w:b w:val="0"/>
          <w:bCs w:val="0"/>
          <w:sz w:val="24"/>
          <w:szCs w:val="24"/>
          <w:lang w:val="en-US"/>
        </w:rPr>
        <w:t>merupakan</w:t>
      </w:r>
      <w:proofErr w:type="spellEnd"/>
      <w:r w:rsidR="000F0C3B" w:rsidRPr="007720BC">
        <w:rPr>
          <w:rStyle w:val="rynqvb"/>
          <w:rFonts w:ascii="Times New Roman" w:hAnsi="Times New Roman" w:cs="Times New Roman"/>
          <w:b w:val="0"/>
          <w:bCs w:val="0"/>
          <w:sz w:val="24"/>
          <w:szCs w:val="24"/>
          <w:lang w:val="en-US"/>
        </w:rPr>
        <w:t xml:space="preserve"> per</w:t>
      </w:r>
      <w:r w:rsidR="000F0C3B" w:rsidRPr="007720BC">
        <w:rPr>
          <w:rStyle w:val="rynqvb"/>
          <w:rFonts w:ascii="Times New Roman" w:hAnsi="Times New Roman" w:cs="Times New Roman"/>
          <w:b w:val="0"/>
          <w:bCs w:val="0"/>
          <w:sz w:val="24"/>
          <w:szCs w:val="24"/>
          <w:lang w:val="id-ID"/>
        </w:rPr>
        <w:t>masalah</w:t>
      </w:r>
      <w:r w:rsidR="000F0C3B" w:rsidRPr="007720BC">
        <w:rPr>
          <w:rStyle w:val="rynqvb"/>
          <w:rFonts w:ascii="Times New Roman" w:hAnsi="Times New Roman" w:cs="Times New Roman"/>
          <w:b w:val="0"/>
          <w:bCs w:val="0"/>
          <w:sz w:val="24"/>
          <w:szCs w:val="24"/>
          <w:lang w:val="en-US"/>
        </w:rPr>
        <w:t xml:space="preserve">an yang </w:t>
      </w:r>
      <w:r w:rsidR="000F0C3B" w:rsidRPr="007720BC">
        <w:rPr>
          <w:rStyle w:val="rynqvb"/>
          <w:rFonts w:ascii="Times New Roman" w:hAnsi="Times New Roman" w:cs="Times New Roman"/>
          <w:b w:val="0"/>
          <w:bCs w:val="0"/>
          <w:sz w:val="24"/>
          <w:szCs w:val="24"/>
          <w:lang w:val="id-ID"/>
        </w:rPr>
        <w:t xml:space="preserve">penting karena menyebabkan </w:t>
      </w:r>
      <w:proofErr w:type="spellStart"/>
      <w:r w:rsidR="000F0C3B" w:rsidRPr="007720BC">
        <w:rPr>
          <w:rStyle w:val="rynqvb"/>
          <w:rFonts w:ascii="Times New Roman" w:hAnsi="Times New Roman" w:cs="Times New Roman"/>
          <w:b w:val="0"/>
          <w:bCs w:val="0"/>
          <w:sz w:val="24"/>
          <w:szCs w:val="24"/>
          <w:lang w:val="en-US"/>
        </w:rPr>
        <w:t>berbagai</w:t>
      </w:r>
      <w:proofErr w:type="spellEnd"/>
      <w:r w:rsidR="000F0C3B" w:rsidRPr="007720BC">
        <w:rPr>
          <w:rStyle w:val="rynqvb"/>
          <w:rFonts w:ascii="Times New Roman" w:hAnsi="Times New Roman" w:cs="Times New Roman"/>
          <w:b w:val="0"/>
          <w:bCs w:val="0"/>
          <w:sz w:val="24"/>
          <w:szCs w:val="24"/>
          <w:lang w:val="en-US"/>
        </w:rPr>
        <w:t xml:space="preserve"> </w:t>
      </w:r>
      <w:r w:rsidR="000F0C3B" w:rsidRPr="007720BC">
        <w:rPr>
          <w:rStyle w:val="rynqvb"/>
          <w:rFonts w:ascii="Times New Roman" w:hAnsi="Times New Roman" w:cs="Times New Roman"/>
          <w:b w:val="0"/>
          <w:bCs w:val="0"/>
          <w:sz w:val="24"/>
          <w:szCs w:val="24"/>
          <w:lang w:val="id-ID"/>
        </w:rPr>
        <w:t xml:space="preserve">konsekuensi </w:t>
      </w:r>
      <w:r w:rsidR="00036E25" w:rsidRPr="007720BC">
        <w:rPr>
          <w:rStyle w:val="rynqvb"/>
          <w:rFonts w:ascii="Times New Roman" w:hAnsi="Times New Roman" w:cs="Times New Roman"/>
          <w:b w:val="0"/>
          <w:bCs w:val="0"/>
          <w:sz w:val="24"/>
          <w:szCs w:val="24"/>
          <w:lang w:val="en-US"/>
        </w:rPr>
        <w:t xml:space="preserve">yang sangat </w:t>
      </w:r>
      <w:r w:rsidR="000F0C3B" w:rsidRPr="007720BC">
        <w:rPr>
          <w:rStyle w:val="rynqvb"/>
          <w:rFonts w:ascii="Times New Roman" w:hAnsi="Times New Roman" w:cs="Times New Roman"/>
          <w:b w:val="0"/>
          <w:bCs w:val="0"/>
          <w:sz w:val="24"/>
          <w:szCs w:val="24"/>
          <w:lang w:val="id-ID"/>
        </w:rPr>
        <w:t xml:space="preserve">buruk </w:t>
      </w:r>
      <w:proofErr w:type="spellStart"/>
      <w:r w:rsidR="00036E25" w:rsidRPr="007720BC">
        <w:rPr>
          <w:rStyle w:val="rynqvb"/>
          <w:rFonts w:ascii="Times New Roman" w:hAnsi="Times New Roman" w:cs="Times New Roman"/>
          <w:b w:val="0"/>
          <w:bCs w:val="0"/>
          <w:sz w:val="24"/>
          <w:szCs w:val="24"/>
          <w:lang w:val="en-US"/>
        </w:rPr>
        <w:t>bagi</w:t>
      </w:r>
      <w:proofErr w:type="spellEnd"/>
      <w:r w:rsidR="000F0C3B" w:rsidRPr="007720BC">
        <w:rPr>
          <w:rStyle w:val="rynqvb"/>
          <w:rFonts w:ascii="Times New Roman" w:hAnsi="Times New Roman" w:cs="Times New Roman"/>
          <w:b w:val="0"/>
          <w:bCs w:val="0"/>
          <w:sz w:val="24"/>
          <w:szCs w:val="24"/>
          <w:lang w:val="id-ID"/>
        </w:rPr>
        <w:t xml:space="preserve"> kesehatan anak</w:t>
      </w:r>
      <w:r w:rsidR="000F0C3B" w:rsidRPr="007720BC">
        <w:rPr>
          <w:rStyle w:val="rynqvb"/>
          <w:rFonts w:ascii="Times New Roman" w:hAnsi="Times New Roman" w:cs="Times New Roman"/>
          <w:b w:val="0"/>
          <w:bCs w:val="0"/>
          <w:sz w:val="24"/>
          <w:szCs w:val="24"/>
          <w:lang w:val="en-US"/>
        </w:rPr>
        <w:t xml:space="preserve"> </w:t>
      </w:r>
      <w:r w:rsidR="000F0C3B" w:rsidRPr="007720BC">
        <w:rPr>
          <w:rStyle w:val="rynqvb"/>
          <w:rFonts w:ascii="Times New Roman" w:hAnsi="Times New Roman" w:cs="Times New Roman"/>
          <w:b w:val="0"/>
          <w:bCs w:val="0"/>
          <w:sz w:val="24"/>
          <w:szCs w:val="24"/>
          <w:lang w:val="en-US"/>
        </w:rPr>
        <w:fldChar w:fldCharType="begin" w:fldLock="1"/>
      </w:r>
      <w:r w:rsidR="000033AC" w:rsidRPr="007720BC">
        <w:rPr>
          <w:rStyle w:val="rynqvb"/>
          <w:rFonts w:ascii="Times New Roman" w:hAnsi="Times New Roman" w:cs="Times New Roman"/>
          <w:b w:val="0"/>
          <w:bCs w:val="0"/>
          <w:sz w:val="24"/>
          <w:szCs w:val="24"/>
          <w:lang w:val="en-US"/>
        </w:rPr>
        <w:instrText>ADDIN CSL_CITATION {"citationItems":[{"id":"ITEM-1","itemData":{"DOI":"10.1177/21582440221096127","ISBN":"2158244022109","ISSN":"21582440","abstract":"Stunting is an important issue as it leads to many adverse consequences on children’s health. Pakistan is in public health crisis due to higher stunting rates in children. World Health Organization entails the prevalence of stunting to be less than 2.5% in a healthy population, but every third child is stunted in Punjab (largest province of Pakistan by area and population). By using the Multiple Indicator Cluster Survey (MICS) Punjab, 2018 and employing multilevel logistic regression analyses, this study finds that children whose mothers are educated and have better access to drinking water and antenatal care have lower odds of stunting. Access to better and accessible health care, education especially of girls/women, and clean water can reduce stunting in children. The government needs to give special attention to these factors to help children grow healthy.","author":[{"dropping-particle":"","family":"Haq","given":"Wajiha","non-dropping-particle":"","parse-names":false,"suffix":""},{"dropping-particle":"","family":"Abbas","given":"Faisal","non-dropping-particle":"","parse-names":false,"suffix":""}],"container-title":"SAGE Open","id":"ITEM-1","issue":"2","issued":{"date-parts":[["2022"]]},"title":"A Multilevel Analysis of Factors Associated With Stunting in Children Less Than 2 years Using Multiple Indicator Cluster Survey (MICS) 2017–18 of Punjab, Pakistan","type":"article-journal","volume":"12"},"uris":["http://www.mendeley.com/documents/?uuid=0394a24b-2875-4362-8bdb-f188511028ab"]}],"mendeley":{"formattedCitation":"(Haq dan Abbas 2022)","plainTextFormattedCitation":"(Haq dan Abbas 2022)","previouslyFormattedCitation":"(Haq dan Abbas 2022)"},"properties":{"noteIndex":0},"schema":"https://github.com/citation-style-language/schema/raw/master/csl-citation.json"}</w:instrText>
      </w:r>
      <w:r w:rsidR="000F0C3B" w:rsidRPr="007720BC">
        <w:rPr>
          <w:rStyle w:val="rynqvb"/>
          <w:rFonts w:ascii="Times New Roman" w:hAnsi="Times New Roman" w:cs="Times New Roman"/>
          <w:b w:val="0"/>
          <w:bCs w:val="0"/>
          <w:sz w:val="24"/>
          <w:szCs w:val="24"/>
          <w:lang w:val="en-US"/>
        </w:rPr>
        <w:fldChar w:fldCharType="separate"/>
      </w:r>
      <w:r w:rsidR="000F0C3B" w:rsidRPr="007720BC">
        <w:rPr>
          <w:rStyle w:val="rynqvb"/>
          <w:rFonts w:ascii="Times New Roman" w:hAnsi="Times New Roman" w:cs="Times New Roman"/>
          <w:b w:val="0"/>
          <w:bCs w:val="0"/>
          <w:noProof/>
          <w:sz w:val="24"/>
          <w:szCs w:val="24"/>
          <w:lang w:val="en-US"/>
        </w:rPr>
        <w:t>(Haq dan Abbas 2022)</w:t>
      </w:r>
      <w:r w:rsidR="000F0C3B" w:rsidRPr="007720BC">
        <w:rPr>
          <w:rStyle w:val="rynqvb"/>
          <w:rFonts w:ascii="Times New Roman" w:hAnsi="Times New Roman" w:cs="Times New Roman"/>
          <w:b w:val="0"/>
          <w:bCs w:val="0"/>
          <w:sz w:val="24"/>
          <w:szCs w:val="24"/>
          <w:lang w:val="en-US"/>
        </w:rPr>
        <w:fldChar w:fldCharType="end"/>
      </w:r>
      <w:r w:rsidR="000F0C3B" w:rsidRPr="007720BC">
        <w:rPr>
          <w:rStyle w:val="rynqvb"/>
          <w:rFonts w:ascii="Times New Roman" w:hAnsi="Times New Roman" w:cs="Times New Roman"/>
          <w:b w:val="0"/>
          <w:bCs w:val="0"/>
          <w:sz w:val="24"/>
          <w:szCs w:val="24"/>
          <w:lang w:val="en-US"/>
        </w:rPr>
        <w:t xml:space="preserve">. </w:t>
      </w:r>
      <w:r w:rsidRPr="007720BC">
        <w:rPr>
          <w:rFonts w:ascii="Times New Roman" w:hAnsi="Times New Roman" w:cs="Times New Roman"/>
          <w:b w:val="0"/>
          <w:bCs w:val="0"/>
          <w:sz w:val="24"/>
          <w:szCs w:val="24"/>
          <w:lang w:val="en-US"/>
        </w:rPr>
        <w:t xml:space="preserve">Stunting </w:t>
      </w:r>
      <w:proofErr w:type="spellStart"/>
      <w:r w:rsidRPr="007720BC">
        <w:rPr>
          <w:rFonts w:ascii="Times New Roman" w:hAnsi="Times New Roman" w:cs="Times New Roman"/>
          <w:b w:val="0"/>
          <w:bCs w:val="0"/>
          <w:sz w:val="24"/>
          <w:szCs w:val="24"/>
          <w:lang w:val="en-US"/>
        </w:rPr>
        <w:t>merupakan</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suatu</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kondisi</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dimana</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pertumbuhan</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anak</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tidak</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sesuai</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dengan</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waktunya</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atau</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pertumbuhannya</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lebih</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pendek</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dari</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anak</w:t>
      </w:r>
      <w:proofErr w:type="spellEnd"/>
      <w:r w:rsidRPr="007720BC">
        <w:rPr>
          <w:rFonts w:ascii="Times New Roman" w:hAnsi="Times New Roman" w:cs="Times New Roman"/>
          <w:b w:val="0"/>
          <w:bCs w:val="0"/>
          <w:sz w:val="24"/>
          <w:szCs w:val="24"/>
          <w:lang w:val="en-US"/>
        </w:rPr>
        <w:t xml:space="preserve"> pada </w:t>
      </w:r>
      <w:proofErr w:type="spellStart"/>
      <w:r w:rsidRPr="007720BC">
        <w:rPr>
          <w:rFonts w:ascii="Times New Roman" w:hAnsi="Times New Roman" w:cs="Times New Roman"/>
          <w:b w:val="0"/>
          <w:bCs w:val="0"/>
          <w:sz w:val="24"/>
          <w:szCs w:val="24"/>
          <w:lang w:val="en-US"/>
        </w:rPr>
        <w:t>usia</w:t>
      </w:r>
      <w:proofErr w:type="spellEnd"/>
      <w:r w:rsidRPr="007720BC">
        <w:rPr>
          <w:rFonts w:ascii="Times New Roman" w:hAnsi="Times New Roman" w:cs="Times New Roman"/>
          <w:b w:val="0"/>
          <w:bCs w:val="0"/>
          <w:sz w:val="24"/>
          <w:szCs w:val="24"/>
          <w:lang w:val="en-US"/>
        </w:rPr>
        <w:t xml:space="preserve"> yang</w:t>
      </w:r>
      <w:r w:rsidR="0079552B" w:rsidRPr="007720BC">
        <w:rPr>
          <w:rFonts w:ascii="Times New Roman" w:hAnsi="Times New Roman" w:cs="Times New Roman"/>
          <w:b w:val="0"/>
          <w:bCs w:val="0"/>
          <w:sz w:val="24"/>
          <w:szCs w:val="24"/>
          <w:lang w:val="en-US"/>
        </w:rPr>
        <w:t xml:space="preserve"> </w:t>
      </w:r>
      <w:proofErr w:type="spellStart"/>
      <w:r w:rsidR="0079552B" w:rsidRPr="007720BC">
        <w:rPr>
          <w:rFonts w:ascii="Times New Roman" w:hAnsi="Times New Roman" w:cs="Times New Roman"/>
          <w:b w:val="0"/>
          <w:bCs w:val="0"/>
          <w:sz w:val="24"/>
          <w:szCs w:val="24"/>
          <w:lang w:val="en-US"/>
        </w:rPr>
        <w:t>sama</w:t>
      </w:r>
      <w:proofErr w:type="spellEnd"/>
      <w:r w:rsidR="0079552B" w:rsidRPr="007720BC">
        <w:rPr>
          <w:rFonts w:ascii="Times New Roman" w:hAnsi="Times New Roman" w:cs="Times New Roman"/>
          <w:b w:val="0"/>
          <w:bCs w:val="0"/>
          <w:sz w:val="24"/>
          <w:szCs w:val="24"/>
          <w:lang w:val="en-US"/>
        </w:rPr>
        <w:t xml:space="preserve"> dan</w:t>
      </w:r>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tidak</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sesuai</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dengan</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standar</w:t>
      </w:r>
      <w:proofErr w:type="spellEnd"/>
      <w:r w:rsidRPr="007720BC">
        <w:rPr>
          <w:rFonts w:ascii="Times New Roman" w:hAnsi="Times New Roman" w:cs="Times New Roman"/>
          <w:b w:val="0"/>
          <w:bCs w:val="0"/>
          <w:sz w:val="24"/>
          <w:szCs w:val="24"/>
          <w:lang w:val="en-US"/>
        </w:rPr>
        <w:t xml:space="preserve"> yang </w:t>
      </w:r>
      <w:proofErr w:type="spellStart"/>
      <w:r w:rsidRPr="007720BC">
        <w:rPr>
          <w:rFonts w:ascii="Times New Roman" w:hAnsi="Times New Roman" w:cs="Times New Roman"/>
          <w:b w:val="0"/>
          <w:bCs w:val="0"/>
          <w:sz w:val="24"/>
          <w:szCs w:val="24"/>
          <w:lang w:val="en-US"/>
        </w:rPr>
        <w:t>ditetapkan</w:t>
      </w:r>
      <w:proofErr w:type="spellEnd"/>
      <w:r w:rsidRPr="007720BC">
        <w:rPr>
          <w:rFonts w:ascii="Times New Roman" w:hAnsi="Times New Roman" w:cs="Times New Roman"/>
          <w:b w:val="0"/>
          <w:bCs w:val="0"/>
          <w:sz w:val="24"/>
          <w:szCs w:val="24"/>
          <w:lang w:val="en-US"/>
        </w:rPr>
        <w:t xml:space="preserve"> </w:t>
      </w:r>
      <w:r w:rsidRPr="007720BC">
        <w:rPr>
          <w:rFonts w:ascii="Times New Roman" w:hAnsi="Times New Roman" w:cs="Times New Roman"/>
          <w:b w:val="0"/>
          <w:bCs w:val="0"/>
          <w:sz w:val="24"/>
          <w:szCs w:val="24"/>
          <w:lang w:val="en-US"/>
        </w:rPr>
        <w:fldChar w:fldCharType="begin" w:fldLock="1"/>
      </w:r>
      <w:r w:rsidRPr="007720BC">
        <w:rPr>
          <w:rFonts w:ascii="Times New Roman" w:hAnsi="Times New Roman" w:cs="Times New Roman"/>
          <w:b w:val="0"/>
          <w:bCs w:val="0"/>
          <w:sz w:val="24"/>
          <w:szCs w:val="24"/>
          <w:lang w:val="en-US"/>
        </w:rPr>
        <w:instrText>ADDIN CSL_CITATION {"citationItems":[{"id":"ITEM-1","itemData":{"DOI":"10.1111/apa.14929","ISSN":"16512227","PMID":"31283046","abstract":"Aim: This paper aimed to analyse the association between small for size at birth, stunting, recovery from stunting and pubertal development in a rural Bangladeshi cohort. Methods: The participants were 994 girls and 987 boys whose mothers participated in the Maternal and Infant Nutrition Interventions in Matlab trial. The birth cohort was followed from birth to puberty 2001-2017. Pubertal development according to Tanner was self-assessed. Age at menarche was determined and in boys, consecutive height measurements were used to ascertain whether pubertal growth spurt had started. The exposures and outcomes were modelled by Cox’s proportional hazards analyses and logistic regression. Results: There was no difference in age at menarche between girls that were small or appropriate for gestational age at birth. Boys born small for gestational age entered their pubertal growth spurt later than those with appropriate weight. Children who were stunted had later pubertal development, age at menarche and onset of growth spurt than non-stunted children. Children who recovered from infant or early childhood stunting had similar pubertal development as non-stunted children. Conclusion: Infant and childhood stunting was associated with a later pubertal development. Recovery from stunting was not associated with earlier puberty in comparison with non-stunted children.","author":[{"dropping-particle":"","family":"Svefors","given":"Pernilla","non-dropping-particle":"","parse-names":false,"suffix":""},{"dropping-particle":"","family":"Pervin","given":"Jesmin","non-dropping-particle":"","parse-names":false,"suffix":""},{"dropping-particle":"","family":"Islam Khan","given":"Ashraful","non-dropping-particle":"","parse-names":false,"suffix":""},{"dropping-particle":"","family":"Rahman","given":"Anisur","non-dropping-particle":"","parse-names":false,"suffix":""},{"dropping-particle":"","family":"Ekström","given":"Eva Charlotte","non-dropping-particle":"","parse-names":false,"suffix":""},{"dropping-particle":"","family":"Arifeen","given":"Shams","non-dropping-particle":"El","parse-names":false,"suffix":""},{"dropping-particle":"","family":"Ekholm Selling","given":"Katarina","non-dropping-particle":"","parse-names":false,"suffix":""},{"dropping-particle":"","family":"Persson","given":"Lars Åke","non-dropping-particle":"","parse-names":false,"suffix":""}],"container-title":"Acta Paediatrica, International Journal of Paediatrics","id":"ITEM-1","issue":"1","issued":{"date-parts":[["2020"]]},"page":"122-133","title":"Stunting, recovery from stunting and puberty development in the MINIMat cohort, Bangladesh","type":"article-journal","volume":"109"},"uris":["http://www.mendeley.com/documents/?uuid=9f99fb6e-c440-4d74-bc9f-f9ee598f22aa"]}],"mendeley":{"formattedCitation":"(Svefors et al. 2020)","plainTextFormattedCitation":"(Svefors et al. 2020)","previouslyFormattedCitation":"(Svefors et al. 2020)"},"properties":{"noteIndex":0},"schema":"https://github.com/citation-style-language/schema/raw/master/csl-citation.json"}</w:instrText>
      </w:r>
      <w:r w:rsidRPr="007720BC">
        <w:rPr>
          <w:rFonts w:ascii="Times New Roman" w:hAnsi="Times New Roman" w:cs="Times New Roman"/>
          <w:b w:val="0"/>
          <w:bCs w:val="0"/>
          <w:sz w:val="24"/>
          <w:szCs w:val="24"/>
          <w:lang w:val="en-US"/>
        </w:rPr>
        <w:fldChar w:fldCharType="separate"/>
      </w:r>
      <w:r w:rsidRPr="007720BC">
        <w:rPr>
          <w:rFonts w:ascii="Times New Roman" w:hAnsi="Times New Roman" w:cs="Times New Roman"/>
          <w:b w:val="0"/>
          <w:bCs w:val="0"/>
          <w:noProof/>
          <w:sz w:val="24"/>
          <w:szCs w:val="24"/>
          <w:lang w:val="en-US"/>
        </w:rPr>
        <w:t>(Svefors et al. 2020)</w:t>
      </w:r>
      <w:r w:rsidRPr="007720BC">
        <w:rPr>
          <w:rFonts w:ascii="Times New Roman" w:hAnsi="Times New Roman" w:cs="Times New Roman"/>
          <w:b w:val="0"/>
          <w:bCs w:val="0"/>
          <w:sz w:val="24"/>
          <w:szCs w:val="24"/>
          <w:lang w:val="en-US"/>
        </w:rPr>
        <w:fldChar w:fldCharType="end"/>
      </w:r>
      <w:r w:rsidRPr="007720BC">
        <w:rPr>
          <w:rFonts w:ascii="Times New Roman" w:hAnsi="Times New Roman" w:cs="Times New Roman"/>
          <w:b w:val="0"/>
          <w:bCs w:val="0"/>
          <w:sz w:val="24"/>
          <w:szCs w:val="24"/>
          <w:lang w:val="en-US"/>
        </w:rPr>
        <w:t>.</w:t>
      </w:r>
      <w:r w:rsidR="0005519A" w:rsidRPr="007720BC">
        <w:rPr>
          <w:rFonts w:ascii="Times New Roman" w:hAnsi="Times New Roman" w:cs="Times New Roman"/>
          <w:b w:val="0"/>
          <w:bCs w:val="0"/>
          <w:sz w:val="24"/>
          <w:szCs w:val="24"/>
          <w:lang w:val="en-US"/>
        </w:rPr>
        <w:t xml:space="preserve"> </w:t>
      </w:r>
      <w:r w:rsidR="002502A2" w:rsidRPr="007720BC">
        <w:rPr>
          <w:rFonts w:ascii="Times New Roman" w:hAnsi="Times New Roman" w:cs="Times New Roman"/>
          <w:b w:val="0"/>
          <w:bCs w:val="0"/>
          <w:sz w:val="24"/>
          <w:szCs w:val="24"/>
          <w:lang w:val="en-US"/>
        </w:rPr>
        <w:t xml:space="preserve">Hal </w:t>
      </w:r>
      <w:proofErr w:type="spellStart"/>
      <w:r w:rsidR="002502A2" w:rsidRPr="007720BC">
        <w:rPr>
          <w:rFonts w:ascii="Times New Roman" w:hAnsi="Times New Roman" w:cs="Times New Roman"/>
          <w:b w:val="0"/>
          <w:bCs w:val="0"/>
          <w:sz w:val="24"/>
          <w:szCs w:val="24"/>
          <w:lang w:val="en-US"/>
        </w:rPr>
        <w:t>ini</w:t>
      </w:r>
      <w:proofErr w:type="spellEnd"/>
      <w:r w:rsidR="002502A2" w:rsidRPr="007720BC">
        <w:rPr>
          <w:rFonts w:ascii="Times New Roman" w:hAnsi="Times New Roman" w:cs="Times New Roman"/>
          <w:b w:val="0"/>
          <w:bCs w:val="0"/>
          <w:sz w:val="24"/>
          <w:szCs w:val="24"/>
          <w:lang w:val="en-US"/>
        </w:rPr>
        <w:t xml:space="preserve"> </w:t>
      </w:r>
      <w:proofErr w:type="spellStart"/>
      <w:r w:rsidR="002502A2" w:rsidRPr="007720BC">
        <w:rPr>
          <w:rFonts w:ascii="Times New Roman" w:hAnsi="Times New Roman" w:cs="Times New Roman"/>
          <w:b w:val="0"/>
          <w:bCs w:val="0"/>
          <w:sz w:val="24"/>
          <w:szCs w:val="24"/>
          <w:lang w:val="en-US"/>
        </w:rPr>
        <w:t>disebabkan</w:t>
      </w:r>
      <w:proofErr w:type="spellEnd"/>
      <w:r w:rsidR="002502A2" w:rsidRPr="007720BC">
        <w:rPr>
          <w:rFonts w:ascii="Times New Roman" w:hAnsi="Times New Roman" w:cs="Times New Roman"/>
          <w:b w:val="0"/>
          <w:bCs w:val="0"/>
          <w:sz w:val="24"/>
          <w:szCs w:val="24"/>
          <w:lang w:val="en-US"/>
        </w:rPr>
        <w:t xml:space="preserve"> </w:t>
      </w:r>
      <w:proofErr w:type="spellStart"/>
      <w:r w:rsidR="002502A2" w:rsidRPr="007720BC">
        <w:rPr>
          <w:rFonts w:ascii="Times New Roman" w:hAnsi="Times New Roman" w:cs="Times New Roman"/>
          <w:b w:val="0"/>
          <w:bCs w:val="0"/>
          <w:sz w:val="24"/>
          <w:szCs w:val="24"/>
          <w:lang w:val="en-US"/>
        </w:rPr>
        <w:t>karena</w:t>
      </w:r>
      <w:proofErr w:type="spellEnd"/>
      <w:r w:rsidR="002502A2" w:rsidRPr="007720BC">
        <w:rPr>
          <w:rFonts w:ascii="Times New Roman" w:hAnsi="Times New Roman" w:cs="Times New Roman"/>
          <w:b w:val="0"/>
          <w:bCs w:val="0"/>
          <w:sz w:val="24"/>
          <w:szCs w:val="24"/>
          <w:lang w:val="en-US"/>
        </w:rPr>
        <w:t xml:space="preserve"> </w:t>
      </w:r>
      <w:proofErr w:type="spellStart"/>
      <w:r w:rsidR="002502A2" w:rsidRPr="007720BC">
        <w:rPr>
          <w:rFonts w:ascii="Times New Roman" w:hAnsi="Times New Roman" w:cs="Times New Roman"/>
          <w:b w:val="0"/>
          <w:bCs w:val="0"/>
          <w:sz w:val="24"/>
          <w:szCs w:val="24"/>
          <w:lang w:val="en-US"/>
        </w:rPr>
        <w:t>pertumbuhan</w:t>
      </w:r>
      <w:proofErr w:type="spellEnd"/>
      <w:r w:rsidR="002502A2" w:rsidRPr="007720BC">
        <w:rPr>
          <w:rFonts w:ascii="Times New Roman" w:hAnsi="Times New Roman" w:cs="Times New Roman"/>
          <w:b w:val="0"/>
          <w:bCs w:val="0"/>
          <w:sz w:val="24"/>
          <w:szCs w:val="24"/>
          <w:lang w:val="en-US"/>
        </w:rPr>
        <w:t xml:space="preserve"> </w:t>
      </w:r>
      <w:proofErr w:type="spellStart"/>
      <w:r w:rsidR="002502A2" w:rsidRPr="007720BC">
        <w:rPr>
          <w:rFonts w:ascii="Times New Roman" w:hAnsi="Times New Roman" w:cs="Times New Roman"/>
          <w:b w:val="0"/>
          <w:bCs w:val="0"/>
          <w:sz w:val="24"/>
          <w:szCs w:val="24"/>
          <w:lang w:val="en-US"/>
        </w:rPr>
        <w:t>merupakan</w:t>
      </w:r>
      <w:proofErr w:type="spellEnd"/>
      <w:r w:rsidR="002502A2" w:rsidRPr="007720BC">
        <w:rPr>
          <w:rFonts w:ascii="Times New Roman" w:hAnsi="Times New Roman" w:cs="Times New Roman"/>
          <w:b w:val="0"/>
          <w:bCs w:val="0"/>
          <w:sz w:val="24"/>
          <w:szCs w:val="24"/>
          <w:lang w:val="en-US"/>
        </w:rPr>
        <w:t xml:space="preserve"> </w:t>
      </w:r>
      <w:proofErr w:type="spellStart"/>
      <w:r w:rsidR="002502A2" w:rsidRPr="007720BC">
        <w:rPr>
          <w:rFonts w:ascii="Times New Roman" w:hAnsi="Times New Roman" w:cs="Times New Roman"/>
          <w:b w:val="0"/>
          <w:bCs w:val="0"/>
          <w:sz w:val="24"/>
          <w:szCs w:val="24"/>
          <w:lang w:val="en-US"/>
        </w:rPr>
        <w:t>indikator</w:t>
      </w:r>
      <w:proofErr w:type="spellEnd"/>
      <w:r w:rsidR="002502A2" w:rsidRPr="007720BC">
        <w:rPr>
          <w:rFonts w:ascii="Times New Roman" w:hAnsi="Times New Roman" w:cs="Times New Roman"/>
          <w:b w:val="0"/>
          <w:bCs w:val="0"/>
          <w:sz w:val="24"/>
          <w:szCs w:val="24"/>
          <w:lang w:val="en-US"/>
        </w:rPr>
        <w:t xml:space="preserve"> </w:t>
      </w:r>
      <w:proofErr w:type="spellStart"/>
      <w:r w:rsidR="002502A2" w:rsidRPr="007720BC">
        <w:rPr>
          <w:rFonts w:ascii="Times New Roman" w:hAnsi="Times New Roman" w:cs="Times New Roman"/>
          <w:b w:val="0"/>
          <w:bCs w:val="0"/>
          <w:sz w:val="24"/>
          <w:szCs w:val="24"/>
          <w:lang w:val="en-US"/>
        </w:rPr>
        <w:t>utama</w:t>
      </w:r>
      <w:proofErr w:type="spellEnd"/>
      <w:r w:rsidR="002502A2" w:rsidRPr="007720BC">
        <w:rPr>
          <w:rFonts w:ascii="Times New Roman" w:hAnsi="Times New Roman" w:cs="Times New Roman"/>
          <w:b w:val="0"/>
          <w:bCs w:val="0"/>
          <w:sz w:val="24"/>
          <w:szCs w:val="24"/>
          <w:lang w:val="en-US"/>
        </w:rPr>
        <w:t xml:space="preserve"> yang </w:t>
      </w:r>
      <w:proofErr w:type="spellStart"/>
      <w:r w:rsidR="002502A2" w:rsidRPr="007720BC">
        <w:rPr>
          <w:rFonts w:ascii="Times New Roman" w:hAnsi="Times New Roman" w:cs="Times New Roman"/>
          <w:b w:val="0"/>
          <w:bCs w:val="0"/>
          <w:sz w:val="24"/>
          <w:szCs w:val="24"/>
          <w:lang w:val="en-US"/>
        </w:rPr>
        <w:t>berhubungan</w:t>
      </w:r>
      <w:proofErr w:type="spellEnd"/>
      <w:r w:rsidR="002502A2" w:rsidRPr="007720BC">
        <w:rPr>
          <w:rFonts w:ascii="Times New Roman" w:hAnsi="Times New Roman" w:cs="Times New Roman"/>
          <w:b w:val="0"/>
          <w:bCs w:val="0"/>
          <w:sz w:val="24"/>
          <w:szCs w:val="24"/>
          <w:lang w:val="en-US"/>
        </w:rPr>
        <w:t xml:space="preserve"> </w:t>
      </w:r>
      <w:proofErr w:type="spellStart"/>
      <w:r w:rsidR="002502A2" w:rsidRPr="007720BC">
        <w:rPr>
          <w:rFonts w:ascii="Times New Roman" w:hAnsi="Times New Roman" w:cs="Times New Roman"/>
          <w:b w:val="0"/>
          <w:bCs w:val="0"/>
          <w:sz w:val="24"/>
          <w:szCs w:val="24"/>
          <w:lang w:val="en-US"/>
        </w:rPr>
        <w:t>dengan</w:t>
      </w:r>
      <w:proofErr w:type="spellEnd"/>
      <w:r w:rsidR="002502A2" w:rsidRPr="007720BC">
        <w:rPr>
          <w:rFonts w:ascii="Times New Roman" w:hAnsi="Times New Roman" w:cs="Times New Roman"/>
          <w:b w:val="0"/>
          <w:bCs w:val="0"/>
          <w:sz w:val="24"/>
          <w:szCs w:val="24"/>
          <w:lang w:val="en-US"/>
        </w:rPr>
        <w:t xml:space="preserve"> </w:t>
      </w:r>
      <w:proofErr w:type="spellStart"/>
      <w:r w:rsidR="002502A2" w:rsidRPr="007720BC">
        <w:rPr>
          <w:rFonts w:ascii="Times New Roman" w:hAnsi="Times New Roman" w:cs="Times New Roman"/>
          <w:b w:val="0"/>
          <w:bCs w:val="0"/>
          <w:sz w:val="24"/>
          <w:szCs w:val="24"/>
          <w:lang w:val="en-US"/>
        </w:rPr>
        <w:t>tingkat</w:t>
      </w:r>
      <w:proofErr w:type="spellEnd"/>
      <w:r w:rsidR="002502A2" w:rsidRPr="007720BC">
        <w:rPr>
          <w:rFonts w:ascii="Times New Roman" w:hAnsi="Times New Roman" w:cs="Times New Roman"/>
          <w:b w:val="0"/>
          <w:bCs w:val="0"/>
          <w:sz w:val="24"/>
          <w:szCs w:val="24"/>
          <w:lang w:val="en-US"/>
        </w:rPr>
        <w:t xml:space="preserve"> </w:t>
      </w:r>
      <w:proofErr w:type="spellStart"/>
      <w:r w:rsidR="002502A2" w:rsidRPr="007720BC">
        <w:rPr>
          <w:rFonts w:ascii="Times New Roman" w:hAnsi="Times New Roman" w:cs="Times New Roman"/>
          <w:b w:val="0"/>
          <w:bCs w:val="0"/>
          <w:sz w:val="24"/>
          <w:szCs w:val="24"/>
          <w:lang w:val="en-US"/>
        </w:rPr>
        <w:t>kesehatan</w:t>
      </w:r>
      <w:proofErr w:type="spellEnd"/>
      <w:r w:rsidR="002502A2" w:rsidRPr="007720BC">
        <w:rPr>
          <w:rFonts w:ascii="Times New Roman" w:hAnsi="Times New Roman" w:cs="Times New Roman"/>
          <w:b w:val="0"/>
          <w:bCs w:val="0"/>
          <w:sz w:val="24"/>
          <w:szCs w:val="24"/>
          <w:lang w:val="en-US"/>
        </w:rPr>
        <w:t xml:space="preserve"> </w:t>
      </w:r>
      <w:proofErr w:type="spellStart"/>
      <w:r w:rsidR="002502A2" w:rsidRPr="007720BC">
        <w:rPr>
          <w:rFonts w:ascii="Times New Roman" w:hAnsi="Times New Roman" w:cs="Times New Roman"/>
          <w:b w:val="0"/>
          <w:bCs w:val="0"/>
          <w:sz w:val="24"/>
          <w:szCs w:val="24"/>
          <w:lang w:val="en-US"/>
        </w:rPr>
        <w:t>balita</w:t>
      </w:r>
      <w:proofErr w:type="spellEnd"/>
      <w:r w:rsidR="002502A2" w:rsidRPr="007720BC">
        <w:rPr>
          <w:rFonts w:ascii="Times New Roman" w:hAnsi="Times New Roman" w:cs="Times New Roman"/>
          <w:b w:val="0"/>
          <w:bCs w:val="0"/>
          <w:sz w:val="24"/>
          <w:szCs w:val="24"/>
          <w:lang w:val="en-US"/>
        </w:rPr>
        <w:t xml:space="preserve"> </w:t>
      </w:r>
      <w:r w:rsidR="002502A2" w:rsidRPr="007720BC">
        <w:rPr>
          <w:rFonts w:ascii="Times New Roman" w:hAnsi="Times New Roman" w:cs="Times New Roman"/>
          <w:b w:val="0"/>
          <w:bCs w:val="0"/>
          <w:sz w:val="24"/>
          <w:szCs w:val="24"/>
          <w:lang w:val="en-US"/>
        </w:rPr>
        <w:fldChar w:fldCharType="begin" w:fldLock="1"/>
      </w:r>
      <w:r w:rsidR="002502A2" w:rsidRPr="007720BC">
        <w:rPr>
          <w:rFonts w:ascii="Times New Roman" w:hAnsi="Times New Roman" w:cs="Times New Roman"/>
          <w:b w:val="0"/>
          <w:bCs w:val="0"/>
          <w:sz w:val="24"/>
          <w:szCs w:val="24"/>
          <w:lang w:val="en-US"/>
        </w:rPr>
        <w:instrText>ADDIN CSL_CITATION {"citationItems":[{"id":"ITEM-1","itemData":{"DOI":"10.1177/10538151211057552","ISSN":"21543992","abstract":"Universal screening and progress monitoring are evidence-based practices in early intervention/early childhood special education (EI/ECSE). Individual Growth and Development Indicators (IGDIs) for infants/toddlers are measures that programs can use for universal screening, progress monitoring, intervention decision-making, and accountability. Prior to the COVID-19 pandemic, IGDIs were administered and scored exclusively in person by certified early educators. Because of COVID-19, EI/ECSE practitioners could no longer conduct in-person assessments. We report how two early intervention programs implemented IGDIs using remote protocols that included (a) preparation of parents for IGDI administration at home, (b) session observation by program staff using videoconferencing, and (c) remote coding of the child’s performance by program staff when interacting with a parent/caregiver play partner using the standard toy set. The remote protocols are described, and uptake by the programs is compared before and during the pandemic. Equivalence of children’s scores from in-person versus remote protocols is reported, as well as caregivers’ and program staff’s preferences. Implications for remote early childhood services are discussed.","author":[{"dropping-particle":"","family":"Greenwood","given":"Charles R.","non-dropping-particle":"","parse-names":false,"suffix":""},{"dropping-particle":"","family":"Higgins","given":"Susan","non-dropping-particle":"","parse-names":false,"suffix":""},{"dropping-particle":"","family":"McKenna","given":"Meaghan","non-dropping-particle":"","parse-names":false,"suffix":""},{"dropping-particle":"","family":"Buzhardt","given":"Jay","non-dropping-particle":"","parse-names":false,"suffix":""},{"dropping-particle":"","family":"Walker","given":"Dale","non-dropping-particle":"","parse-names":false,"suffix":""},{"dropping-particle":"","family":"Ai","given":"Jun","non-dropping-particle":"","parse-names":false,"suffix":""},{"dropping-particle":"","family":"Irvin","given":"Dwight W.","non-dropping-particle":"","parse-names":false,"suffix":""},{"dropping-particle":"","family":"Grasley-Boy","given":"Nikki","non-dropping-particle":"","parse-names":false,"suffix":""}],"container-title":"Journal of Early Intervention","id":"ITEM-1","issue":"2","issued":{"date-parts":[["2022"]]},"page":"168-189","title":"Remote Use of Individual Growth and Development Indicators (IGDIs) for Infants and Toddlers","type":"article-journal","volume":"44"},"uris":["http://www.mendeley.com/documents/?uuid=de51e2dd-fbfe-4ac2-863c-b0a7652028a0"]}],"mendeley":{"formattedCitation":"(Greenwood et al. 2022)","plainTextFormattedCitation":"(Greenwood et al. 2022)","previouslyFormattedCitation":"(Greenwood et al. 2022)"},"properties":{"noteIndex":0},"schema":"https://github.com/citation-style-language/schema/raw/master/csl-citation.json"}</w:instrText>
      </w:r>
      <w:r w:rsidR="002502A2" w:rsidRPr="007720BC">
        <w:rPr>
          <w:rFonts w:ascii="Times New Roman" w:hAnsi="Times New Roman" w:cs="Times New Roman"/>
          <w:b w:val="0"/>
          <w:bCs w:val="0"/>
          <w:sz w:val="24"/>
          <w:szCs w:val="24"/>
          <w:lang w:val="en-US"/>
        </w:rPr>
        <w:fldChar w:fldCharType="separate"/>
      </w:r>
      <w:r w:rsidR="002502A2" w:rsidRPr="007720BC">
        <w:rPr>
          <w:rFonts w:ascii="Times New Roman" w:hAnsi="Times New Roman" w:cs="Times New Roman"/>
          <w:b w:val="0"/>
          <w:bCs w:val="0"/>
          <w:noProof/>
          <w:sz w:val="24"/>
          <w:szCs w:val="24"/>
          <w:lang w:val="en-US"/>
        </w:rPr>
        <w:t>(Greenwood et al. 2022)</w:t>
      </w:r>
      <w:r w:rsidR="002502A2" w:rsidRPr="007720BC">
        <w:rPr>
          <w:rFonts w:ascii="Times New Roman" w:hAnsi="Times New Roman" w:cs="Times New Roman"/>
          <w:b w:val="0"/>
          <w:bCs w:val="0"/>
          <w:sz w:val="24"/>
          <w:szCs w:val="24"/>
          <w:lang w:val="en-US"/>
        </w:rPr>
        <w:fldChar w:fldCharType="end"/>
      </w:r>
      <w:r w:rsidR="002502A2" w:rsidRPr="007720BC">
        <w:rPr>
          <w:rFonts w:ascii="Times New Roman" w:hAnsi="Times New Roman" w:cs="Times New Roman"/>
          <w:b w:val="0"/>
          <w:bCs w:val="0"/>
          <w:sz w:val="24"/>
          <w:szCs w:val="24"/>
          <w:lang w:val="en-US"/>
        </w:rPr>
        <w:t xml:space="preserve">. Salah </w:t>
      </w:r>
      <w:proofErr w:type="spellStart"/>
      <w:r w:rsidR="002502A2" w:rsidRPr="007720BC">
        <w:rPr>
          <w:rFonts w:ascii="Times New Roman" w:hAnsi="Times New Roman" w:cs="Times New Roman"/>
          <w:b w:val="0"/>
          <w:bCs w:val="0"/>
          <w:sz w:val="24"/>
          <w:szCs w:val="24"/>
          <w:lang w:val="en-US"/>
        </w:rPr>
        <w:t>satu</w:t>
      </w:r>
      <w:proofErr w:type="spellEnd"/>
      <w:r w:rsidR="002502A2" w:rsidRPr="007720BC">
        <w:rPr>
          <w:rFonts w:ascii="Times New Roman" w:hAnsi="Times New Roman" w:cs="Times New Roman"/>
          <w:b w:val="0"/>
          <w:bCs w:val="0"/>
          <w:sz w:val="24"/>
          <w:szCs w:val="24"/>
          <w:lang w:val="en-US"/>
        </w:rPr>
        <w:t xml:space="preserve"> </w:t>
      </w:r>
      <w:proofErr w:type="spellStart"/>
      <w:r w:rsidR="002502A2" w:rsidRPr="007720BC">
        <w:rPr>
          <w:rFonts w:ascii="Times New Roman" w:hAnsi="Times New Roman" w:cs="Times New Roman"/>
          <w:b w:val="0"/>
          <w:bCs w:val="0"/>
          <w:sz w:val="24"/>
          <w:szCs w:val="24"/>
          <w:lang w:val="en-US"/>
        </w:rPr>
        <w:t>dampak</w:t>
      </w:r>
      <w:proofErr w:type="spellEnd"/>
      <w:r w:rsidR="002502A2" w:rsidRPr="007720BC">
        <w:rPr>
          <w:rFonts w:ascii="Times New Roman" w:hAnsi="Times New Roman" w:cs="Times New Roman"/>
          <w:b w:val="0"/>
          <w:bCs w:val="0"/>
          <w:sz w:val="24"/>
          <w:szCs w:val="24"/>
          <w:lang w:val="en-US"/>
        </w:rPr>
        <w:t xml:space="preserve"> s</w:t>
      </w:r>
      <w:r w:rsidRPr="007720BC">
        <w:rPr>
          <w:rFonts w:ascii="Times New Roman" w:hAnsi="Times New Roman" w:cs="Times New Roman"/>
          <w:b w:val="0"/>
          <w:bCs w:val="0"/>
          <w:sz w:val="24"/>
          <w:szCs w:val="24"/>
          <w:lang w:val="en-US"/>
        </w:rPr>
        <w:t xml:space="preserve">tunting </w:t>
      </w:r>
      <w:r w:rsidR="002502A2" w:rsidRPr="007720BC">
        <w:rPr>
          <w:rFonts w:ascii="Times New Roman" w:hAnsi="Times New Roman" w:cs="Times New Roman"/>
          <w:b w:val="0"/>
          <w:bCs w:val="0"/>
          <w:sz w:val="24"/>
          <w:szCs w:val="24"/>
          <w:lang w:val="en-US"/>
        </w:rPr>
        <w:t xml:space="preserve">pada </w:t>
      </w:r>
      <w:proofErr w:type="spellStart"/>
      <w:r w:rsidR="002502A2" w:rsidRPr="007720BC">
        <w:rPr>
          <w:rFonts w:ascii="Times New Roman" w:hAnsi="Times New Roman" w:cs="Times New Roman"/>
          <w:b w:val="0"/>
          <w:bCs w:val="0"/>
          <w:sz w:val="24"/>
          <w:szCs w:val="24"/>
          <w:lang w:val="en-US"/>
        </w:rPr>
        <w:t>anak</w:t>
      </w:r>
      <w:proofErr w:type="spellEnd"/>
      <w:r w:rsidR="002502A2" w:rsidRPr="007720BC">
        <w:rPr>
          <w:rFonts w:ascii="Times New Roman" w:hAnsi="Times New Roman" w:cs="Times New Roman"/>
          <w:b w:val="0"/>
          <w:bCs w:val="0"/>
          <w:sz w:val="24"/>
          <w:szCs w:val="24"/>
          <w:lang w:val="en-US"/>
        </w:rPr>
        <w:t xml:space="preserve"> </w:t>
      </w:r>
      <w:proofErr w:type="spellStart"/>
      <w:r w:rsidR="002502A2" w:rsidRPr="007720BC">
        <w:rPr>
          <w:rFonts w:ascii="Times New Roman" w:hAnsi="Times New Roman" w:cs="Times New Roman"/>
          <w:b w:val="0"/>
          <w:bCs w:val="0"/>
          <w:sz w:val="24"/>
          <w:szCs w:val="24"/>
          <w:lang w:val="en-US"/>
        </w:rPr>
        <w:t>yaitu</w:t>
      </w:r>
      <w:proofErr w:type="spellEnd"/>
      <w:r w:rsidR="002502A2"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dapat</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mempengaruhi</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tingkat</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kecerdasa</w:t>
      </w:r>
      <w:r w:rsidR="002502A2" w:rsidRPr="007720BC">
        <w:rPr>
          <w:rFonts w:ascii="Times New Roman" w:hAnsi="Times New Roman" w:cs="Times New Roman"/>
          <w:b w:val="0"/>
          <w:bCs w:val="0"/>
          <w:sz w:val="24"/>
          <w:szCs w:val="24"/>
          <w:lang w:val="en-US"/>
        </w:rPr>
        <w:t>nnya</w:t>
      </w:r>
      <w:proofErr w:type="spellEnd"/>
      <w:r w:rsidRPr="007720BC">
        <w:rPr>
          <w:rFonts w:ascii="Times New Roman" w:hAnsi="Times New Roman" w:cs="Times New Roman"/>
          <w:b w:val="0"/>
          <w:bCs w:val="0"/>
          <w:sz w:val="24"/>
          <w:szCs w:val="24"/>
          <w:lang w:val="en-US"/>
        </w:rPr>
        <w:t xml:space="preserve"> </w:t>
      </w:r>
      <w:proofErr w:type="spellStart"/>
      <w:r w:rsidR="002502A2" w:rsidRPr="007720BC">
        <w:rPr>
          <w:rFonts w:ascii="Times New Roman" w:hAnsi="Times New Roman" w:cs="Times New Roman"/>
          <w:b w:val="0"/>
          <w:bCs w:val="0"/>
          <w:sz w:val="24"/>
          <w:szCs w:val="24"/>
          <w:lang w:val="en-US"/>
        </w:rPr>
        <w:t>di</w:t>
      </w:r>
      <w:r w:rsidRPr="007720BC">
        <w:rPr>
          <w:rFonts w:ascii="Times New Roman" w:hAnsi="Times New Roman" w:cs="Times New Roman"/>
          <w:b w:val="0"/>
          <w:bCs w:val="0"/>
          <w:sz w:val="24"/>
          <w:szCs w:val="24"/>
          <w:lang w:val="en-US"/>
        </w:rPr>
        <w:t>kemudian</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hari</w:t>
      </w:r>
      <w:proofErr w:type="spellEnd"/>
      <w:r w:rsidRPr="007720BC">
        <w:rPr>
          <w:rFonts w:ascii="Times New Roman" w:hAnsi="Times New Roman" w:cs="Times New Roman"/>
          <w:b w:val="0"/>
          <w:bCs w:val="0"/>
          <w:sz w:val="24"/>
          <w:szCs w:val="24"/>
          <w:lang w:val="en-US"/>
        </w:rPr>
        <w:t xml:space="preserve"> </w:t>
      </w:r>
      <w:r w:rsidR="00036E25" w:rsidRPr="007720BC">
        <w:rPr>
          <w:rFonts w:ascii="Times New Roman" w:hAnsi="Times New Roman" w:cs="Times New Roman"/>
          <w:b w:val="0"/>
          <w:bCs w:val="0"/>
          <w:sz w:val="24"/>
          <w:szCs w:val="24"/>
          <w:lang w:val="en-US"/>
        </w:rPr>
        <w:t xml:space="preserve">dan </w:t>
      </w:r>
      <w:proofErr w:type="spellStart"/>
      <w:r w:rsidRPr="007720BC">
        <w:rPr>
          <w:rFonts w:ascii="Times New Roman" w:hAnsi="Times New Roman" w:cs="Times New Roman"/>
          <w:b w:val="0"/>
          <w:bCs w:val="0"/>
          <w:sz w:val="24"/>
          <w:szCs w:val="24"/>
          <w:lang w:val="en-US"/>
        </w:rPr>
        <w:t>cenderung</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lebih</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rendah</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dari</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anak</w:t>
      </w:r>
      <w:proofErr w:type="spellEnd"/>
      <w:r w:rsidRPr="007720BC">
        <w:rPr>
          <w:rFonts w:ascii="Times New Roman" w:hAnsi="Times New Roman" w:cs="Times New Roman"/>
          <w:b w:val="0"/>
          <w:bCs w:val="0"/>
          <w:sz w:val="24"/>
          <w:szCs w:val="24"/>
          <w:lang w:val="en-US"/>
        </w:rPr>
        <w:t xml:space="preserve"> normal </w:t>
      </w:r>
      <w:proofErr w:type="spellStart"/>
      <w:r w:rsidRPr="007720BC">
        <w:rPr>
          <w:rFonts w:ascii="Times New Roman" w:hAnsi="Times New Roman" w:cs="Times New Roman"/>
          <w:b w:val="0"/>
          <w:bCs w:val="0"/>
          <w:sz w:val="24"/>
          <w:szCs w:val="24"/>
          <w:lang w:val="en-US"/>
        </w:rPr>
        <w:t>seusianya</w:t>
      </w:r>
      <w:proofErr w:type="spellEnd"/>
      <w:r w:rsidRPr="007720BC">
        <w:rPr>
          <w:rFonts w:ascii="Times New Roman" w:hAnsi="Times New Roman" w:cs="Times New Roman"/>
          <w:b w:val="0"/>
          <w:bCs w:val="0"/>
          <w:sz w:val="24"/>
          <w:szCs w:val="24"/>
          <w:lang w:val="en-US"/>
        </w:rPr>
        <w:t xml:space="preserve"> </w:t>
      </w:r>
      <w:r w:rsidRPr="007720BC">
        <w:rPr>
          <w:rFonts w:ascii="Times New Roman" w:hAnsi="Times New Roman" w:cs="Times New Roman"/>
          <w:b w:val="0"/>
          <w:bCs w:val="0"/>
          <w:sz w:val="24"/>
          <w:szCs w:val="24"/>
          <w:lang w:val="en-US"/>
        </w:rPr>
        <w:fldChar w:fldCharType="begin" w:fldLock="1"/>
      </w:r>
      <w:r w:rsidRPr="007720BC">
        <w:rPr>
          <w:rFonts w:ascii="Times New Roman" w:hAnsi="Times New Roman" w:cs="Times New Roman"/>
          <w:b w:val="0"/>
          <w:bCs w:val="0"/>
          <w:sz w:val="24"/>
          <w:szCs w:val="24"/>
          <w:lang w:val="en-US"/>
        </w:rPr>
        <w:instrText>ADDIN CSL_CITATION {"citationItems":[{"id":"ITEM-1","itemData":{"DOI":"10.2991/aer.k.210825.032","abstract":"The World Health Organization for Child Growth Standards estimates that at least one in four children under five years of age fails to grow optimally according to established standards. Nutritional status on height for the period under standard or stunting is a manifestation of malnutrition and is a severe health problem. This study analyzes the relationship between stunting on the intelligence quotient (IQ) of school-age children. This research is a quantitative study with the design used as observational analytic with an unmatching case-control. The sample consisted of 75 stunting cases and 75 control cases collected in August-October 2019 in Palembang City. The stunting variable analyzes the z-score in determining the categorical nutritional status. Interviewed with the respondent's mother to measure environmental sanitation, history of infection, breastfeeding, economic status, food intake, mother and father's education. The instrument for assessing student intelligence questions used the CPM (Colored Progressive Matrics) test. From the results of statistical show a significant relationship between stunting with Intelligence Quotient (IQ) in children (p = 0.000, OR: 4,57 (95% CI:2,1733-9,6873). There are significant relationship between environment sanitation (p = 0,04 OR: 2,245 (95% CI: 0,908-5,720), economic status (p = 0,009 OR: 2,5 (95% CI: 1,189-5,333) and food intake (p = 0,005 OR: 2,82 (95% CI: 1,271-6,398) and no significant relationship between the history of infection (p = 0,841 OR: 1,181 (95% CI: 0,15-9,11), to the Intelligence Quotient (IQ) of school-age children. Children with stunting affect intelligence and have 5.2 times lower average intelligence quotient (IQ) than children who are not stunting after being controlled by confounding variables environmental sanitation, economic status, and food intake.","author":[{"dropping-particle":"","family":"Aurora","given":"Wahyu I.D.","non-dropping-particle":"","parse-names":false,"suffix":""},{"dropping-particle":"","family":"Sitorus","given":"Rico J.","non-dropping-particle":"","parse-names":false,"suffix":""},{"dropping-particle":"","family":"Flora","given":"Rostika","non-dropping-particle":"","parse-names":false,"suffix":""}],"container-title":"Proceedings of the 3rd Green Development International Conference (GDIC 2020)","id":"ITEM-1","issue":"Gdic 2020","issued":{"date-parts":[["2021"]]},"page":"176-180","title":"Effect of Stunting on Intelligence Quotient (IQ) of School-Age Children","type":"article-journal","volume":"205"},"uris":["http://www.mendeley.com/documents/?uuid=0632f7ba-fb7c-4edc-b234-f4d09e906162"]}],"mendeley":{"formattedCitation":"(Aurora, Sitorus, dan Flora 2021)","plainTextFormattedCitation":"(Aurora, Sitorus, dan Flora 2021)","previouslyFormattedCitation":"(Aurora, Sitorus, dan Flora 2021)"},"properties":{"noteIndex":0},"schema":"https://github.com/citation-style-language/schema/raw/master/csl-citation.json"}</w:instrText>
      </w:r>
      <w:r w:rsidRPr="007720BC">
        <w:rPr>
          <w:rFonts w:ascii="Times New Roman" w:hAnsi="Times New Roman" w:cs="Times New Roman"/>
          <w:b w:val="0"/>
          <w:bCs w:val="0"/>
          <w:sz w:val="24"/>
          <w:szCs w:val="24"/>
          <w:lang w:val="en-US"/>
        </w:rPr>
        <w:fldChar w:fldCharType="separate"/>
      </w:r>
      <w:r w:rsidRPr="007720BC">
        <w:rPr>
          <w:rFonts w:ascii="Times New Roman" w:hAnsi="Times New Roman" w:cs="Times New Roman"/>
          <w:b w:val="0"/>
          <w:bCs w:val="0"/>
          <w:noProof/>
          <w:sz w:val="24"/>
          <w:szCs w:val="24"/>
          <w:lang w:val="en-US"/>
        </w:rPr>
        <w:t>(Aurora, Sitorus, dan Flora 2021)</w:t>
      </w:r>
      <w:r w:rsidRPr="007720BC">
        <w:rPr>
          <w:rFonts w:ascii="Times New Roman" w:hAnsi="Times New Roman" w:cs="Times New Roman"/>
          <w:b w:val="0"/>
          <w:bCs w:val="0"/>
          <w:sz w:val="24"/>
          <w:szCs w:val="24"/>
          <w:lang w:val="en-US"/>
        </w:rPr>
        <w:fldChar w:fldCharType="end"/>
      </w:r>
      <w:r w:rsidRPr="007720BC">
        <w:rPr>
          <w:rFonts w:ascii="Times New Roman" w:hAnsi="Times New Roman" w:cs="Times New Roman"/>
          <w:b w:val="0"/>
          <w:bCs w:val="0"/>
          <w:sz w:val="24"/>
          <w:szCs w:val="24"/>
          <w:lang w:val="en-US"/>
        </w:rPr>
        <w:t xml:space="preserve">. </w:t>
      </w:r>
    </w:p>
    <w:p w14:paraId="01280C92" w14:textId="641BF4A3" w:rsidR="00036E25" w:rsidRPr="007720BC" w:rsidRDefault="000033AC" w:rsidP="00CB2900">
      <w:pPr>
        <w:pStyle w:val="Heading1"/>
        <w:ind w:left="0" w:right="-1" w:firstLine="720"/>
        <w:contextualSpacing/>
        <w:jc w:val="both"/>
        <w:rPr>
          <w:rFonts w:ascii="Times New Roman" w:hAnsi="Times New Roman" w:cs="Times New Roman"/>
          <w:b w:val="0"/>
          <w:bCs w:val="0"/>
          <w:spacing w:val="40"/>
          <w:w w:val="105"/>
          <w:sz w:val="24"/>
          <w:szCs w:val="24"/>
        </w:rPr>
      </w:pPr>
      <w:r w:rsidRPr="007720BC">
        <w:rPr>
          <w:rStyle w:val="Strong"/>
          <w:rFonts w:ascii="Times New Roman" w:hAnsi="Times New Roman" w:cs="Times New Roman"/>
          <w:sz w:val="24"/>
          <w:szCs w:val="24"/>
        </w:rPr>
        <w:t>Stunting dapat berdampak buruk pada perkembangan anak, dan dalam jangka waktu</w:t>
      </w:r>
      <w:r w:rsidR="0079552B" w:rsidRPr="007720BC">
        <w:rPr>
          <w:rStyle w:val="Strong"/>
          <w:rFonts w:ascii="Times New Roman" w:hAnsi="Times New Roman" w:cs="Times New Roman"/>
          <w:sz w:val="24"/>
          <w:szCs w:val="24"/>
          <w:lang w:val="en-US"/>
        </w:rPr>
        <w:t xml:space="preserve"> </w:t>
      </w:r>
      <w:r w:rsidRPr="007720BC">
        <w:rPr>
          <w:rStyle w:val="Strong"/>
          <w:rFonts w:ascii="Times New Roman" w:hAnsi="Times New Roman" w:cs="Times New Roman"/>
          <w:sz w:val="24"/>
          <w:szCs w:val="24"/>
        </w:rPr>
        <w:t xml:space="preserve">lama dapat berdampak negatif terhadap </w:t>
      </w:r>
      <w:proofErr w:type="spellStart"/>
      <w:r w:rsidRPr="007720BC">
        <w:rPr>
          <w:rStyle w:val="Strong"/>
          <w:rFonts w:ascii="Times New Roman" w:hAnsi="Times New Roman" w:cs="Times New Roman"/>
          <w:sz w:val="24"/>
          <w:szCs w:val="24"/>
          <w:lang w:val="en-US"/>
        </w:rPr>
        <w:t>daya</w:t>
      </w:r>
      <w:proofErr w:type="spellEnd"/>
      <w:r w:rsidRPr="007720BC">
        <w:rPr>
          <w:rStyle w:val="Strong"/>
          <w:rFonts w:ascii="Times New Roman" w:hAnsi="Times New Roman" w:cs="Times New Roman"/>
          <w:sz w:val="24"/>
          <w:szCs w:val="24"/>
          <w:lang w:val="en-US"/>
        </w:rPr>
        <w:t xml:space="preserve"> </w:t>
      </w:r>
      <w:proofErr w:type="spellStart"/>
      <w:r w:rsidRPr="007720BC">
        <w:rPr>
          <w:rStyle w:val="Strong"/>
          <w:rFonts w:ascii="Times New Roman" w:hAnsi="Times New Roman" w:cs="Times New Roman"/>
          <w:sz w:val="24"/>
          <w:szCs w:val="24"/>
          <w:lang w:val="en-US"/>
        </w:rPr>
        <w:t>saing</w:t>
      </w:r>
      <w:proofErr w:type="spellEnd"/>
      <w:r w:rsidRPr="007720BC">
        <w:rPr>
          <w:rStyle w:val="Strong"/>
          <w:rFonts w:ascii="Times New Roman" w:hAnsi="Times New Roman" w:cs="Times New Roman"/>
          <w:sz w:val="24"/>
          <w:szCs w:val="24"/>
          <w:lang w:val="en-US"/>
        </w:rPr>
        <w:t xml:space="preserve"> </w:t>
      </w:r>
      <w:proofErr w:type="spellStart"/>
      <w:r w:rsidRPr="007720BC">
        <w:rPr>
          <w:rStyle w:val="Strong"/>
          <w:rFonts w:ascii="Times New Roman" w:hAnsi="Times New Roman" w:cs="Times New Roman"/>
          <w:sz w:val="24"/>
          <w:szCs w:val="24"/>
          <w:lang w:val="en-US"/>
        </w:rPr>
        <w:t>sumber</w:t>
      </w:r>
      <w:proofErr w:type="spellEnd"/>
      <w:r w:rsidRPr="007720BC">
        <w:rPr>
          <w:rStyle w:val="Strong"/>
          <w:rFonts w:ascii="Times New Roman" w:hAnsi="Times New Roman" w:cs="Times New Roman"/>
          <w:sz w:val="24"/>
          <w:szCs w:val="24"/>
          <w:lang w:val="en-US"/>
        </w:rPr>
        <w:t xml:space="preserve"> </w:t>
      </w:r>
      <w:proofErr w:type="spellStart"/>
      <w:r w:rsidRPr="007720BC">
        <w:rPr>
          <w:rStyle w:val="Strong"/>
          <w:rFonts w:ascii="Times New Roman" w:hAnsi="Times New Roman" w:cs="Times New Roman"/>
          <w:sz w:val="24"/>
          <w:szCs w:val="24"/>
          <w:lang w:val="en-US"/>
        </w:rPr>
        <w:t>daya</w:t>
      </w:r>
      <w:proofErr w:type="spellEnd"/>
      <w:r w:rsidRPr="007720BC">
        <w:rPr>
          <w:rStyle w:val="Strong"/>
          <w:rFonts w:ascii="Times New Roman" w:hAnsi="Times New Roman" w:cs="Times New Roman"/>
          <w:sz w:val="24"/>
          <w:szCs w:val="24"/>
          <w:lang w:val="en-US"/>
        </w:rPr>
        <w:t xml:space="preserve"> </w:t>
      </w:r>
      <w:proofErr w:type="spellStart"/>
      <w:r w:rsidRPr="007720BC">
        <w:rPr>
          <w:rStyle w:val="Strong"/>
          <w:rFonts w:ascii="Times New Roman" w:hAnsi="Times New Roman" w:cs="Times New Roman"/>
          <w:sz w:val="24"/>
          <w:szCs w:val="24"/>
          <w:lang w:val="en-US"/>
        </w:rPr>
        <w:t>manusia</w:t>
      </w:r>
      <w:proofErr w:type="spellEnd"/>
      <w:r w:rsidR="0079552B" w:rsidRPr="007720BC">
        <w:rPr>
          <w:rStyle w:val="Strong"/>
          <w:rFonts w:ascii="Times New Roman" w:hAnsi="Times New Roman" w:cs="Times New Roman"/>
          <w:sz w:val="24"/>
          <w:szCs w:val="24"/>
          <w:lang w:val="en-US"/>
        </w:rPr>
        <w:t xml:space="preserve"> dan h</w:t>
      </w:r>
      <w:r w:rsidR="0005519A" w:rsidRPr="007720BC">
        <w:rPr>
          <w:rFonts w:ascii="Times New Roman" w:hAnsi="Times New Roman" w:cs="Times New Roman"/>
          <w:b w:val="0"/>
          <w:bCs w:val="0"/>
          <w:sz w:val="24"/>
          <w:szCs w:val="24"/>
        </w:rPr>
        <w:t xml:space="preserve">ampir </w:t>
      </w:r>
      <w:r w:rsidR="0079552B" w:rsidRPr="007720BC">
        <w:rPr>
          <w:rFonts w:ascii="Times New Roman" w:hAnsi="Times New Roman" w:cs="Times New Roman"/>
          <w:b w:val="0"/>
          <w:bCs w:val="0"/>
          <w:sz w:val="24"/>
          <w:szCs w:val="24"/>
          <w:lang w:val="en-US"/>
        </w:rPr>
        <w:t>s</w:t>
      </w:r>
      <w:r w:rsidR="001F0544" w:rsidRPr="007720BC">
        <w:rPr>
          <w:rFonts w:ascii="Times New Roman" w:hAnsi="Times New Roman" w:cs="Times New Roman"/>
          <w:b w:val="0"/>
          <w:bCs w:val="0"/>
          <w:sz w:val="24"/>
          <w:szCs w:val="24"/>
        </w:rPr>
        <w:t>ebagian</w:t>
      </w:r>
      <w:r w:rsidR="001F0544" w:rsidRPr="007720BC">
        <w:rPr>
          <w:rFonts w:ascii="Times New Roman" w:hAnsi="Times New Roman" w:cs="Times New Roman"/>
          <w:b w:val="0"/>
          <w:bCs w:val="0"/>
          <w:sz w:val="24"/>
          <w:szCs w:val="24"/>
          <w:lang w:val="en-US"/>
        </w:rPr>
        <w:t xml:space="preserve"> </w:t>
      </w:r>
      <w:proofErr w:type="spellStart"/>
      <w:r w:rsidR="001F0544" w:rsidRPr="007720BC">
        <w:rPr>
          <w:rFonts w:ascii="Times New Roman" w:hAnsi="Times New Roman" w:cs="Times New Roman"/>
          <w:b w:val="0"/>
          <w:bCs w:val="0"/>
          <w:sz w:val="24"/>
          <w:szCs w:val="24"/>
          <w:lang w:val="en-US"/>
        </w:rPr>
        <w:t>besar</w:t>
      </w:r>
      <w:proofErr w:type="spellEnd"/>
      <w:r w:rsidR="001F0544" w:rsidRPr="007720BC">
        <w:rPr>
          <w:rFonts w:ascii="Times New Roman" w:hAnsi="Times New Roman" w:cs="Times New Roman"/>
          <w:b w:val="0"/>
          <w:bCs w:val="0"/>
          <w:sz w:val="24"/>
          <w:szCs w:val="24"/>
          <w:lang w:val="en-US"/>
        </w:rPr>
        <w:t xml:space="preserve"> </w:t>
      </w:r>
      <w:proofErr w:type="spellStart"/>
      <w:r w:rsidR="0079552B" w:rsidRPr="007720BC">
        <w:rPr>
          <w:rFonts w:ascii="Times New Roman" w:hAnsi="Times New Roman" w:cs="Times New Roman"/>
          <w:b w:val="0"/>
          <w:bCs w:val="0"/>
          <w:sz w:val="24"/>
          <w:szCs w:val="24"/>
          <w:lang w:val="en-US"/>
        </w:rPr>
        <w:t>kejadian</w:t>
      </w:r>
      <w:proofErr w:type="spellEnd"/>
      <w:r w:rsidR="0079552B" w:rsidRPr="007720BC">
        <w:rPr>
          <w:rFonts w:ascii="Times New Roman" w:hAnsi="Times New Roman" w:cs="Times New Roman"/>
          <w:b w:val="0"/>
          <w:bCs w:val="0"/>
          <w:sz w:val="24"/>
          <w:szCs w:val="24"/>
          <w:lang w:val="en-US"/>
        </w:rPr>
        <w:t xml:space="preserve"> </w:t>
      </w:r>
      <w:r w:rsidR="0005519A" w:rsidRPr="007720BC">
        <w:rPr>
          <w:rFonts w:ascii="Times New Roman" w:hAnsi="Times New Roman" w:cs="Times New Roman"/>
          <w:b w:val="0"/>
          <w:bCs w:val="0"/>
          <w:sz w:val="24"/>
          <w:szCs w:val="24"/>
        </w:rPr>
        <w:t xml:space="preserve">stunting terjadi </w:t>
      </w:r>
      <w:r w:rsidR="0079552B" w:rsidRPr="007720BC">
        <w:rPr>
          <w:rFonts w:ascii="Times New Roman" w:hAnsi="Times New Roman" w:cs="Times New Roman"/>
          <w:b w:val="0"/>
          <w:bCs w:val="0"/>
          <w:sz w:val="24"/>
          <w:szCs w:val="24"/>
          <w:lang w:val="en-US"/>
        </w:rPr>
        <w:t>pada</w:t>
      </w:r>
      <w:r w:rsidR="0005519A" w:rsidRPr="007720BC">
        <w:rPr>
          <w:rFonts w:ascii="Times New Roman" w:hAnsi="Times New Roman" w:cs="Times New Roman"/>
          <w:b w:val="0"/>
          <w:bCs w:val="0"/>
          <w:sz w:val="24"/>
          <w:szCs w:val="24"/>
        </w:rPr>
        <w:t xml:space="preserve"> periode 1.000 </w:t>
      </w:r>
      <w:r w:rsidR="0079552B" w:rsidRPr="007720BC">
        <w:rPr>
          <w:rFonts w:ascii="Times New Roman" w:hAnsi="Times New Roman" w:cs="Times New Roman"/>
          <w:b w:val="0"/>
          <w:bCs w:val="0"/>
          <w:sz w:val="24"/>
          <w:szCs w:val="24"/>
        </w:rPr>
        <w:t xml:space="preserve">Hari </w:t>
      </w:r>
      <w:proofErr w:type="spellStart"/>
      <w:r w:rsidR="0079552B" w:rsidRPr="007720BC">
        <w:rPr>
          <w:rFonts w:ascii="Times New Roman" w:hAnsi="Times New Roman" w:cs="Times New Roman"/>
          <w:b w:val="0"/>
          <w:bCs w:val="0"/>
          <w:sz w:val="24"/>
          <w:szCs w:val="24"/>
          <w:lang w:val="en-US"/>
        </w:rPr>
        <w:t>Pertama</w:t>
      </w:r>
      <w:proofErr w:type="spellEnd"/>
      <w:r w:rsidR="0079552B" w:rsidRPr="007720BC">
        <w:rPr>
          <w:rFonts w:ascii="Times New Roman" w:hAnsi="Times New Roman" w:cs="Times New Roman"/>
          <w:b w:val="0"/>
          <w:bCs w:val="0"/>
          <w:sz w:val="24"/>
          <w:szCs w:val="24"/>
          <w:lang w:val="en-US"/>
        </w:rPr>
        <w:t xml:space="preserve"> </w:t>
      </w:r>
      <w:proofErr w:type="spellStart"/>
      <w:r w:rsidR="0079552B" w:rsidRPr="007720BC">
        <w:rPr>
          <w:rFonts w:ascii="Times New Roman" w:hAnsi="Times New Roman" w:cs="Times New Roman"/>
          <w:b w:val="0"/>
          <w:bCs w:val="0"/>
          <w:sz w:val="24"/>
          <w:szCs w:val="24"/>
          <w:lang w:val="en-US"/>
        </w:rPr>
        <w:t>Kehidupan</w:t>
      </w:r>
      <w:proofErr w:type="spellEnd"/>
      <w:r w:rsidR="0079552B" w:rsidRPr="007720BC">
        <w:rPr>
          <w:rFonts w:ascii="Times New Roman" w:hAnsi="Times New Roman" w:cs="Times New Roman"/>
          <w:b w:val="0"/>
          <w:bCs w:val="0"/>
          <w:sz w:val="24"/>
          <w:szCs w:val="24"/>
          <w:lang w:val="en-US"/>
        </w:rPr>
        <w:t xml:space="preserve"> (HPK)</w:t>
      </w:r>
      <w:r w:rsidR="0005519A" w:rsidRPr="007720BC">
        <w:rPr>
          <w:rFonts w:ascii="Times New Roman" w:hAnsi="Times New Roman" w:cs="Times New Roman"/>
          <w:b w:val="0"/>
          <w:bCs w:val="0"/>
          <w:sz w:val="24"/>
          <w:szCs w:val="24"/>
          <w:lang w:val="en-US"/>
        </w:rPr>
        <w:t xml:space="preserve"> </w:t>
      </w:r>
      <w:r w:rsidR="0079552B" w:rsidRPr="007720BC">
        <w:rPr>
          <w:rFonts w:ascii="Times New Roman" w:hAnsi="Times New Roman" w:cs="Times New Roman"/>
          <w:b w:val="0"/>
          <w:bCs w:val="0"/>
          <w:sz w:val="24"/>
          <w:szCs w:val="24"/>
          <w:lang w:val="en-US"/>
        </w:rPr>
        <w:fldChar w:fldCharType="begin" w:fldLock="1"/>
      </w:r>
      <w:r w:rsidR="004A74AF" w:rsidRPr="007720BC">
        <w:rPr>
          <w:rFonts w:ascii="Times New Roman" w:hAnsi="Times New Roman" w:cs="Times New Roman"/>
          <w:b w:val="0"/>
          <w:bCs w:val="0"/>
          <w:sz w:val="24"/>
          <w:szCs w:val="24"/>
          <w:lang w:val="en-US"/>
        </w:rPr>
        <w:instrText>ADDIN CSL_CITATION {"citationItems":[{"id":"ITEM-1","itemData":{"DOI":"10.1016/S0140-6736(13)60937-X","ISSN":"1474547X","PMID":"23746772","abstract":"Maternal and child malnutrition in low-income and middle-income countries encompasses both undernutrition and a growing problem with overweight and obesity. Low body-mass index, indicative of maternal undernutrition, has declined somewhat in the past two decades but continues to be prevalent in Asia and Africa. Prevalence of maternal overweight has had a steady increase since 1980 and exceeds that of underweight in all regions. Prevalence of stunting of linear growth of children younger than 5 years has decreased during the past two decades, but is higher in south Asia and sub-Saharan Africa than elsewhere and globally affected at least 165 million children in 2011; wasting affected at least 52 million children. Deficiencies of vitamin A and zinc result in deaths; deficiencies of iodine and iron, together with stunting, can contribute to children not reaching their developmental potential. Maternal undernutrition contributes to fetal growth restriction, which increases the risk of neonatal deaths and, for survivors, of stunting by 2 years of age. Suboptimum breastfeeding results in an increased risk for mortality in the first 2 years of life. We estimate that undernutrition in the aggregate - including fetal growth restriction, stunting, wasting, and deficiencies of vitamin A and zinc along with suboptimum breastfeeding - is a cause of 3·1 million child deaths annually or 45% of all child deaths in 2011. Maternal overweight and obesity result in increased maternal morbidity and infant mortality. Childhood overweight is becoming an increasingly important contributor to adult obesity, diabetes, and non-communicable diseases. The high present and future disease burden caused by malnutrition in women of reproductive age, pregnancy, and children in the first 2 years of life should lead to interventions focused on these groups. © 2013 Elsevier Ltd.","author":[{"dropping-particle":"","family":"Black","given":"Robert E.","non-dropping-particle":"","parse-names":false,"suffix":""},{"dropping-particle":"","family":"Victora","given":"Cesar G.","non-dropping-particle":"","parse-names":false,"suffix":""},{"dropping-particle":"","family":"Walker","given":"Susan P.","non-dropping-particle":"","parse-names":false,"suffix":""},{"dropping-particle":"","family":"Bhutta","given":"Zulfiqar A.","non-dropping-particle":"","parse-names":false,"suffix":""},{"dropping-particle":"","family":"Christian","given":"Parul","non-dropping-particle":"","parse-names":false,"suffix":""},{"dropping-particle":"","family":"Onis","given":"Mercedes","non-dropping-particle":"De","parse-names":false,"suffix":""},{"dropping-particle":"","family":"Ezzati","given":"Majid","non-dropping-particle":"","parse-names":false,"suffix":""},{"dropping-particle":"","family":"Grantham-Mcgregor","given":"Sally","non-dropping-particle":"","parse-names":false,"suffix":""},{"dropping-particle":"","family":"Katz","given":"Joanne","non-dropping-particle":"","parse-names":false,"suffix":""},{"dropping-particle":"","family":"Martorell","given":"Reynaldo","non-dropping-particle":"","parse-names":false,"suffix":""},{"dropping-particle":"","family":"Uauy","given":"Ricardo","non-dropping-particle":"","parse-names":false,"suffix":""}],"container-title":"The Lancet","id":"ITEM-1","issue":"9890","issued":{"date-parts":[["2013"]]},"page":"427-451","title":"Maternal and child undernutrition and overweight in low-income and middle-income countries","type":"article-journal","volume":"382"},"uris":["http://www.mendeley.com/documents/?uuid=f1087ce0-490d-4bcb-a0f2-12487cb73a70"]},{"id":"ITEM-2","itemData":{"DOI":"10.1159/000346185","ISSN":"14219697","PMID":"23343945","abstract":"This article provides an overview of child feeding recommendations and how these relate to actual practice and dietary adequacy, primarily in developing countries. From birth to 6 months, recommendations focus on optimal breastfeeding practices, although these are still suboptimal in about one third of infants in developing countries. From 6 months of age, breast milk can no longer meet all the nutrient requirements of the child, so from 6 months through at least 24 months, the recommendation is to continue breastfeeding but gradually introduce complementary foods. In poorer populations, the available foods for complementary feeding are primarily cereals and legumes, to which small amounts of fruits and vegetables are added, and even less animal source foods. Based on intake data from infants and preschoolers, it is evident that usual diets typically fall far short of supplying micronutrient needs. By adding more fruits, vegetables, and animal source foods the diet can be improved. Intervention studies show that increasing animal source food intake improves growth, muscle mass, and cognitive function of school children. Milk and dairy product intakes are correlated with greater child growth in many studies, even in industrialized countries. However, for many families, substantially improving children's diets by providing higher quality foods is often financially unrealistic. Newer approaches to home fortification of children's foods using micronutrient powders or lipid-based nutrient supplements hold great potential to prevent micronutrient deficiencies at reasonable cost, thus preventing the adverse consequences of these deficiencies for child development.","author":[{"dropping-particle":"","family":"Allen","given":"Lindsay H.","non-dropping-particle":"","parse-names":false,"suffix":""}],"container-title":"Annals of Nutrition and Metabolism","id":"ITEM-2","issued":{"date-parts":[["2012"]]},"page":"29-37","title":"Global dietary patterns and diets in childhood: Implications for health outcomes","type":"article-journal","volume":"61"},"uris":["http://www.mendeley.com/documents/?uuid=a0977338-2883-4062-9e77-016069bba796"]}],"mendeley":{"formattedCitation":"(Black et al. 2013; Allen 2012)","plainTextFormattedCitation":"(Black et al. 2013; Allen 2012)","previouslyFormattedCitation":"(Black et al. 2013; Allen 2012)"},"properties":{"noteIndex":0},"schema":"https://github.com/citation-style-language/schema/raw/master/csl-citation.json"}</w:instrText>
      </w:r>
      <w:r w:rsidR="0079552B" w:rsidRPr="007720BC">
        <w:rPr>
          <w:rFonts w:ascii="Times New Roman" w:hAnsi="Times New Roman" w:cs="Times New Roman"/>
          <w:b w:val="0"/>
          <w:bCs w:val="0"/>
          <w:sz w:val="24"/>
          <w:szCs w:val="24"/>
          <w:lang w:val="en-US"/>
        </w:rPr>
        <w:fldChar w:fldCharType="separate"/>
      </w:r>
      <w:r w:rsidR="0079552B" w:rsidRPr="007720BC">
        <w:rPr>
          <w:rFonts w:ascii="Times New Roman" w:hAnsi="Times New Roman" w:cs="Times New Roman"/>
          <w:b w:val="0"/>
          <w:bCs w:val="0"/>
          <w:noProof/>
          <w:sz w:val="24"/>
          <w:szCs w:val="24"/>
          <w:lang w:val="en-US"/>
        </w:rPr>
        <w:t>(Black et al. 2013; Allen 2012)</w:t>
      </w:r>
      <w:r w:rsidR="0079552B" w:rsidRPr="007720BC">
        <w:rPr>
          <w:rFonts w:ascii="Times New Roman" w:hAnsi="Times New Roman" w:cs="Times New Roman"/>
          <w:b w:val="0"/>
          <w:bCs w:val="0"/>
          <w:sz w:val="24"/>
          <w:szCs w:val="24"/>
          <w:lang w:val="en-US"/>
        </w:rPr>
        <w:fldChar w:fldCharType="end"/>
      </w:r>
      <w:r w:rsidR="001F0544" w:rsidRPr="007720BC">
        <w:rPr>
          <w:rFonts w:ascii="Times New Roman" w:hAnsi="Times New Roman" w:cs="Times New Roman"/>
          <w:b w:val="0"/>
          <w:bCs w:val="0"/>
          <w:sz w:val="24"/>
          <w:szCs w:val="24"/>
          <w:lang w:val="en-US"/>
        </w:rPr>
        <w:t xml:space="preserve"> Oleh </w:t>
      </w:r>
      <w:proofErr w:type="spellStart"/>
      <w:r w:rsidR="001F0544" w:rsidRPr="007720BC">
        <w:rPr>
          <w:rFonts w:ascii="Times New Roman" w:hAnsi="Times New Roman" w:cs="Times New Roman"/>
          <w:b w:val="0"/>
          <w:bCs w:val="0"/>
          <w:sz w:val="24"/>
          <w:szCs w:val="24"/>
          <w:lang w:val="en-US"/>
        </w:rPr>
        <w:t>sebab</w:t>
      </w:r>
      <w:proofErr w:type="spellEnd"/>
      <w:r w:rsidR="001F0544" w:rsidRPr="007720BC">
        <w:rPr>
          <w:rFonts w:ascii="Times New Roman" w:hAnsi="Times New Roman" w:cs="Times New Roman"/>
          <w:b w:val="0"/>
          <w:bCs w:val="0"/>
          <w:sz w:val="24"/>
          <w:szCs w:val="24"/>
          <w:lang w:val="en-US"/>
        </w:rPr>
        <w:t xml:space="preserve"> </w:t>
      </w:r>
      <w:proofErr w:type="spellStart"/>
      <w:r w:rsidR="001F0544" w:rsidRPr="007720BC">
        <w:rPr>
          <w:rFonts w:ascii="Times New Roman" w:hAnsi="Times New Roman" w:cs="Times New Roman"/>
          <w:b w:val="0"/>
          <w:bCs w:val="0"/>
          <w:sz w:val="24"/>
          <w:szCs w:val="24"/>
          <w:lang w:val="en-US"/>
        </w:rPr>
        <w:t>itu</w:t>
      </w:r>
      <w:proofErr w:type="spellEnd"/>
      <w:r w:rsidR="001F0544" w:rsidRPr="007720BC">
        <w:rPr>
          <w:rFonts w:ascii="Times New Roman" w:hAnsi="Times New Roman" w:cs="Times New Roman"/>
          <w:b w:val="0"/>
          <w:bCs w:val="0"/>
          <w:sz w:val="24"/>
          <w:szCs w:val="24"/>
          <w:lang w:val="en-US"/>
        </w:rPr>
        <w:t xml:space="preserve"> p</w:t>
      </w:r>
      <w:r w:rsidR="00F715DE" w:rsidRPr="007720BC">
        <w:rPr>
          <w:rStyle w:val="rynqvb"/>
          <w:rFonts w:ascii="Times New Roman" w:hAnsi="Times New Roman" w:cs="Times New Roman"/>
          <w:b w:val="0"/>
          <w:bCs w:val="0"/>
          <w:sz w:val="24"/>
          <w:szCs w:val="24"/>
          <w:lang w:val="id-ID"/>
        </w:rPr>
        <w:t>eta jalan untuk mengurangi stunting anak dalam skala mencakup beberapa langkah terkait diagnostik, konsultasi pemangku kepentingan, dan implementasi intervensi gizi langsung dan tidak langsung yang terkait dengan sektor kesehatan dan sektor non-kesehatan</w:t>
      </w:r>
      <w:r w:rsidR="00F715DE" w:rsidRPr="007720BC">
        <w:rPr>
          <w:rStyle w:val="rynqvb"/>
          <w:rFonts w:ascii="Times New Roman" w:hAnsi="Times New Roman" w:cs="Times New Roman"/>
          <w:b w:val="0"/>
          <w:bCs w:val="0"/>
          <w:sz w:val="24"/>
          <w:szCs w:val="24"/>
          <w:lang w:val="en-US"/>
        </w:rPr>
        <w:t xml:space="preserve"> </w:t>
      </w:r>
      <w:r w:rsidR="00F715DE" w:rsidRPr="007720BC">
        <w:rPr>
          <w:rStyle w:val="rynqvb"/>
          <w:rFonts w:ascii="Times New Roman" w:hAnsi="Times New Roman" w:cs="Times New Roman"/>
          <w:b w:val="0"/>
          <w:bCs w:val="0"/>
          <w:sz w:val="24"/>
          <w:szCs w:val="24"/>
          <w:lang w:val="en-US"/>
        </w:rPr>
        <w:fldChar w:fldCharType="begin" w:fldLock="1"/>
      </w:r>
      <w:r w:rsidR="001F0544" w:rsidRPr="007720BC">
        <w:rPr>
          <w:rStyle w:val="rynqvb"/>
          <w:rFonts w:ascii="Times New Roman" w:hAnsi="Times New Roman" w:cs="Times New Roman"/>
          <w:b w:val="0"/>
          <w:bCs w:val="0"/>
          <w:sz w:val="24"/>
          <w:szCs w:val="24"/>
          <w:lang w:val="en-US"/>
        </w:rPr>
        <w:instrText>ADDIN CSL_CITATION {"citationItems":[{"id":"ITEM-1","itemData":{"DOI":"10.1093/ajcn/nqaa153","ISSN":"19383207","PMID":"32692800","abstract":"Background: Child stunting and linear growth faltering have declined over the past few decades and several countries have made exemplary progress. Objectives: To synthesize findings from mixed methods studies of exemplar countries to provide guidance on how to accelerate reduction in child stunting. Methods: We did a qualitative and quantitative synthesis of findings from existing literature and 5 exemplar country studies (Nepal, Ethiopia, Peru, Kyrgyz Republic, Senegal). Methodology included 4 broad research activities: 1) a series of descriptive analyses of cross-sectional data from demographic and health surveys and multiple indicator cluster surveys; 2) multivariable analysis of quantitative drivers of change in linear growth; 3) interviews and focus groups with national experts and community stakeholders and mothers; and 4) a review of policy and program evolution related to nutrition. Results: Several countries have dramatically reduced child stunting prevalence, with or without closing geographical, economic, and other population inequalities. Countries made progress through interventions from within and outside the health sector, and despite significant heterogeneity and differences in context, contributions were comparable from health and nutrition sectors (40% of change) and other sectors (50%), previously called nutrition-specific and -sensitive strategies. Improvements in maternal education, maternal nutrition, maternal and newborn care, and reductions in fertility/reduced interpregnancy intervals were strong contributors to change. A roadmap to reducing child stunting at scale includes several steps related to diagnostics, stakeholder consultations, and implementing direct and indirect nutrition interventions related to the health sector and nonhealth sector . Conclusions: Our results show that child stunting reduction is possible even in diverse and challenging contexts. We propose that our framework of organizing nutrition interventions as direct/indirect and inside/outside the health sector should be considered when mapping causal pathways of child stunting and planning interventions and strategies to accelerate stunting reduction to achieve the 2030 Sustainable Development Goals. Am J Clin Nutr 2020;112(Suppl):894S–904S.","author":[{"dropping-particle":"","family":"Bhutta","given":"Zulfiqar A.","non-dropping-particle":"","parse-names":false,"suffix":""},{"dropping-particle":"","family":"Akseer","given":"Nadia","non-dropping-particle":"","parse-names":false,"suffix":""},{"dropping-particle":"","family":"Keats","given":"Emily C.","non-dropping-particle":"","parse-names":false,"suffix":""},{"dropping-particle":"","family":"Vaivada","given":"Tyler","non-dropping-particle":"","parse-names":false,"suffix":""},{"dropping-particle":"","family":"Baker","given":"Shawn","non-dropping-particle":"","parse-names":false,"suffix":""},{"dropping-particle":"","family":"Horton","given":"Susan E.","non-dropping-particle":"","parse-names":false,"suffix":""},{"dropping-particle":"","family":"Katz","given":"Joanne","non-dropping-particle":"","parse-names":false,"suffix":""},{"dropping-particle":"","family":"Menon","given":"Purnima","non-dropping-particle":"","parse-names":false,"suffix":""},{"dropping-particle":"","family":"Piwoz","given":"Ellen","non-dropping-particle":"","parse-names":false,"suffix":""},{"dropping-particle":"","family":"Shekar","given":"Meera","non-dropping-particle":"","parse-names":false,"suffix":""},{"dropping-particle":"","family":"Victora","given":"Cesar","non-dropping-particle":"","parse-names":false,"suffix":""},{"dropping-particle":"","family":"Black","given":"Robert","non-dropping-particle":"","parse-names":false,"suffix":""}],"container-title":"American Journal of Clinical Nutrition","id":"ITEM-1","issued":{"date-parts":[["2020"]]},"page":"894S-904S","publisher":"American Society for Nutrition.","title":"How countries can reduce child stunting at scale: Lessons from exemplar countries","type":"article-journal","volume":"112"},"uris":["http://www.mendeley.com/documents/?uuid=dd7b57c5-7658-4498-8869-4380e1c46cbf"]}],"mendeley":{"formattedCitation":"(Bhutta et al. 2020)","plainTextFormattedCitation":"(Bhutta et al. 2020)","previouslyFormattedCitation":"(Bhutta et al. 2020)"},"properties":{"noteIndex":0},"schema":"https://github.com/citation-style-language/schema/raw/master/csl-citation.json"}</w:instrText>
      </w:r>
      <w:r w:rsidR="00F715DE" w:rsidRPr="007720BC">
        <w:rPr>
          <w:rStyle w:val="rynqvb"/>
          <w:rFonts w:ascii="Times New Roman" w:hAnsi="Times New Roman" w:cs="Times New Roman"/>
          <w:b w:val="0"/>
          <w:bCs w:val="0"/>
          <w:sz w:val="24"/>
          <w:szCs w:val="24"/>
          <w:lang w:val="en-US"/>
        </w:rPr>
        <w:fldChar w:fldCharType="separate"/>
      </w:r>
      <w:r w:rsidR="00F715DE" w:rsidRPr="007720BC">
        <w:rPr>
          <w:rStyle w:val="rynqvb"/>
          <w:rFonts w:ascii="Times New Roman" w:hAnsi="Times New Roman" w:cs="Times New Roman"/>
          <w:b w:val="0"/>
          <w:bCs w:val="0"/>
          <w:noProof/>
          <w:sz w:val="24"/>
          <w:szCs w:val="24"/>
          <w:lang w:val="en-US"/>
        </w:rPr>
        <w:t>(Bhutta et al. 2020)</w:t>
      </w:r>
      <w:r w:rsidR="00F715DE" w:rsidRPr="007720BC">
        <w:rPr>
          <w:rStyle w:val="rynqvb"/>
          <w:rFonts w:ascii="Times New Roman" w:hAnsi="Times New Roman" w:cs="Times New Roman"/>
          <w:b w:val="0"/>
          <w:bCs w:val="0"/>
          <w:sz w:val="24"/>
          <w:szCs w:val="24"/>
          <w:lang w:val="en-US"/>
        </w:rPr>
        <w:fldChar w:fldCharType="end"/>
      </w:r>
      <w:r w:rsidR="001F0544" w:rsidRPr="007720BC">
        <w:rPr>
          <w:rStyle w:val="rynqvb"/>
          <w:rFonts w:ascii="Times New Roman" w:hAnsi="Times New Roman" w:cs="Times New Roman"/>
          <w:b w:val="0"/>
          <w:bCs w:val="0"/>
          <w:sz w:val="24"/>
          <w:szCs w:val="24"/>
          <w:lang w:val="en-US"/>
        </w:rPr>
        <w:t xml:space="preserve">. </w:t>
      </w:r>
      <w:r w:rsidR="002502A2" w:rsidRPr="007720BC">
        <w:rPr>
          <w:rFonts w:ascii="Times New Roman" w:hAnsi="Times New Roman" w:cs="Times New Roman"/>
          <w:b w:val="0"/>
          <w:bCs w:val="0"/>
          <w:w w:val="105"/>
          <w:sz w:val="24"/>
          <w:szCs w:val="24"/>
        </w:rPr>
        <w:t xml:space="preserve">Dalam menyingkapi tingginya prevalensi stunting yang terkonsentrasi di beberapa dunia negara-negara </w:t>
      </w:r>
      <w:proofErr w:type="spellStart"/>
      <w:r w:rsidR="002502A2" w:rsidRPr="007720BC">
        <w:rPr>
          <w:rFonts w:ascii="Times New Roman" w:hAnsi="Times New Roman" w:cs="Times New Roman"/>
          <w:b w:val="0"/>
          <w:bCs w:val="0"/>
          <w:w w:val="105"/>
          <w:sz w:val="24"/>
          <w:szCs w:val="24"/>
          <w:lang w:val="en-US"/>
        </w:rPr>
        <w:t>berpendapatan</w:t>
      </w:r>
      <w:proofErr w:type="spellEnd"/>
      <w:r w:rsidR="002502A2" w:rsidRPr="007720BC">
        <w:rPr>
          <w:rFonts w:ascii="Times New Roman" w:hAnsi="Times New Roman" w:cs="Times New Roman"/>
          <w:b w:val="0"/>
          <w:bCs w:val="0"/>
          <w:w w:val="105"/>
          <w:sz w:val="24"/>
          <w:szCs w:val="24"/>
          <w:lang w:val="en-US"/>
        </w:rPr>
        <w:t xml:space="preserve"> </w:t>
      </w:r>
      <w:proofErr w:type="spellStart"/>
      <w:r w:rsidR="002502A2" w:rsidRPr="007720BC">
        <w:rPr>
          <w:rFonts w:ascii="Times New Roman" w:hAnsi="Times New Roman" w:cs="Times New Roman"/>
          <w:b w:val="0"/>
          <w:bCs w:val="0"/>
          <w:w w:val="105"/>
          <w:sz w:val="24"/>
          <w:szCs w:val="24"/>
          <w:lang w:val="en-US"/>
        </w:rPr>
        <w:t>menengah</w:t>
      </w:r>
      <w:proofErr w:type="spellEnd"/>
      <w:r w:rsidR="002502A2" w:rsidRPr="007720BC">
        <w:rPr>
          <w:rFonts w:ascii="Times New Roman" w:hAnsi="Times New Roman" w:cs="Times New Roman"/>
          <w:b w:val="0"/>
          <w:bCs w:val="0"/>
          <w:w w:val="105"/>
          <w:sz w:val="24"/>
          <w:szCs w:val="24"/>
          <w:lang w:val="en-US"/>
        </w:rPr>
        <w:t xml:space="preserve"> </w:t>
      </w:r>
      <w:proofErr w:type="spellStart"/>
      <w:r w:rsidR="002502A2" w:rsidRPr="007720BC">
        <w:rPr>
          <w:rFonts w:ascii="Times New Roman" w:hAnsi="Times New Roman" w:cs="Times New Roman"/>
          <w:b w:val="0"/>
          <w:bCs w:val="0"/>
          <w:w w:val="105"/>
          <w:sz w:val="24"/>
          <w:szCs w:val="24"/>
          <w:lang w:val="en-US"/>
        </w:rPr>
        <w:t>ke</w:t>
      </w:r>
      <w:proofErr w:type="spellEnd"/>
      <w:r w:rsidR="002502A2" w:rsidRPr="007720BC">
        <w:rPr>
          <w:rFonts w:ascii="Times New Roman" w:hAnsi="Times New Roman" w:cs="Times New Roman"/>
          <w:b w:val="0"/>
          <w:bCs w:val="0"/>
          <w:w w:val="105"/>
          <w:sz w:val="24"/>
          <w:szCs w:val="24"/>
          <w:lang w:val="en-US"/>
        </w:rPr>
        <w:t xml:space="preserve"> </w:t>
      </w:r>
      <w:proofErr w:type="spellStart"/>
      <w:r w:rsidR="002502A2" w:rsidRPr="007720BC">
        <w:rPr>
          <w:rFonts w:ascii="Times New Roman" w:hAnsi="Times New Roman" w:cs="Times New Roman"/>
          <w:b w:val="0"/>
          <w:bCs w:val="0"/>
          <w:w w:val="105"/>
          <w:sz w:val="24"/>
          <w:szCs w:val="24"/>
          <w:lang w:val="en-US"/>
        </w:rPr>
        <w:t>bawah</w:t>
      </w:r>
      <w:proofErr w:type="spellEnd"/>
      <w:r w:rsidR="002502A2" w:rsidRPr="007720BC">
        <w:rPr>
          <w:rFonts w:ascii="Times New Roman" w:hAnsi="Times New Roman" w:cs="Times New Roman"/>
          <w:b w:val="0"/>
          <w:bCs w:val="0"/>
          <w:w w:val="105"/>
          <w:sz w:val="24"/>
          <w:szCs w:val="24"/>
        </w:rPr>
        <w:t xml:space="preserve">, </w:t>
      </w:r>
      <w:proofErr w:type="spellStart"/>
      <w:r w:rsidR="002502A2" w:rsidRPr="007720BC">
        <w:rPr>
          <w:rFonts w:ascii="Times New Roman" w:hAnsi="Times New Roman" w:cs="Times New Roman"/>
          <w:b w:val="0"/>
          <w:bCs w:val="0"/>
          <w:w w:val="105"/>
          <w:sz w:val="24"/>
          <w:szCs w:val="24"/>
          <w:lang w:val="en-US"/>
        </w:rPr>
        <w:t>Organisasi</w:t>
      </w:r>
      <w:proofErr w:type="spellEnd"/>
      <w:r w:rsidR="002502A2" w:rsidRPr="007720BC">
        <w:rPr>
          <w:rFonts w:ascii="Times New Roman" w:hAnsi="Times New Roman" w:cs="Times New Roman"/>
          <w:b w:val="0"/>
          <w:bCs w:val="0"/>
          <w:w w:val="105"/>
          <w:sz w:val="24"/>
          <w:szCs w:val="24"/>
          <w:lang w:val="en-US"/>
        </w:rPr>
        <w:t xml:space="preserve"> Kesehatan Dunia (</w:t>
      </w:r>
      <w:r w:rsidR="002502A2" w:rsidRPr="007720BC">
        <w:rPr>
          <w:rFonts w:ascii="Times New Roman" w:hAnsi="Times New Roman" w:cs="Times New Roman"/>
          <w:b w:val="0"/>
          <w:bCs w:val="0"/>
          <w:w w:val="105"/>
          <w:sz w:val="24"/>
          <w:szCs w:val="24"/>
        </w:rPr>
        <w:t>W</w:t>
      </w:r>
      <w:r w:rsidR="001D7AD8" w:rsidRPr="007720BC">
        <w:rPr>
          <w:rFonts w:ascii="Times New Roman" w:hAnsi="Times New Roman" w:cs="Times New Roman"/>
          <w:b w:val="0"/>
          <w:bCs w:val="0"/>
          <w:w w:val="105"/>
          <w:sz w:val="24"/>
          <w:szCs w:val="24"/>
          <w:lang w:val="en-US"/>
        </w:rPr>
        <w:t>HO)</w:t>
      </w:r>
      <w:r w:rsidR="002502A2" w:rsidRPr="007720BC">
        <w:rPr>
          <w:rFonts w:ascii="Times New Roman" w:hAnsi="Times New Roman" w:cs="Times New Roman"/>
          <w:b w:val="0"/>
          <w:bCs w:val="0"/>
          <w:w w:val="105"/>
          <w:sz w:val="24"/>
          <w:szCs w:val="24"/>
        </w:rPr>
        <w:t xml:space="preserve"> telah mengusulkan target global</w:t>
      </w:r>
      <w:r w:rsidR="002502A2" w:rsidRPr="007720BC">
        <w:rPr>
          <w:rFonts w:ascii="Times New Roman" w:hAnsi="Times New Roman" w:cs="Times New Roman"/>
          <w:b w:val="0"/>
          <w:bCs w:val="0"/>
          <w:spacing w:val="40"/>
          <w:w w:val="105"/>
          <w:sz w:val="24"/>
          <w:szCs w:val="24"/>
        </w:rPr>
        <w:t xml:space="preserve"> </w:t>
      </w:r>
      <w:r w:rsidR="002502A2" w:rsidRPr="007720BC">
        <w:rPr>
          <w:rFonts w:ascii="Times New Roman" w:hAnsi="Times New Roman" w:cs="Times New Roman"/>
          <w:b w:val="0"/>
          <w:bCs w:val="0"/>
          <w:w w:val="105"/>
          <w:sz w:val="24"/>
          <w:szCs w:val="24"/>
        </w:rPr>
        <w:t>penurunan kejadian stunting pada anak dibawah usia lima tahun sebesar 40 % pada tahun 2025</w:t>
      </w:r>
      <w:r w:rsidR="001F0544" w:rsidRPr="007720BC">
        <w:rPr>
          <w:rFonts w:ascii="Times New Roman" w:hAnsi="Times New Roman" w:cs="Times New Roman"/>
          <w:b w:val="0"/>
          <w:bCs w:val="0"/>
          <w:w w:val="105"/>
          <w:sz w:val="24"/>
          <w:szCs w:val="24"/>
          <w:lang w:val="en-US"/>
        </w:rPr>
        <w:t xml:space="preserve"> </w:t>
      </w:r>
      <w:r w:rsidR="001F0544" w:rsidRPr="007720BC">
        <w:rPr>
          <w:rFonts w:ascii="Times New Roman" w:hAnsi="Times New Roman" w:cs="Times New Roman"/>
          <w:b w:val="0"/>
          <w:bCs w:val="0"/>
          <w:w w:val="105"/>
          <w:sz w:val="24"/>
          <w:szCs w:val="24"/>
          <w:lang w:val="en-US"/>
        </w:rPr>
        <w:fldChar w:fldCharType="begin" w:fldLock="1"/>
      </w:r>
      <w:r w:rsidR="00A90097" w:rsidRPr="007720BC">
        <w:rPr>
          <w:rFonts w:ascii="Times New Roman" w:hAnsi="Times New Roman" w:cs="Times New Roman"/>
          <w:b w:val="0"/>
          <w:bCs w:val="0"/>
          <w:w w:val="105"/>
          <w:sz w:val="24"/>
          <w:szCs w:val="24"/>
          <w:lang w:val="en-US"/>
        </w:rPr>
        <w:instrText>ADDIN CSL_CITATION {"citationItems":[{"id":"ITEM-1","itemData":{"DOI":"10.7591/cornell/9781501758898.003.0006","ISSN":"08286914","PMID":"10292087","author":[{"dropping-particle":"","family":"World Health Organization","given":"","non-dropping-particle":"","parse-names":false,"suffix":""}],"id":"ITEM-1","issued":{"date-parts":[["2014"]]},"title":"World Health Assembly Global Nutrition Targets 2025: Stunting Policy Brief","type":"report"},"uris":["http://www.mendeley.com/documents/?uuid=e2c18655-d91e-4cc7-b5d1-0459cf07cc7d"]}],"mendeley":{"formattedCitation":"(World Health Organization 2014)","plainTextFormattedCitation":"(World Health Organization 2014)","previouslyFormattedCitation":"(World Health Organization 2014)"},"properties":{"noteIndex":0},"schema":"https://github.com/citation-style-language/schema/raw/master/csl-citation.json"}</w:instrText>
      </w:r>
      <w:r w:rsidR="001F0544" w:rsidRPr="007720BC">
        <w:rPr>
          <w:rFonts w:ascii="Times New Roman" w:hAnsi="Times New Roman" w:cs="Times New Roman"/>
          <w:b w:val="0"/>
          <w:bCs w:val="0"/>
          <w:w w:val="105"/>
          <w:sz w:val="24"/>
          <w:szCs w:val="24"/>
          <w:lang w:val="en-US"/>
        </w:rPr>
        <w:fldChar w:fldCharType="separate"/>
      </w:r>
      <w:r w:rsidR="001F0544" w:rsidRPr="007720BC">
        <w:rPr>
          <w:rFonts w:ascii="Times New Roman" w:hAnsi="Times New Roman" w:cs="Times New Roman"/>
          <w:b w:val="0"/>
          <w:bCs w:val="0"/>
          <w:noProof/>
          <w:w w:val="105"/>
          <w:sz w:val="24"/>
          <w:szCs w:val="24"/>
          <w:lang w:val="en-US"/>
        </w:rPr>
        <w:t>(World Health Organization 2014)</w:t>
      </w:r>
      <w:r w:rsidR="001F0544" w:rsidRPr="007720BC">
        <w:rPr>
          <w:rFonts w:ascii="Times New Roman" w:hAnsi="Times New Roman" w:cs="Times New Roman"/>
          <w:b w:val="0"/>
          <w:bCs w:val="0"/>
          <w:w w:val="105"/>
          <w:sz w:val="24"/>
          <w:szCs w:val="24"/>
          <w:lang w:val="en-US"/>
        </w:rPr>
        <w:fldChar w:fldCharType="end"/>
      </w:r>
      <w:r w:rsidR="002502A2" w:rsidRPr="007720BC">
        <w:rPr>
          <w:rFonts w:ascii="Times New Roman" w:hAnsi="Times New Roman" w:cs="Times New Roman"/>
          <w:b w:val="0"/>
          <w:bCs w:val="0"/>
          <w:w w:val="105"/>
          <w:sz w:val="24"/>
          <w:szCs w:val="24"/>
        </w:rPr>
        <w:t>.</w:t>
      </w:r>
      <w:r w:rsidR="002502A2" w:rsidRPr="007720BC">
        <w:rPr>
          <w:rFonts w:ascii="Times New Roman" w:hAnsi="Times New Roman" w:cs="Times New Roman"/>
          <w:b w:val="0"/>
          <w:bCs w:val="0"/>
          <w:spacing w:val="40"/>
          <w:w w:val="105"/>
          <w:sz w:val="24"/>
          <w:szCs w:val="24"/>
        </w:rPr>
        <w:t xml:space="preserve"> </w:t>
      </w:r>
    </w:p>
    <w:p w14:paraId="3C35E627" w14:textId="2855F010" w:rsidR="0079552B" w:rsidRPr="007720BC" w:rsidRDefault="00A15F79" w:rsidP="00CB2900">
      <w:pPr>
        <w:pStyle w:val="Heading1"/>
        <w:ind w:left="0" w:right="-1" w:firstLine="720"/>
        <w:contextualSpacing/>
        <w:jc w:val="both"/>
        <w:rPr>
          <w:rFonts w:ascii="Times New Roman" w:hAnsi="Times New Roman" w:cs="Times New Roman"/>
          <w:b w:val="0"/>
          <w:bCs w:val="0"/>
          <w:sz w:val="24"/>
          <w:szCs w:val="24"/>
        </w:rPr>
      </w:pPr>
      <w:r w:rsidRPr="007720BC">
        <w:rPr>
          <w:rFonts w:ascii="Times New Roman" w:hAnsi="Times New Roman" w:cs="Times New Roman"/>
          <w:b w:val="0"/>
          <w:bCs w:val="0"/>
          <w:sz w:val="24"/>
          <w:szCs w:val="24"/>
        </w:rPr>
        <w:t xml:space="preserve">Indonesia merupakan salah satu negara dengan prevalensi </w:t>
      </w:r>
      <w:r w:rsidRPr="007720BC">
        <w:rPr>
          <w:rStyle w:val="Emphasis"/>
          <w:rFonts w:ascii="Times New Roman" w:hAnsi="Times New Roman" w:cs="Times New Roman"/>
          <w:b w:val="0"/>
          <w:bCs w:val="0"/>
          <w:sz w:val="24"/>
          <w:szCs w:val="24"/>
        </w:rPr>
        <w:t>stunting</w:t>
      </w:r>
      <w:r w:rsidRPr="007720BC">
        <w:rPr>
          <w:rFonts w:ascii="Times New Roman" w:hAnsi="Times New Roman" w:cs="Times New Roman"/>
          <w:b w:val="0"/>
          <w:bCs w:val="0"/>
          <w:sz w:val="24"/>
          <w:szCs w:val="24"/>
        </w:rPr>
        <w:t xml:space="preserve"> cukup tinggi</w:t>
      </w:r>
      <w:r w:rsidR="0079552B" w:rsidRPr="007720BC">
        <w:rPr>
          <w:rFonts w:ascii="Times New Roman" w:hAnsi="Times New Roman" w:cs="Times New Roman"/>
          <w:b w:val="0"/>
          <w:bCs w:val="0"/>
          <w:sz w:val="24"/>
          <w:szCs w:val="24"/>
          <w:lang w:val="en-US"/>
        </w:rPr>
        <w:t xml:space="preserve">. Pada </w:t>
      </w:r>
      <w:proofErr w:type="spellStart"/>
      <w:r w:rsidR="0079552B" w:rsidRPr="007720BC">
        <w:rPr>
          <w:rFonts w:ascii="Times New Roman" w:hAnsi="Times New Roman" w:cs="Times New Roman"/>
          <w:b w:val="0"/>
          <w:bCs w:val="0"/>
          <w:sz w:val="24"/>
          <w:szCs w:val="24"/>
          <w:lang w:val="en-US"/>
        </w:rPr>
        <w:t>tahun</w:t>
      </w:r>
      <w:proofErr w:type="spellEnd"/>
      <w:r w:rsidR="0079552B" w:rsidRPr="007720BC">
        <w:rPr>
          <w:rFonts w:ascii="Times New Roman" w:hAnsi="Times New Roman" w:cs="Times New Roman"/>
          <w:b w:val="0"/>
          <w:bCs w:val="0"/>
          <w:sz w:val="24"/>
          <w:szCs w:val="24"/>
          <w:lang w:val="en-US"/>
        </w:rPr>
        <w:t xml:space="preserve"> 2022 </w:t>
      </w:r>
      <w:proofErr w:type="spellStart"/>
      <w:r w:rsidR="0079552B" w:rsidRPr="007720BC">
        <w:rPr>
          <w:rFonts w:ascii="Times New Roman" w:hAnsi="Times New Roman" w:cs="Times New Roman"/>
          <w:b w:val="0"/>
          <w:bCs w:val="0"/>
          <w:sz w:val="24"/>
          <w:szCs w:val="24"/>
          <w:lang w:val="en-US"/>
        </w:rPr>
        <w:t>angka</w:t>
      </w:r>
      <w:proofErr w:type="spellEnd"/>
      <w:r w:rsidR="0079552B" w:rsidRPr="007720BC">
        <w:rPr>
          <w:rFonts w:ascii="Times New Roman" w:hAnsi="Times New Roman" w:cs="Times New Roman"/>
          <w:b w:val="0"/>
          <w:bCs w:val="0"/>
          <w:sz w:val="24"/>
          <w:szCs w:val="24"/>
          <w:lang w:val="en-US"/>
        </w:rPr>
        <w:t xml:space="preserve"> stunting di Indonesia </w:t>
      </w:r>
      <w:r w:rsidRPr="007720BC">
        <w:rPr>
          <w:rFonts w:ascii="Times New Roman" w:hAnsi="Times New Roman" w:cs="Times New Roman"/>
          <w:b w:val="0"/>
          <w:bCs w:val="0"/>
          <w:sz w:val="24"/>
          <w:szCs w:val="24"/>
        </w:rPr>
        <w:t>mencapai 21,6%</w:t>
      </w:r>
      <w:r w:rsidR="0079552B" w:rsidRPr="007720BC">
        <w:rPr>
          <w:rFonts w:ascii="Times New Roman" w:hAnsi="Times New Roman" w:cs="Times New Roman"/>
          <w:b w:val="0"/>
          <w:bCs w:val="0"/>
          <w:sz w:val="24"/>
          <w:szCs w:val="24"/>
          <w:lang w:val="en-US"/>
        </w:rPr>
        <w:t xml:space="preserve"> </w:t>
      </w:r>
      <w:r w:rsidRPr="007720BC">
        <w:rPr>
          <w:rFonts w:ascii="Times New Roman" w:hAnsi="Times New Roman" w:cs="Times New Roman"/>
          <w:b w:val="0"/>
          <w:bCs w:val="0"/>
          <w:sz w:val="24"/>
          <w:szCs w:val="24"/>
          <w:lang w:val="en-US"/>
        </w:rPr>
        <w:t>dan a</w:t>
      </w:r>
      <w:r w:rsidRPr="007720BC">
        <w:rPr>
          <w:rFonts w:ascii="Times New Roman" w:hAnsi="Times New Roman" w:cs="Times New Roman"/>
          <w:b w:val="0"/>
          <w:bCs w:val="0"/>
          <w:sz w:val="24"/>
          <w:szCs w:val="24"/>
        </w:rPr>
        <w:t>ngka tersebut melebihi ambang batas yang ditetapkan standar</w:t>
      </w:r>
      <w:r w:rsidRPr="007720BC">
        <w:rPr>
          <w:rFonts w:ascii="Times New Roman" w:hAnsi="Times New Roman" w:cs="Times New Roman"/>
          <w:b w:val="0"/>
          <w:bCs w:val="0"/>
          <w:sz w:val="24"/>
          <w:szCs w:val="24"/>
          <w:lang w:val="en-US"/>
        </w:rPr>
        <w:t xml:space="preserve"> </w:t>
      </w:r>
      <w:proofErr w:type="spellStart"/>
      <w:r w:rsidR="0079552B" w:rsidRPr="007720BC">
        <w:rPr>
          <w:rFonts w:ascii="Times New Roman" w:hAnsi="Times New Roman" w:cs="Times New Roman"/>
          <w:b w:val="0"/>
          <w:bCs w:val="0"/>
          <w:sz w:val="24"/>
          <w:szCs w:val="24"/>
          <w:lang w:val="en-US"/>
        </w:rPr>
        <w:t>Organisasi</w:t>
      </w:r>
      <w:proofErr w:type="spellEnd"/>
      <w:r w:rsidR="0079552B" w:rsidRPr="007720BC">
        <w:rPr>
          <w:rFonts w:ascii="Times New Roman" w:hAnsi="Times New Roman" w:cs="Times New Roman"/>
          <w:b w:val="0"/>
          <w:bCs w:val="0"/>
          <w:sz w:val="24"/>
          <w:szCs w:val="24"/>
          <w:lang w:val="en-US"/>
        </w:rPr>
        <w:t xml:space="preserve"> Kesehatan Dunia (</w:t>
      </w:r>
      <w:r w:rsidRPr="007720BC">
        <w:rPr>
          <w:rFonts w:ascii="Times New Roman" w:hAnsi="Times New Roman" w:cs="Times New Roman"/>
          <w:b w:val="0"/>
          <w:bCs w:val="0"/>
          <w:sz w:val="24"/>
          <w:szCs w:val="24"/>
        </w:rPr>
        <w:t>WHO</w:t>
      </w:r>
      <w:r w:rsidR="0079552B" w:rsidRPr="007720BC">
        <w:rPr>
          <w:rFonts w:ascii="Times New Roman" w:hAnsi="Times New Roman" w:cs="Times New Roman"/>
          <w:b w:val="0"/>
          <w:bCs w:val="0"/>
          <w:sz w:val="24"/>
          <w:szCs w:val="24"/>
          <w:lang w:val="en-US"/>
        </w:rPr>
        <w:t>)</w:t>
      </w:r>
      <w:r w:rsidRPr="007720BC">
        <w:rPr>
          <w:rFonts w:ascii="Times New Roman" w:hAnsi="Times New Roman" w:cs="Times New Roman"/>
          <w:b w:val="0"/>
          <w:bCs w:val="0"/>
          <w:sz w:val="24"/>
          <w:szCs w:val="24"/>
        </w:rPr>
        <w:t xml:space="preserve"> </w:t>
      </w:r>
      <w:proofErr w:type="spellStart"/>
      <w:r w:rsidR="0079552B" w:rsidRPr="007720BC">
        <w:rPr>
          <w:rFonts w:ascii="Times New Roman" w:hAnsi="Times New Roman" w:cs="Times New Roman"/>
          <w:b w:val="0"/>
          <w:bCs w:val="0"/>
          <w:sz w:val="24"/>
          <w:szCs w:val="24"/>
          <w:lang w:val="en-US"/>
        </w:rPr>
        <w:t>yaitu</w:t>
      </w:r>
      <w:proofErr w:type="spellEnd"/>
      <w:r w:rsidR="0079552B" w:rsidRPr="007720BC">
        <w:rPr>
          <w:rFonts w:ascii="Times New Roman" w:hAnsi="Times New Roman" w:cs="Times New Roman"/>
          <w:b w:val="0"/>
          <w:bCs w:val="0"/>
          <w:sz w:val="24"/>
          <w:szCs w:val="24"/>
          <w:lang w:val="en-US"/>
        </w:rPr>
        <w:t xml:space="preserve"> </w:t>
      </w:r>
      <w:r w:rsidRPr="007720BC">
        <w:rPr>
          <w:rFonts w:ascii="Times New Roman" w:hAnsi="Times New Roman" w:cs="Times New Roman"/>
          <w:b w:val="0"/>
          <w:bCs w:val="0"/>
          <w:sz w:val="24"/>
          <w:szCs w:val="24"/>
        </w:rPr>
        <w:t>sebesar 20%.</w:t>
      </w:r>
      <w:r w:rsidRPr="007720BC">
        <w:rPr>
          <w:rFonts w:ascii="Times New Roman" w:hAnsi="Times New Roman" w:cs="Times New Roman"/>
          <w:b w:val="0"/>
          <w:bCs w:val="0"/>
          <w:sz w:val="24"/>
          <w:szCs w:val="24"/>
          <w:lang w:val="en-US"/>
        </w:rPr>
        <w:t xml:space="preserve"> </w:t>
      </w:r>
      <w:r w:rsidR="0079552B" w:rsidRPr="007720BC">
        <w:rPr>
          <w:rFonts w:ascii="Times New Roman" w:hAnsi="Times New Roman" w:cs="Times New Roman"/>
          <w:b w:val="0"/>
          <w:bCs w:val="0"/>
          <w:sz w:val="24"/>
          <w:szCs w:val="24"/>
          <w:lang w:val="en-US"/>
        </w:rPr>
        <w:t xml:space="preserve">Pada </w:t>
      </w:r>
      <w:proofErr w:type="spellStart"/>
      <w:r w:rsidR="0079552B" w:rsidRPr="007720BC">
        <w:rPr>
          <w:rFonts w:ascii="Times New Roman" w:hAnsi="Times New Roman" w:cs="Times New Roman"/>
          <w:b w:val="0"/>
          <w:bCs w:val="0"/>
          <w:sz w:val="24"/>
          <w:szCs w:val="24"/>
          <w:lang w:val="en-US"/>
        </w:rPr>
        <w:t>tahun</w:t>
      </w:r>
      <w:proofErr w:type="spellEnd"/>
      <w:r w:rsidR="0079552B" w:rsidRPr="007720BC">
        <w:rPr>
          <w:rFonts w:ascii="Times New Roman" w:hAnsi="Times New Roman" w:cs="Times New Roman"/>
          <w:b w:val="0"/>
          <w:bCs w:val="0"/>
          <w:sz w:val="24"/>
          <w:szCs w:val="24"/>
          <w:lang w:val="en-US"/>
        </w:rPr>
        <w:t xml:space="preserve"> 2021, </w:t>
      </w:r>
      <w:proofErr w:type="spellStart"/>
      <w:r w:rsidR="0079552B" w:rsidRPr="007720BC">
        <w:rPr>
          <w:rFonts w:ascii="Times New Roman" w:hAnsi="Times New Roman" w:cs="Times New Roman"/>
          <w:b w:val="0"/>
          <w:bCs w:val="0"/>
          <w:sz w:val="24"/>
          <w:szCs w:val="24"/>
          <w:lang w:val="en-US"/>
        </w:rPr>
        <w:t>angka</w:t>
      </w:r>
      <w:proofErr w:type="spellEnd"/>
      <w:r w:rsidR="0079552B" w:rsidRPr="007720BC">
        <w:rPr>
          <w:rFonts w:ascii="Times New Roman" w:hAnsi="Times New Roman" w:cs="Times New Roman"/>
          <w:b w:val="0"/>
          <w:bCs w:val="0"/>
          <w:sz w:val="24"/>
          <w:szCs w:val="24"/>
          <w:lang w:val="en-US"/>
        </w:rPr>
        <w:t xml:space="preserve"> stunting di Indonesia </w:t>
      </w:r>
      <w:proofErr w:type="spellStart"/>
      <w:r w:rsidR="0079552B" w:rsidRPr="007720BC">
        <w:rPr>
          <w:rFonts w:ascii="Times New Roman" w:hAnsi="Times New Roman" w:cs="Times New Roman"/>
          <w:b w:val="0"/>
          <w:bCs w:val="0"/>
          <w:sz w:val="24"/>
          <w:szCs w:val="24"/>
          <w:lang w:val="en-US"/>
        </w:rPr>
        <w:t>mencapai</w:t>
      </w:r>
      <w:proofErr w:type="spellEnd"/>
      <w:r w:rsidR="0079552B" w:rsidRPr="007720BC">
        <w:rPr>
          <w:rFonts w:ascii="Times New Roman" w:hAnsi="Times New Roman" w:cs="Times New Roman"/>
          <w:b w:val="0"/>
          <w:bCs w:val="0"/>
          <w:sz w:val="24"/>
          <w:szCs w:val="24"/>
          <w:lang w:val="en-US"/>
        </w:rPr>
        <w:t xml:space="preserve"> 24</w:t>
      </w:r>
      <w:r w:rsidR="009E29A2" w:rsidRPr="007720BC">
        <w:rPr>
          <w:rFonts w:ascii="Times New Roman" w:hAnsi="Times New Roman" w:cs="Times New Roman"/>
          <w:b w:val="0"/>
          <w:bCs w:val="0"/>
          <w:sz w:val="24"/>
          <w:szCs w:val="24"/>
          <w:lang w:val="en-US"/>
        </w:rPr>
        <w:t>,4</w:t>
      </w:r>
      <w:r w:rsidR="0079552B" w:rsidRPr="007720BC">
        <w:rPr>
          <w:rFonts w:ascii="Times New Roman" w:hAnsi="Times New Roman" w:cs="Times New Roman"/>
          <w:b w:val="0"/>
          <w:bCs w:val="0"/>
          <w:sz w:val="24"/>
          <w:szCs w:val="24"/>
          <w:lang w:val="en-US"/>
        </w:rPr>
        <w:t xml:space="preserve">% dan </w:t>
      </w:r>
      <w:proofErr w:type="spellStart"/>
      <w:r w:rsidR="0079552B" w:rsidRPr="007720BC">
        <w:rPr>
          <w:rFonts w:ascii="Times New Roman" w:hAnsi="Times New Roman" w:cs="Times New Roman"/>
          <w:b w:val="0"/>
          <w:bCs w:val="0"/>
          <w:sz w:val="24"/>
          <w:szCs w:val="24"/>
          <w:lang w:val="en-US"/>
        </w:rPr>
        <w:t>masih</w:t>
      </w:r>
      <w:proofErr w:type="spellEnd"/>
      <w:r w:rsidR="0079552B" w:rsidRPr="007720BC">
        <w:rPr>
          <w:rFonts w:ascii="Times New Roman" w:hAnsi="Times New Roman" w:cs="Times New Roman"/>
          <w:b w:val="0"/>
          <w:bCs w:val="0"/>
          <w:sz w:val="24"/>
          <w:szCs w:val="24"/>
          <w:lang w:val="en-US"/>
        </w:rPr>
        <w:t xml:space="preserve"> </w:t>
      </w:r>
      <w:proofErr w:type="spellStart"/>
      <w:r w:rsidR="0079552B" w:rsidRPr="007720BC">
        <w:rPr>
          <w:rFonts w:ascii="Times New Roman" w:hAnsi="Times New Roman" w:cs="Times New Roman"/>
          <w:b w:val="0"/>
          <w:bCs w:val="0"/>
          <w:sz w:val="24"/>
          <w:szCs w:val="24"/>
          <w:lang w:val="en-US"/>
        </w:rPr>
        <w:t>berada</w:t>
      </w:r>
      <w:proofErr w:type="spellEnd"/>
      <w:r w:rsidR="0079552B" w:rsidRPr="007720BC">
        <w:rPr>
          <w:rFonts w:ascii="Times New Roman" w:hAnsi="Times New Roman" w:cs="Times New Roman"/>
          <w:b w:val="0"/>
          <w:bCs w:val="0"/>
          <w:sz w:val="24"/>
          <w:szCs w:val="24"/>
          <w:lang w:val="en-US"/>
        </w:rPr>
        <w:t xml:space="preserve"> </w:t>
      </w:r>
      <w:proofErr w:type="spellStart"/>
      <w:r w:rsidR="0079552B" w:rsidRPr="007720BC">
        <w:rPr>
          <w:rFonts w:ascii="Times New Roman" w:hAnsi="Times New Roman" w:cs="Times New Roman"/>
          <w:b w:val="0"/>
          <w:bCs w:val="0"/>
          <w:sz w:val="24"/>
          <w:szCs w:val="24"/>
          <w:lang w:val="en-US"/>
        </w:rPr>
        <w:t>diatas</w:t>
      </w:r>
      <w:proofErr w:type="spellEnd"/>
      <w:r w:rsidR="0079552B" w:rsidRPr="007720BC">
        <w:rPr>
          <w:rFonts w:ascii="Times New Roman" w:hAnsi="Times New Roman" w:cs="Times New Roman"/>
          <w:b w:val="0"/>
          <w:bCs w:val="0"/>
          <w:sz w:val="24"/>
          <w:szCs w:val="24"/>
          <w:lang w:val="en-US"/>
        </w:rPr>
        <w:t xml:space="preserve"> </w:t>
      </w:r>
      <w:r w:rsidRPr="007720BC">
        <w:rPr>
          <w:rFonts w:ascii="Times New Roman" w:hAnsi="Times New Roman" w:cs="Times New Roman"/>
          <w:b w:val="0"/>
          <w:bCs w:val="0"/>
          <w:sz w:val="24"/>
          <w:szCs w:val="24"/>
        </w:rPr>
        <w:t xml:space="preserve">negara-negara </w:t>
      </w:r>
      <w:proofErr w:type="spellStart"/>
      <w:r w:rsidR="0079552B" w:rsidRPr="007720BC">
        <w:rPr>
          <w:rFonts w:ascii="Times New Roman" w:hAnsi="Times New Roman" w:cs="Times New Roman"/>
          <w:b w:val="0"/>
          <w:bCs w:val="0"/>
          <w:sz w:val="24"/>
          <w:szCs w:val="24"/>
          <w:lang w:val="en-US"/>
        </w:rPr>
        <w:t>k</w:t>
      </w:r>
      <w:r w:rsidRPr="007720BC">
        <w:rPr>
          <w:rFonts w:ascii="Times New Roman" w:hAnsi="Times New Roman" w:cs="Times New Roman"/>
          <w:b w:val="0"/>
          <w:bCs w:val="0"/>
          <w:sz w:val="24"/>
          <w:szCs w:val="24"/>
          <w:lang w:val="en-US"/>
        </w:rPr>
        <w:t>awasan</w:t>
      </w:r>
      <w:proofErr w:type="spellEnd"/>
      <w:r w:rsidRPr="007720BC">
        <w:rPr>
          <w:rFonts w:ascii="Times New Roman" w:hAnsi="Times New Roman" w:cs="Times New Roman"/>
          <w:b w:val="0"/>
          <w:bCs w:val="0"/>
          <w:sz w:val="24"/>
          <w:szCs w:val="24"/>
          <w:lang w:val="en-US"/>
        </w:rPr>
        <w:t xml:space="preserve"> negara</w:t>
      </w:r>
      <w:r w:rsidR="0079552B" w:rsidRPr="007720BC">
        <w:rPr>
          <w:rFonts w:ascii="Times New Roman" w:hAnsi="Times New Roman" w:cs="Times New Roman"/>
          <w:b w:val="0"/>
          <w:bCs w:val="0"/>
          <w:sz w:val="24"/>
          <w:szCs w:val="24"/>
          <w:lang w:val="en-US"/>
        </w:rPr>
        <w:t>-</w:t>
      </w:r>
      <w:r w:rsidRPr="007720BC">
        <w:rPr>
          <w:rFonts w:ascii="Times New Roman" w:hAnsi="Times New Roman" w:cs="Times New Roman"/>
          <w:b w:val="0"/>
          <w:bCs w:val="0"/>
          <w:sz w:val="24"/>
          <w:szCs w:val="24"/>
        </w:rPr>
        <w:t>negara Asia Tenggara</w:t>
      </w:r>
      <w:r w:rsidR="001F0544" w:rsidRPr="007720BC">
        <w:rPr>
          <w:rFonts w:ascii="Times New Roman" w:hAnsi="Times New Roman" w:cs="Times New Roman"/>
          <w:b w:val="0"/>
          <w:bCs w:val="0"/>
          <w:sz w:val="24"/>
          <w:szCs w:val="24"/>
          <w:lang w:val="en-US"/>
        </w:rPr>
        <w:t xml:space="preserve"> </w:t>
      </w:r>
      <w:proofErr w:type="spellStart"/>
      <w:r w:rsidR="0079552B" w:rsidRPr="007720BC">
        <w:rPr>
          <w:rFonts w:ascii="Times New Roman" w:hAnsi="Times New Roman" w:cs="Times New Roman"/>
          <w:b w:val="0"/>
          <w:bCs w:val="0"/>
          <w:sz w:val="24"/>
          <w:szCs w:val="24"/>
          <w:lang w:val="en-US"/>
        </w:rPr>
        <w:t>lainya</w:t>
      </w:r>
      <w:proofErr w:type="spellEnd"/>
      <w:r w:rsidR="0079552B" w:rsidRPr="007720BC">
        <w:rPr>
          <w:rFonts w:ascii="Times New Roman" w:hAnsi="Times New Roman" w:cs="Times New Roman"/>
          <w:b w:val="0"/>
          <w:bCs w:val="0"/>
          <w:sz w:val="24"/>
          <w:szCs w:val="24"/>
          <w:lang w:val="en-US"/>
        </w:rPr>
        <w:t xml:space="preserve"> </w:t>
      </w:r>
      <w:proofErr w:type="spellStart"/>
      <w:r w:rsidR="001F0544" w:rsidRPr="007720BC">
        <w:rPr>
          <w:rFonts w:ascii="Times New Roman" w:hAnsi="Times New Roman" w:cs="Times New Roman"/>
          <w:b w:val="0"/>
          <w:bCs w:val="0"/>
          <w:sz w:val="24"/>
          <w:szCs w:val="24"/>
          <w:lang w:val="en-US"/>
        </w:rPr>
        <w:t>seperti</w:t>
      </w:r>
      <w:proofErr w:type="spellEnd"/>
      <w:r w:rsidR="001F0544" w:rsidRPr="007720BC">
        <w:rPr>
          <w:rFonts w:ascii="Times New Roman" w:hAnsi="Times New Roman" w:cs="Times New Roman"/>
          <w:b w:val="0"/>
          <w:bCs w:val="0"/>
          <w:sz w:val="24"/>
          <w:szCs w:val="24"/>
          <w:lang w:val="en-US"/>
        </w:rPr>
        <w:t xml:space="preserve"> </w:t>
      </w:r>
      <w:r w:rsidRPr="007720BC">
        <w:rPr>
          <w:rFonts w:ascii="Times New Roman" w:hAnsi="Times New Roman" w:cs="Times New Roman"/>
          <w:b w:val="0"/>
          <w:bCs w:val="0"/>
          <w:sz w:val="24"/>
          <w:szCs w:val="24"/>
        </w:rPr>
        <w:t>Myanmar</w:t>
      </w:r>
      <w:r w:rsidR="001F0544" w:rsidRPr="007720BC">
        <w:rPr>
          <w:rFonts w:ascii="Times New Roman" w:hAnsi="Times New Roman" w:cs="Times New Roman"/>
          <w:b w:val="0"/>
          <w:bCs w:val="0"/>
          <w:sz w:val="24"/>
          <w:szCs w:val="24"/>
          <w:lang w:val="en-US"/>
        </w:rPr>
        <w:t xml:space="preserve"> </w:t>
      </w:r>
      <w:proofErr w:type="spellStart"/>
      <w:r w:rsidR="001F0544" w:rsidRPr="007720BC">
        <w:rPr>
          <w:rFonts w:ascii="Times New Roman" w:hAnsi="Times New Roman" w:cs="Times New Roman"/>
          <w:b w:val="0"/>
          <w:bCs w:val="0"/>
          <w:sz w:val="24"/>
          <w:szCs w:val="24"/>
          <w:lang w:val="en-US"/>
        </w:rPr>
        <w:t>mencapai</w:t>
      </w:r>
      <w:proofErr w:type="spellEnd"/>
      <w:r w:rsidRPr="007720BC">
        <w:rPr>
          <w:rFonts w:ascii="Times New Roman" w:hAnsi="Times New Roman" w:cs="Times New Roman"/>
          <w:b w:val="0"/>
          <w:bCs w:val="0"/>
          <w:sz w:val="24"/>
          <w:szCs w:val="24"/>
        </w:rPr>
        <w:t xml:space="preserve"> 35%, Vietnam 23%, Malaysia 17%, Thailand 16%, </w:t>
      </w:r>
      <w:r w:rsidR="0079552B" w:rsidRPr="007720BC">
        <w:rPr>
          <w:rFonts w:ascii="Times New Roman" w:hAnsi="Times New Roman" w:cs="Times New Roman"/>
          <w:b w:val="0"/>
          <w:bCs w:val="0"/>
          <w:sz w:val="24"/>
          <w:szCs w:val="24"/>
          <w:lang w:val="en-US"/>
        </w:rPr>
        <w:t xml:space="preserve">dan </w:t>
      </w:r>
      <w:r w:rsidRPr="007720BC">
        <w:rPr>
          <w:rFonts w:ascii="Times New Roman" w:hAnsi="Times New Roman" w:cs="Times New Roman"/>
          <w:b w:val="0"/>
          <w:bCs w:val="0"/>
          <w:sz w:val="24"/>
          <w:szCs w:val="24"/>
        </w:rPr>
        <w:t>Singapura 4%</w:t>
      </w:r>
      <w:r w:rsidR="0079552B" w:rsidRPr="007720BC">
        <w:rPr>
          <w:rFonts w:ascii="Times New Roman" w:hAnsi="Times New Roman" w:cs="Times New Roman"/>
          <w:b w:val="0"/>
          <w:bCs w:val="0"/>
          <w:sz w:val="24"/>
          <w:szCs w:val="24"/>
          <w:lang w:val="en-US"/>
        </w:rPr>
        <w:t xml:space="preserve">. </w:t>
      </w:r>
      <w:proofErr w:type="spellStart"/>
      <w:r w:rsidR="001F0544" w:rsidRPr="007720BC">
        <w:rPr>
          <w:rFonts w:ascii="Times New Roman" w:hAnsi="Times New Roman" w:cs="Times New Roman"/>
          <w:b w:val="0"/>
          <w:bCs w:val="0"/>
          <w:sz w:val="24"/>
          <w:szCs w:val="24"/>
          <w:lang w:val="en-US"/>
        </w:rPr>
        <w:t>Meskipun</w:t>
      </w:r>
      <w:proofErr w:type="spellEnd"/>
      <w:r w:rsidR="001F0544" w:rsidRPr="007720BC">
        <w:rPr>
          <w:rFonts w:ascii="Times New Roman" w:hAnsi="Times New Roman" w:cs="Times New Roman"/>
          <w:b w:val="0"/>
          <w:bCs w:val="0"/>
          <w:sz w:val="24"/>
          <w:szCs w:val="24"/>
          <w:lang w:val="en-US"/>
        </w:rPr>
        <w:t xml:space="preserve"> </w:t>
      </w:r>
      <w:proofErr w:type="spellStart"/>
      <w:r w:rsidR="001F0544" w:rsidRPr="007720BC">
        <w:rPr>
          <w:rFonts w:ascii="Times New Roman" w:hAnsi="Times New Roman" w:cs="Times New Roman"/>
          <w:b w:val="0"/>
          <w:bCs w:val="0"/>
          <w:sz w:val="24"/>
          <w:szCs w:val="24"/>
          <w:lang w:val="en-US"/>
        </w:rPr>
        <w:t>demikian</w:t>
      </w:r>
      <w:proofErr w:type="spellEnd"/>
      <w:r w:rsidR="001F0544" w:rsidRPr="007720BC">
        <w:rPr>
          <w:rFonts w:ascii="Times New Roman" w:hAnsi="Times New Roman" w:cs="Times New Roman"/>
          <w:b w:val="0"/>
          <w:bCs w:val="0"/>
          <w:sz w:val="24"/>
          <w:szCs w:val="24"/>
          <w:lang w:val="en-US"/>
        </w:rPr>
        <w:t xml:space="preserve"> a</w:t>
      </w:r>
      <w:r w:rsidRPr="007720BC">
        <w:rPr>
          <w:rFonts w:ascii="Times New Roman" w:hAnsi="Times New Roman" w:cs="Times New Roman"/>
          <w:b w:val="0"/>
          <w:bCs w:val="0"/>
          <w:sz w:val="24"/>
          <w:szCs w:val="24"/>
        </w:rPr>
        <w:t xml:space="preserve">ngka prevalensi </w:t>
      </w:r>
      <w:r w:rsidR="001F0544" w:rsidRPr="007720BC">
        <w:rPr>
          <w:rFonts w:ascii="Times New Roman" w:hAnsi="Times New Roman" w:cs="Times New Roman"/>
          <w:b w:val="0"/>
          <w:bCs w:val="0"/>
          <w:sz w:val="24"/>
          <w:szCs w:val="24"/>
          <w:lang w:val="en-US"/>
        </w:rPr>
        <w:t xml:space="preserve">di Indonesia </w:t>
      </w:r>
      <w:proofErr w:type="spellStart"/>
      <w:r w:rsidR="001F0544" w:rsidRPr="007720BC">
        <w:rPr>
          <w:rFonts w:ascii="Times New Roman" w:hAnsi="Times New Roman" w:cs="Times New Roman"/>
          <w:b w:val="0"/>
          <w:bCs w:val="0"/>
          <w:sz w:val="24"/>
          <w:szCs w:val="24"/>
          <w:lang w:val="en-US"/>
        </w:rPr>
        <w:t>mengalami</w:t>
      </w:r>
      <w:proofErr w:type="spellEnd"/>
      <w:r w:rsidR="001F0544" w:rsidRPr="007720BC">
        <w:rPr>
          <w:rFonts w:ascii="Times New Roman" w:hAnsi="Times New Roman" w:cs="Times New Roman"/>
          <w:b w:val="0"/>
          <w:bCs w:val="0"/>
          <w:sz w:val="24"/>
          <w:szCs w:val="24"/>
          <w:lang w:val="en-US"/>
        </w:rPr>
        <w:t xml:space="preserve"> </w:t>
      </w:r>
      <w:proofErr w:type="spellStart"/>
      <w:r w:rsidR="001F0544" w:rsidRPr="007720BC">
        <w:rPr>
          <w:rFonts w:ascii="Times New Roman" w:hAnsi="Times New Roman" w:cs="Times New Roman"/>
          <w:b w:val="0"/>
          <w:bCs w:val="0"/>
          <w:sz w:val="24"/>
          <w:szCs w:val="24"/>
          <w:lang w:val="en-US"/>
        </w:rPr>
        <w:t>penurunan</w:t>
      </w:r>
      <w:proofErr w:type="spellEnd"/>
      <w:r w:rsidR="001F0544" w:rsidRPr="007720BC">
        <w:rPr>
          <w:rFonts w:ascii="Times New Roman" w:hAnsi="Times New Roman" w:cs="Times New Roman"/>
          <w:b w:val="0"/>
          <w:bCs w:val="0"/>
          <w:sz w:val="24"/>
          <w:szCs w:val="24"/>
          <w:lang w:val="en-US"/>
        </w:rPr>
        <w:t xml:space="preserve"> </w:t>
      </w:r>
      <w:proofErr w:type="spellStart"/>
      <w:r w:rsidR="001F0544" w:rsidRPr="007720BC">
        <w:rPr>
          <w:rFonts w:ascii="Times New Roman" w:hAnsi="Times New Roman" w:cs="Times New Roman"/>
          <w:b w:val="0"/>
          <w:bCs w:val="0"/>
          <w:sz w:val="24"/>
          <w:szCs w:val="24"/>
          <w:lang w:val="en-US"/>
        </w:rPr>
        <w:t>dari</w:t>
      </w:r>
      <w:proofErr w:type="spellEnd"/>
      <w:r w:rsidR="001F0544" w:rsidRPr="007720BC">
        <w:rPr>
          <w:rFonts w:ascii="Times New Roman" w:hAnsi="Times New Roman" w:cs="Times New Roman"/>
          <w:b w:val="0"/>
          <w:bCs w:val="0"/>
          <w:sz w:val="24"/>
          <w:szCs w:val="24"/>
          <w:lang w:val="en-US"/>
        </w:rPr>
        <w:t xml:space="preserve"> </w:t>
      </w:r>
      <w:r w:rsidRPr="007720BC">
        <w:rPr>
          <w:rFonts w:ascii="Times New Roman" w:hAnsi="Times New Roman" w:cs="Times New Roman"/>
          <w:b w:val="0"/>
          <w:bCs w:val="0"/>
          <w:sz w:val="24"/>
          <w:szCs w:val="24"/>
        </w:rPr>
        <w:t xml:space="preserve">tahun sebelumnya, yaitu 26,9% pada 2020. </w:t>
      </w:r>
    </w:p>
    <w:p w14:paraId="62FE1539" w14:textId="07AA0CFB" w:rsidR="00A15F79" w:rsidRPr="007720BC" w:rsidRDefault="002502A2" w:rsidP="00CB2900">
      <w:pPr>
        <w:pStyle w:val="Heading1"/>
        <w:ind w:left="0" w:right="-1" w:firstLine="720"/>
        <w:contextualSpacing/>
        <w:jc w:val="both"/>
        <w:rPr>
          <w:rFonts w:ascii="Times New Roman" w:hAnsi="Times New Roman" w:cs="Times New Roman"/>
          <w:b w:val="0"/>
          <w:bCs w:val="0"/>
          <w:sz w:val="24"/>
          <w:szCs w:val="24"/>
        </w:rPr>
      </w:pPr>
      <w:proofErr w:type="spellStart"/>
      <w:r w:rsidRPr="007720BC">
        <w:rPr>
          <w:rFonts w:ascii="Times New Roman" w:hAnsi="Times New Roman" w:cs="Times New Roman"/>
          <w:b w:val="0"/>
          <w:bCs w:val="0"/>
          <w:sz w:val="24"/>
          <w:szCs w:val="24"/>
          <w:lang w:val="en-US"/>
        </w:rPr>
        <w:t>Penanganan</w:t>
      </w:r>
      <w:proofErr w:type="spellEnd"/>
      <w:r w:rsidRPr="007720BC">
        <w:rPr>
          <w:rFonts w:ascii="Times New Roman" w:hAnsi="Times New Roman" w:cs="Times New Roman"/>
          <w:b w:val="0"/>
          <w:bCs w:val="0"/>
          <w:sz w:val="24"/>
          <w:szCs w:val="24"/>
          <w:lang w:val="en-US"/>
        </w:rPr>
        <w:t xml:space="preserve"> dan </w:t>
      </w:r>
      <w:proofErr w:type="spellStart"/>
      <w:r w:rsidRPr="007720BC">
        <w:rPr>
          <w:rFonts w:ascii="Times New Roman" w:hAnsi="Times New Roman" w:cs="Times New Roman"/>
          <w:b w:val="0"/>
          <w:bCs w:val="0"/>
          <w:sz w:val="24"/>
          <w:szCs w:val="24"/>
          <w:lang w:val="en-US"/>
        </w:rPr>
        <w:t>pencegahan</w:t>
      </w:r>
      <w:proofErr w:type="spellEnd"/>
      <w:r w:rsidRPr="007720BC">
        <w:rPr>
          <w:rFonts w:ascii="Times New Roman" w:hAnsi="Times New Roman" w:cs="Times New Roman"/>
          <w:b w:val="0"/>
          <w:bCs w:val="0"/>
          <w:sz w:val="24"/>
          <w:szCs w:val="24"/>
          <w:lang w:val="en-US"/>
        </w:rPr>
        <w:t xml:space="preserve"> stunting </w:t>
      </w:r>
      <w:proofErr w:type="spellStart"/>
      <w:r w:rsidRPr="007720BC">
        <w:rPr>
          <w:rFonts w:ascii="Times New Roman" w:hAnsi="Times New Roman" w:cs="Times New Roman"/>
          <w:b w:val="0"/>
          <w:bCs w:val="0"/>
          <w:sz w:val="24"/>
          <w:szCs w:val="24"/>
          <w:lang w:val="en-US"/>
        </w:rPr>
        <w:t>menjadi</w:t>
      </w:r>
      <w:proofErr w:type="spellEnd"/>
      <w:r w:rsidRPr="007720BC">
        <w:rPr>
          <w:rFonts w:ascii="Times New Roman" w:hAnsi="Times New Roman" w:cs="Times New Roman"/>
          <w:b w:val="0"/>
          <w:bCs w:val="0"/>
          <w:sz w:val="24"/>
          <w:szCs w:val="24"/>
          <w:lang w:val="en-US"/>
        </w:rPr>
        <w:t xml:space="preserve"> salah </w:t>
      </w:r>
      <w:proofErr w:type="spellStart"/>
      <w:r w:rsidRPr="007720BC">
        <w:rPr>
          <w:rFonts w:ascii="Times New Roman" w:hAnsi="Times New Roman" w:cs="Times New Roman"/>
          <w:b w:val="0"/>
          <w:bCs w:val="0"/>
          <w:sz w:val="24"/>
          <w:szCs w:val="24"/>
          <w:lang w:val="en-US"/>
        </w:rPr>
        <w:t>satu</w:t>
      </w:r>
      <w:proofErr w:type="spellEnd"/>
      <w:r w:rsidRPr="007720BC">
        <w:rPr>
          <w:rFonts w:ascii="Times New Roman" w:hAnsi="Times New Roman" w:cs="Times New Roman"/>
          <w:b w:val="0"/>
          <w:bCs w:val="0"/>
          <w:sz w:val="24"/>
          <w:szCs w:val="24"/>
          <w:lang w:val="en-US"/>
        </w:rPr>
        <w:t xml:space="preserve"> target </w:t>
      </w:r>
      <w:proofErr w:type="spellStart"/>
      <w:r w:rsidRPr="007720BC">
        <w:rPr>
          <w:rFonts w:ascii="Times New Roman" w:hAnsi="Times New Roman" w:cs="Times New Roman"/>
          <w:b w:val="0"/>
          <w:bCs w:val="0"/>
          <w:sz w:val="24"/>
          <w:szCs w:val="24"/>
          <w:lang w:val="en-US"/>
        </w:rPr>
        <w:t>pembangunan</w:t>
      </w:r>
      <w:proofErr w:type="spellEnd"/>
      <w:r w:rsidRPr="007720BC">
        <w:rPr>
          <w:rFonts w:ascii="Times New Roman" w:hAnsi="Times New Roman" w:cs="Times New Roman"/>
          <w:b w:val="0"/>
          <w:bCs w:val="0"/>
          <w:sz w:val="24"/>
          <w:szCs w:val="24"/>
          <w:lang w:val="en-US"/>
        </w:rPr>
        <w:t xml:space="preserve"> di </w:t>
      </w:r>
      <w:proofErr w:type="spellStart"/>
      <w:r w:rsidRPr="007720BC">
        <w:rPr>
          <w:rFonts w:ascii="Times New Roman" w:hAnsi="Times New Roman" w:cs="Times New Roman"/>
          <w:b w:val="0"/>
          <w:bCs w:val="0"/>
          <w:sz w:val="24"/>
          <w:szCs w:val="24"/>
          <w:lang w:val="en-US"/>
        </w:rPr>
        <w:t>bidang</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kesehatan</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dalam</w:t>
      </w:r>
      <w:proofErr w:type="spellEnd"/>
      <w:r w:rsidRPr="007720BC">
        <w:rPr>
          <w:rFonts w:ascii="Times New Roman" w:hAnsi="Times New Roman" w:cs="Times New Roman"/>
          <w:b w:val="0"/>
          <w:bCs w:val="0"/>
          <w:sz w:val="24"/>
          <w:szCs w:val="24"/>
          <w:lang w:val="en-US"/>
        </w:rPr>
        <w:t xml:space="preserve"> </w:t>
      </w:r>
      <w:bookmarkStart w:id="0" w:name="_Hlk142432881"/>
      <w:proofErr w:type="spellStart"/>
      <w:r w:rsidRPr="007720BC">
        <w:rPr>
          <w:rFonts w:ascii="Times New Roman" w:hAnsi="Times New Roman" w:cs="Times New Roman"/>
          <w:b w:val="0"/>
          <w:bCs w:val="0"/>
          <w:sz w:val="24"/>
          <w:szCs w:val="24"/>
          <w:lang w:val="en-US"/>
        </w:rPr>
        <w:t>Rencana</w:t>
      </w:r>
      <w:proofErr w:type="spellEnd"/>
      <w:r w:rsidRPr="007720BC">
        <w:rPr>
          <w:rFonts w:ascii="Times New Roman" w:hAnsi="Times New Roman" w:cs="Times New Roman"/>
          <w:b w:val="0"/>
          <w:bCs w:val="0"/>
          <w:sz w:val="24"/>
          <w:szCs w:val="24"/>
          <w:lang w:val="en-US"/>
        </w:rPr>
        <w:t xml:space="preserve"> Pembangunan </w:t>
      </w:r>
      <w:proofErr w:type="spellStart"/>
      <w:r w:rsidRPr="007720BC">
        <w:rPr>
          <w:rFonts w:ascii="Times New Roman" w:hAnsi="Times New Roman" w:cs="Times New Roman"/>
          <w:b w:val="0"/>
          <w:bCs w:val="0"/>
          <w:sz w:val="24"/>
          <w:szCs w:val="24"/>
          <w:lang w:val="en-US"/>
        </w:rPr>
        <w:t>Jangka</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Menengah</w:t>
      </w:r>
      <w:proofErr w:type="spellEnd"/>
      <w:r w:rsidRPr="007720BC">
        <w:rPr>
          <w:rFonts w:ascii="Times New Roman" w:hAnsi="Times New Roman" w:cs="Times New Roman"/>
          <w:b w:val="0"/>
          <w:bCs w:val="0"/>
          <w:sz w:val="24"/>
          <w:szCs w:val="24"/>
          <w:lang w:val="en-US"/>
        </w:rPr>
        <w:t xml:space="preserve"> Nasional (RPJMN) 2020-2024 </w:t>
      </w:r>
      <w:bookmarkEnd w:id="0"/>
      <w:proofErr w:type="spellStart"/>
      <w:r w:rsidRPr="007720BC">
        <w:rPr>
          <w:rFonts w:ascii="Times New Roman" w:hAnsi="Times New Roman" w:cs="Times New Roman"/>
          <w:b w:val="0"/>
          <w:bCs w:val="0"/>
          <w:sz w:val="24"/>
          <w:szCs w:val="24"/>
          <w:lang w:val="en-US"/>
        </w:rPr>
        <w:t>dengan</w:t>
      </w:r>
      <w:proofErr w:type="spellEnd"/>
      <w:r w:rsidRPr="007720BC">
        <w:rPr>
          <w:rFonts w:ascii="Times New Roman" w:hAnsi="Times New Roman" w:cs="Times New Roman"/>
          <w:b w:val="0"/>
          <w:bCs w:val="0"/>
          <w:sz w:val="24"/>
          <w:szCs w:val="24"/>
          <w:lang w:val="en-US"/>
        </w:rPr>
        <w:t xml:space="preserve"> target pada </w:t>
      </w:r>
      <w:proofErr w:type="spellStart"/>
      <w:r w:rsidRPr="007720BC">
        <w:rPr>
          <w:rFonts w:ascii="Times New Roman" w:hAnsi="Times New Roman" w:cs="Times New Roman"/>
          <w:b w:val="0"/>
          <w:bCs w:val="0"/>
          <w:sz w:val="24"/>
          <w:szCs w:val="24"/>
          <w:lang w:val="en-US"/>
        </w:rPr>
        <w:t>tahun</w:t>
      </w:r>
      <w:proofErr w:type="spellEnd"/>
      <w:r w:rsidRPr="007720BC">
        <w:rPr>
          <w:rFonts w:ascii="Times New Roman" w:hAnsi="Times New Roman" w:cs="Times New Roman"/>
          <w:b w:val="0"/>
          <w:bCs w:val="0"/>
          <w:sz w:val="24"/>
          <w:szCs w:val="24"/>
          <w:lang w:val="en-US"/>
        </w:rPr>
        <w:t xml:space="preserve"> 2024 </w:t>
      </w:r>
      <w:proofErr w:type="spellStart"/>
      <w:r w:rsidRPr="007720BC">
        <w:rPr>
          <w:rFonts w:ascii="Times New Roman" w:hAnsi="Times New Roman" w:cs="Times New Roman"/>
          <w:b w:val="0"/>
          <w:bCs w:val="0"/>
          <w:sz w:val="24"/>
          <w:szCs w:val="24"/>
          <w:lang w:val="en-US"/>
        </w:rPr>
        <w:t>prevalensi</w:t>
      </w:r>
      <w:proofErr w:type="spellEnd"/>
      <w:r w:rsidRPr="007720BC">
        <w:rPr>
          <w:rFonts w:ascii="Times New Roman" w:hAnsi="Times New Roman" w:cs="Times New Roman"/>
          <w:b w:val="0"/>
          <w:bCs w:val="0"/>
          <w:sz w:val="24"/>
          <w:szCs w:val="24"/>
          <w:lang w:val="en-US"/>
        </w:rPr>
        <w:t xml:space="preserve"> stunting di Indonesia </w:t>
      </w:r>
      <w:proofErr w:type="spellStart"/>
      <w:r w:rsidRPr="007720BC">
        <w:rPr>
          <w:rFonts w:ascii="Times New Roman" w:hAnsi="Times New Roman" w:cs="Times New Roman"/>
          <w:b w:val="0"/>
          <w:bCs w:val="0"/>
          <w:sz w:val="24"/>
          <w:szCs w:val="24"/>
          <w:lang w:val="en-US"/>
        </w:rPr>
        <w:t>turun</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menjadi</w:t>
      </w:r>
      <w:proofErr w:type="spellEnd"/>
      <w:r w:rsidRPr="007720BC">
        <w:rPr>
          <w:rFonts w:ascii="Times New Roman" w:hAnsi="Times New Roman" w:cs="Times New Roman"/>
          <w:b w:val="0"/>
          <w:bCs w:val="0"/>
          <w:sz w:val="24"/>
          <w:szCs w:val="24"/>
          <w:lang w:val="en-US"/>
        </w:rPr>
        <w:t xml:space="preserve"> 14%</w:t>
      </w:r>
      <w:r w:rsidR="00CE4A76" w:rsidRPr="007720BC">
        <w:rPr>
          <w:rFonts w:ascii="Times New Roman" w:hAnsi="Times New Roman" w:cs="Times New Roman"/>
          <w:b w:val="0"/>
          <w:bCs w:val="0"/>
          <w:sz w:val="24"/>
          <w:szCs w:val="24"/>
          <w:lang w:val="en-US"/>
        </w:rPr>
        <w:t xml:space="preserve"> </w:t>
      </w:r>
      <w:r w:rsidR="00CE4A76" w:rsidRPr="007720BC">
        <w:rPr>
          <w:rFonts w:ascii="Times New Roman" w:hAnsi="Times New Roman" w:cs="Times New Roman"/>
          <w:b w:val="0"/>
          <w:bCs w:val="0"/>
          <w:sz w:val="24"/>
          <w:szCs w:val="24"/>
          <w:lang w:val="en-US"/>
        </w:rPr>
        <w:fldChar w:fldCharType="begin" w:fldLock="1"/>
      </w:r>
      <w:r w:rsidR="00CE4A76" w:rsidRPr="007720BC">
        <w:rPr>
          <w:rFonts w:ascii="Times New Roman" w:hAnsi="Times New Roman" w:cs="Times New Roman"/>
          <w:b w:val="0"/>
          <w:bCs w:val="0"/>
          <w:sz w:val="24"/>
          <w:szCs w:val="24"/>
          <w:lang w:val="en-US"/>
        </w:rPr>
        <w:instrText>ADDIN CSL_CITATION {"citationItems":[{"id":"ITEM-1","itemData":{"ISBN":"3374114304840","ISSN":"1098-6596","PMID":"25246403","abstract":"Rencana Pembangunan Jangka Menengah Nasional (RPJMN) 2015-2019 adalah tahapan ketiga dari Rencana Pembangunan Jangka Panjang Nasional (RPJPN) 2005-2025 yang telah ditetapkan melalui Undang-undang Nomor 17 Tahun 2007. Dengan berpayung kepada UUD 1945 dan UU No. 17 Tahun 2007 tentang RPJP tadi, RPJMN 2015- 2019, disusun sebagai penjabaran dari Visi, Misi, dan Agenda (Nawa Cita) Presiden/Wakil Presiden, Joko Widodo dan Muhammad Jusuf Kalla, dengan menggunakan Rancangan Teknokratik yang telah disusun Bappenas dan berpedoman pada RPJPN 2005-2025. RPJMN 2015-2019 adalah pedoman untuk menjamin pencapaian visi d","author":[{"dropping-particle":"","family":"Bappenas","given":"","non-dropping-particle":"","parse-names":false,"suffix":""}],"container-title":"Badan Perencana Pembangunan Nasional","id":"ITEM-1","issued":{"date-parts":[["2020"]]},"number-of-pages":"313","publisher":"Badan Perencana Pembangunan Nasional","title":"Lampiran Peraturan Presiden Republik Indonesia Nomor 18 Tahun 2020 Tentang Rencana Pembangunan Jangka Menengah Nasional 2020-2024","type":"book"},"uris":["http://www.mendeley.com/documents/?uuid=763da7d6-08d5-4d4e-a00a-68e8588ec229"]}],"mendeley":{"formattedCitation":"(Bappenas 2020)","plainTextFormattedCitation":"(Bappenas 2020)","previouslyFormattedCitation":"(Bappenas 2020)"},"properties":{"noteIndex":0},"schema":"https://github.com/citation-style-language/schema/raw/master/csl-citation.json"}</w:instrText>
      </w:r>
      <w:r w:rsidR="00CE4A76" w:rsidRPr="007720BC">
        <w:rPr>
          <w:rFonts w:ascii="Times New Roman" w:hAnsi="Times New Roman" w:cs="Times New Roman"/>
          <w:b w:val="0"/>
          <w:bCs w:val="0"/>
          <w:sz w:val="24"/>
          <w:szCs w:val="24"/>
          <w:lang w:val="en-US"/>
        </w:rPr>
        <w:fldChar w:fldCharType="separate"/>
      </w:r>
      <w:r w:rsidR="00CE4A76" w:rsidRPr="007720BC">
        <w:rPr>
          <w:rFonts w:ascii="Times New Roman" w:hAnsi="Times New Roman" w:cs="Times New Roman"/>
          <w:b w:val="0"/>
          <w:bCs w:val="0"/>
          <w:noProof/>
          <w:sz w:val="24"/>
          <w:szCs w:val="24"/>
          <w:lang w:val="en-US"/>
        </w:rPr>
        <w:t>(Bappenas 2020)</w:t>
      </w:r>
      <w:r w:rsidR="00CE4A76" w:rsidRPr="007720BC">
        <w:rPr>
          <w:rFonts w:ascii="Times New Roman" w:hAnsi="Times New Roman" w:cs="Times New Roman"/>
          <w:b w:val="0"/>
          <w:bCs w:val="0"/>
          <w:sz w:val="24"/>
          <w:szCs w:val="24"/>
          <w:lang w:val="en-US"/>
        </w:rPr>
        <w:fldChar w:fldCharType="end"/>
      </w:r>
      <w:r w:rsidR="00CE4A76" w:rsidRPr="007720BC">
        <w:rPr>
          <w:rFonts w:ascii="Times New Roman" w:hAnsi="Times New Roman" w:cs="Times New Roman"/>
          <w:b w:val="0"/>
          <w:bCs w:val="0"/>
          <w:sz w:val="24"/>
          <w:szCs w:val="24"/>
          <w:lang w:val="en-US"/>
        </w:rPr>
        <w:t>.</w:t>
      </w:r>
      <w:r w:rsidRPr="007720BC">
        <w:rPr>
          <w:rFonts w:ascii="Times New Roman" w:hAnsi="Times New Roman" w:cs="Times New Roman"/>
          <w:b w:val="0"/>
          <w:bCs w:val="0"/>
          <w:sz w:val="24"/>
          <w:szCs w:val="24"/>
          <w:lang w:val="en-US"/>
        </w:rPr>
        <w:t xml:space="preserve"> </w:t>
      </w:r>
      <w:proofErr w:type="spellStart"/>
      <w:r w:rsidR="001B5F2D" w:rsidRPr="007720BC">
        <w:rPr>
          <w:rFonts w:ascii="Times New Roman" w:hAnsi="Times New Roman" w:cs="Times New Roman"/>
          <w:b w:val="0"/>
          <w:bCs w:val="0"/>
          <w:sz w:val="24"/>
          <w:szCs w:val="24"/>
          <w:lang w:val="en-US"/>
        </w:rPr>
        <w:t>Menurut</w:t>
      </w:r>
      <w:proofErr w:type="spellEnd"/>
      <w:r w:rsidR="001B5F2D" w:rsidRPr="007720BC">
        <w:rPr>
          <w:rFonts w:ascii="Times New Roman" w:hAnsi="Times New Roman" w:cs="Times New Roman"/>
          <w:b w:val="0"/>
          <w:bCs w:val="0"/>
          <w:sz w:val="24"/>
          <w:szCs w:val="24"/>
        </w:rPr>
        <w:t xml:space="preserve"> Per</w:t>
      </w:r>
      <w:proofErr w:type="spellStart"/>
      <w:r w:rsidR="001B5F2D" w:rsidRPr="007720BC">
        <w:rPr>
          <w:rFonts w:ascii="Times New Roman" w:hAnsi="Times New Roman" w:cs="Times New Roman"/>
          <w:b w:val="0"/>
          <w:bCs w:val="0"/>
          <w:sz w:val="24"/>
          <w:szCs w:val="24"/>
          <w:lang w:val="en-US"/>
        </w:rPr>
        <w:t>aturan</w:t>
      </w:r>
      <w:proofErr w:type="spellEnd"/>
      <w:r w:rsidR="001B5F2D" w:rsidRPr="007720BC">
        <w:rPr>
          <w:rFonts w:ascii="Times New Roman" w:hAnsi="Times New Roman" w:cs="Times New Roman"/>
          <w:b w:val="0"/>
          <w:bCs w:val="0"/>
          <w:sz w:val="24"/>
          <w:szCs w:val="24"/>
          <w:lang w:val="en-US"/>
        </w:rPr>
        <w:t xml:space="preserve"> </w:t>
      </w:r>
      <w:proofErr w:type="spellStart"/>
      <w:r w:rsidR="001B5F2D" w:rsidRPr="007720BC">
        <w:rPr>
          <w:rFonts w:ascii="Times New Roman" w:hAnsi="Times New Roman" w:cs="Times New Roman"/>
          <w:b w:val="0"/>
          <w:bCs w:val="0"/>
          <w:sz w:val="24"/>
          <w:szCs w:val="24"/>
          <w:lang w:val="en-US"/>
        </w:rPr>
        <w:t>Presiden</w:t>
      </w:r>
      <w:proofErr w:type="spellEnd"/>
      <w:r w:rsidR="001B5F2D" w:rsidRPr="007720BC">
        <w:rPr>
          <w:rFonts w:ascii="Times New Roman" w:hAnsi="Times New Roman" w:cs="Times New Roman"/>
          <w:b w:val="0"/>
          <w:bCs w:val="0"/>
          <w:sz w:val="24"/>
          <w:szCs w:val="24"/>
          <w:lang w:val="en-US"/>
        </w:rPr>
        <w:t xml:space="preserve"> (</w:t>
      </w:r>
      <w:proofErr w:type="spellStart"/>
      <w:r w:rsidR="001B5F2D" w:rsidRPr="007720BC">
        <w:rPr>
          <w:rFonts w:ascii="Times New Roman" w:hAnsi="Times New Roman" w:cs="Times New Roman"/>
          <w:b w:val="0"/>
          <w:bCs w:val="0"/>
          <w:sz w:val="24"/>
          <w:szCs w:val="24"/>
          <w:lang w:val="en-US"/>
        </w:rPr>
        <w:t>Perpres</w:t>
      </w:r>
      <w:proofErr w:type="spellEnd"/>
      <w:r w:rsidR="001B5F2D" w:rsidRPr="007720BC">
        <w:rPr>
          <w:rFonts w:ascii="Times New Roman" w:hAnsi="Times New Roman" w:cs="Times New Roman"/>
          <w:b w:val="0"/>
          <w:bCs w:val="0"/>
          <w:sz w:val="24"/>
          <w:szCs w:val="24"/>
          <w:lang w:val="en-US"/>
        </w:rPr>
        <w:t>)</w:t>
      </w:r>
      <w:r w:rsidR="001B5F2D" w:rsidRPr="007720BC">
        <w:rPr>
          <w:rFonts w:ascii="Times New Roman" w:hAnsi="Times New Roman" w:cs="Times New Roman"/>
          <w:b w:val="0"/>
          <w:bCs w:val="0"/>
          <w:sz w:val="24"/>
          <w:szCs w:val="24"/>
        </w:rPr>
        <w:t xml:space="preserve"> No 72 Tahun 2021</w:t>
      </w:r>
      <w:r w:rsidR="001B5F2D" w:rsidRPr="007720BC">
        <w:rPr>
          <w:rFonts w:ascii="Times New Roman" w:hAnsi="Times New Roman" w:cs="Times New Roman"/>
          <w:b w:val="0"/>
          <w:bCs w:val="0"/>
          <w:sz w:val="24"/>
          <w:szCs w:val="24"/>
          <w:lang w:val="en-US"/>
        </w:rPr>
        <w:t xml:space="preserve"> </w:t>
      </w:r>
      <w:proofErr w:type="spellStart"/>
      <w:r w:rsidR="001B5F2D" w:rsidRPr="007720BC">
        <w:rPr>
          <w:rFonts w:ascii="Times New Roman" w:hAnsi="Times New Roman" w:cs="Times New Roman"/>
          <w:b w:val="0"/>
          <w:bCs w:val="0"/>
          <w:sz w:val="24"/>
          <w:szCs w:val="24"/>
          <w:lang w:val="en-US"/>
        </w:rPr>
        <w:t>tentang</w:t>
      </w:r>
      <w:proofErr w:type="spellEnd"/>
      <w:r w:rsidR="001B5F2D" w:rsidRPr="007720BC">
        <w:rPr>
          <w:rFonts w:ascii="Times New Roman" w:hAnsi="Times New Roman" w:cs="Times New Roman"/>
          <w:b w:val="0"/>
          <w:bCs w:val="0"/>
          <w:sz w:val="24"/>
          <w:szCs w:val="24"/>
          <w:lang w:val="en-US"/>
        </w:rPr>
        <w:t xml:space="preserve"> </w:t>
      </w:r>
      <w:proofErr w:type="spellStart"/>
      <w:r w:rsidR="001B5F2D" w:rsidRPr="007720BC">
        <w:rPr>
          <w:rFonts w:ascii="Times New Roman" w:hAnsi="Times New Roman" w:cs="Times New Roman"/>
          <w:b w:val="0"/>
          <w:bCs w:val="0"/>
          <w:sz w:val="24"/>
          <w:szCs w:val="24"/>
          <w:lang w:val="en-US"/>
        </w:rPr>
        <w:t>percepatan</w:t>
      </w:r>
      <w:proofErr w:type="spellEnd"/>
      <w:r w:rsidR="001B5F2D" w:rsidRPr="007720BC">
        <w:rPr>
          <w:rFonts w:ascii="Times New Roman" w:hAnsi="Times New Roman" w:cs="Times New Roman"/>
          <w:b w:val="0"/>
          <w:bCs w:val="0"/>
          <w:sz w:val="24"/>
          <w:szCs w:val="24"/>
          <w:lang w:val="en-US"/>
        </w:rPr>
        <w:t xml:space="preserve"> </w:t>
      </w:r>
      <w:proofErr w:type="spellStart"/>
      <w:r w:rsidR="001B5F2D" w:rsidRPr="007720BC">
        <w:rPr>
          <w:rFonts w:ascii="Times New Roman" w:hAnsi="Times New Roman" w:cs="Times New Roman"/>
          <w:b w:val="0"/>
          <w:bCs w:val="0"/>
          <w:sz w:val="24"/>
          <w:szCs w:val="24"/>
          <w:lang w:val="en-US"/>
        </w:rPr>
        <w:t>penurunan</w:t>
      </w:r>
      <w:proofErr w:type="spellEnd"/>
      <w:r w:rsidR="001B5F2D" w:rsidRPr="007720BC">
        <w:rPr>
          <w:rFonts w:ascii="Times New Roman" w:hAnsi="Times New Roman" w:cs="Times New Roman"/>
          <w:b w:val="0"/>
          <w:bCs w:val="0"/>
          <w:sz w:val="24"/>
          <w:szCs w:val="24"/>
          <w:lang w:val="en-US"/>
        </w:rPr>
        <w:t xml:space="preserve"> stunting</w:t>
      </w:r>
      <w:r w:rsidR="00E265B9" w:rsidRPr="007720BC">
        <w:rPr>
          <w:rFonts w:ascii="Times New Roman" w:hAnsi="Times New Roman" w:cs="Times New Roman"/>
          <w:b w:val="0"/>
          <w:bCs w:val="0"/>
          <w:sz w:val="24"/>
          <w:szCs w:val="24"/>
          <w:lang w:val="en-US"/>
        </w:rPr>
        <w:t xml:space="preserve"> </w:t>
      </w:r>
      <w:proofErr w:type="spellStart"/>
      <w:r w:rsidR="00E265B9" w:rsidRPr="007720BC">
        <w:rPr>
          <w:rFonts w:ascii="Times New Roman" w:hAnsi="Times New Roman" w:cs="Times New Roman"/>
          <w:b w:val="0"/>
          <w:bCs w:val="0"/>
          <w:sz w:val="24"/>
          <w:szCs w:val="24"/>
          <w:lang w:val="en-US"/>
        </w:rPr>
        <w:t>ditegaskan</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bahwa</w:t>
      </w:r>
      <w:proofErr w:type="spellEnd"/>
      <w:r w:rsidRPr="007720BC">
        <w:rPr>
          <w:rFonts w:ascii="Times New Roman" w:hAnsi="Times New Roman" w:cs="Times New Roman"/>
          <w:b w:val="0"/>
          <w:bCs w:val="0"/>
          <w:sz w:val="24"/>
          <w:szCs w:val="24"/>
          <w:lang w:val="en-US"/>
        </w:rPr>
        <w:t xml:space="preserve"> </w:t>
      </w:r>
      <w:r w:rsidR="001B5F2D" w:rsidRPr="007720BC">
        <w:rPr>
          <w:rFonts w:ascii="Times New Roman" w:hAnsi="Times New Roman" w:cs="Times New Roman"/>
          <w:b w:val="0"/>
          <w:bCs w:val="0"/>
          <w:sz w:val="24"/>
          <w:szCs w:val="24"/>
        </w:rPr>
        <w:t xml:space="preserve">stunting </w:t>
      </w:r>
      <w:proofErr w:type="spellStart"/>
      <w:r w:rsidRPr="007720BC">
        <w:rPr>
          <w:rFonts w:ascii="Times New Roman" w:hAnsi="Times New Roman" w:cs="Times New Roman"/>
          <w:b w:val="0"/>
          <w:bCs w:val="0"/>
          <w:sz w:val="24"/>
          <w:szCs w:val="24"/>
          <w:lang w:val="en-US"/>
        </w:rPr>
        <w:t>merupakan</w:t>
      </w:r>
      <w:proofErr w:type="spellEnd"/>
      <w:r w:rsidR="001B5F2D" w:rsidRPr="007720BC">
        <w:rPr>
          <w:rFonts w:ascii="Times New Roman" w:hAnsi="Times New Roman" w:cs="Times New Roman"/>
          <w:b w:val="0"/>
          <w:bCs w:val="0"/>
          <w:sz w:val="24"/>
          <w:szCs w:val="24"/>
          <w:lang w:val="en-US"/>
        </w:rPr>
        <w:t xml:space="preserve"> </w:t>
      </w:r>
      <w:r w:rsidR="001B5F2D" w:rsidRPr="007720BC">
        <w:rPr>
          <w:rFonts w:ascii="Times New Roman" w:hAnsi="Times New Roman" w:cs="Times New Roman"/>
          <w:b w:val="0"/>
          <w:bCs w:val="0"/>
          <w:sz w:val="24"/>
          <w:szCs w:val="24"/>
        </w:rPr>
        <w:t>gangguan pertumbuhan dan perkembangan anak akibat kekurangan gizi kronis dan infeksi berulang, yang ditandai dengan panjang atau tinggi badannya berada di bawah standar yang ditetapkan</w:t>
      </w:r>
      <w:r w:rsidR="00A15F79" w:rsidRPr="007720BC">
        <w:rPr>
          <w:rFonts w:ascii="Times New Roman" w:hAnsi="Times New Roman" w:cs="Times New Roman"/>
          <w:b w:val="0"/>
          <w:bCs w:val="0"/>
          <w:sz w:val="24"/>
          <w:szCs w:val="24"/>
          <w:lang w:val="en-US"/>
        </w:rPr>
        <w:t xml:space="preserve">. </w:t>
      </w:r>
      <w:r w:rsidR="001B5F2D" w:rsidRPr="007720BC">
        <w:rPr>
          <w:rFonts w:ascii="Times New Roman" w:hAnsi="Times New Roman" w:cs="Times New Roman"/>
          <w:b w:val="0"/>
          <w:bCs w:val="0"/>
          <w:sz w:val="24"/>
          <w:szCs w:val="24"/>
        </w:rPr>
        <w:t xml:space="preserve">Selanjutnya menurut </w:t>
      </w:r>
      <w:r w:rsidR="00A15F79" w:rsidRPr="007720BC">
        <w:rPr>
          <w:rFonts w:ascii="Times New Roman" w:hAnsi="Times New Roman" w:cs="Times New Roman"/>
          <w:b w:val="0"/>
          <w:bCs w:val="0"/>
          <w:sz w:val="24"/>
          <w:szCs w:val="24"/>
          <w:lang w:val="en-US"/>
        </w:rPr>
        <w:t>WHO</w:t>
      </w:r>
      <w:r w:rsidR="00E265B9" w:rsidRPr="007720BC">
        <w:rPr>
          <w:rFonts w:ascii="Times New Roman" w:hAnsi="Times New Roman" w:cs="Times New Roman"/>
          <w:b w:val="0"/>
          <w:bCs w:val="0"/>
          <w:sz w:val="24"/>
          <w:szCs w:val="24"/>
          <w:lang w:val="en-US"/>
        </w:rPr>
        <w:t>,</w:t>
      </w:r>
      <w:r w:rsidR="00A15F79" w:rsidRPr="007720BC">
        <w:rPr>
          <w:rFonts w:ascii="Times New Roman" w:hAnsi="Times New Roman" w:cs="Times New Roman"/>
          <w:b w:val="0"/>
          <w:bCs w:val="0"/>
          <w:sz w:val="24"/>
          <w:szCs w:val="24"/>
          <w:lang w:val="en-US"/>
        </w:rPr>
        <w:t xml:space="preserve"> stunting</w:t>
      </w:r>
      <w:r w:rsidR="001B5F2D" w:rsidRPr="007720BC">
        <w:rPr>
          <w:rStyle w:val="Emphasis"/>
          <w:rFonts w:ascii="Times New Roman" w:hAnsi="Times New Roman" w:cs="Times New Roman"/>
          <w:b w:val="0"/>
          <w:bCs w:val="0"/>
          <w:sz w:val="24"/>
          <w:szCs w:val="24"/>
          <w:lang w:val="en-US"/>
        </w:rPr>
        <w:t xml:space="preserve"> </w:t>
      </w:r>
      <w:r w:rsidR="001B5F2D" w:rsidRPr="007720BC">
        <w:rPr>
          <w:rFonts w:ascii="Times New Roman" w:hAnsi="Times New Roman" w:cs="Times New Roman"/>
          <w:b w:val="0"/>
          <w:bCs w:val="0"/>
          <w:sz w:val="24"/>
          <w:szCs w:val="24"/>
        </w:rPr>
        <w:t>adalah pendek atau sangat pendek berdasarkan panjang/tinggi badan menurut usia yang</w:t>
      </w:r>
      <w:r w:rsidR="001B5F2D" w:rsidRPr="007720BC">
        <w:rPr>
          <w:rFonts w:ascii="Times New Roman" w:hAnsi="Times New Roman" w:cs="Times New Roman"/>
          <w:b w:val="0"/>
          <w:bCs w:val="0"/>
          <w:sz w:val="24"/>
          <w:szCs w:val="24"/>
          <w:lang w:val="en-US"/>
        </w:rPr>
        <w:t xml:space="preserve"> </w:t>
      </w:r>
      <w:r w:rsidR="001B5F2D" w:rsidRPr="007720BC">
        <w:rPr>
          <w:rFonts w:ascii="Times New Roman" w:hAnsi="Times New Roman" w:cs="Times New Roman"/>
          <w:b w:val="0"/>
          <w:bCs w:val="0"/>
          <w:sz w:val="24"/>
          <w:szCs w:val="24"/>
        </w:rPr>
        <w:t>kurang dari</w:t>
      </w:r>
      <w:r w:rsidR="00A07A87" w:rsidRPr="007720BC">
        <w:rPr>
          <w:rFonts w:ascii="Times New Roman" w:hAnsi="Times New Roman" w:cs="Times New Roman"/>
          <w:b w:val="0"/>
          <w:bCs w:val="0"/>
          <w:sz w:val="24"/>
          <w:szCs w:val="24"/>
          <w:lang w:val="en-US"/>
        </w:rPr>
        <w:t xml:space="preserve"> </w:t>
      </w:r>
      <w:r w:rsidR="001B5F2D" w:rsidRPr="007720BC">
        <w:rPr>
          <w:rFonts w:ascii="Times New Roman" w:hAnsi="Times New Roman" w:cs="Times New Roman"/>
          <w:b w:val="0"/>
          <w:bCs w:val="0"/>
          <w:sz w:val="24"/>
          <w:szCs w:val="24"/>
        </w:rPr>
        <w:t>-2</w:t>
      </w:r>
      <w:r w:rsidR="00A07A87" w:rsidRPr="007720BC">
        <w:rPr>
          <w:rFonts w:ascii="Times New Roman" w:hAnsi="Times New Roman" w:cs="Times New Roman"/>
          <w:b w:val="0"/>
          <w:bCs w:val="0"/>
          <w:sz w:val="24"/>
          <w:szCs w:val="24"/>
          <w:lang w:val="en-US"/>
        </w:rPr>
        <w:t xml:space="preserve"> S</w:t>
      </w:r>
      <w:r w:rsidR="001B5F2D" w:rsidRPr="007720BC">
        <w:rPr>
          <w:rFonts w:ascii="Times New Roman" w:hAnsi="Times New Roman" w:cs="Times New Roman"/>
          <w:b w:val="0"/>
          <w:bCs w:val="0"/>
          <w:sz w:val="24"/>
          <w:szCs w:val="24"/>
        </w:rPr>
        <w:t xml:space="preserve">tandar </w:t>
      </w:r>
      <w:r w:rsidR="00A07A87" w:rsidRPr="007720BC">
        <w:rPr>
          <w:rFonts w:ascii="Times New Roman" w:hAnsi="Times New Roman" w:cs="Times New Roman"/>
          <w:b w:val="0"/>
          <w:bCs w:val="0"/>
          <w:sz w:val="24"/>
          <w:szCs w:val="24"/>
          <w:lang w:val="en-US"/>
        </w:rPr>
        <w:t>D</w:t>
      </w:r>
      <w:r w:rsidR="001B5F2D" w:rsidRPr="007720BC">
        <w:rPr>
          <w:rFonts w:ascii="Times New Roman" w:hAnsi="Times New Roman" w:cs="Times New Roman"/>
          <w:b w:val="0"/>
          <w:bCs w:val="0"/>
          <w:sz w:val="24"/>
          <w:szCs w:val="24"/>
        </w:rPr>
        <w:t>eviasi (SD) pada kurva pertumbuhan WHO yang terjadi dikarenakan</w:t>
      </w:r>
      <w:r w:rsidR="001B5F2D" w:rsidRPr="007720BC">
        <w:rPr>
          <w:rFonts w:ascii="Times New Roman" w:hAnsi="Times New Roman" w:cs="Times New Roman"/>
          <w:b w:val="0"/>
          <w:bCs w:val="0"/>
          <w:sz w:val="24"/>
          <w:szCs w:val="24"/>
          <w:lang w:val="en-US"/>
        </w:rPr>
        <w:t xml:space="preserve"> </w:t>
      </w:r>
      <w:r w:rsidR="001B5F2D" w:rsidRPr="007720BC">
        <w:rPr>
          <w:rFonts w:ascii="Times New Roman" w:hAnsi="Times New Roman" w:cs="Times New Roman"/>
          <w:b w:val="0"/>
          <w:bCs w:val="0"/>
          <w:sz w:val="24"/>
          <w:szCs w:val="24"/>
        </w:rPr>
        <w:t xml:space="preserve">kondisi irreversibel akibat asupan nutrisi yang tidak adekuat dan/atau infeksi berulang/kronis yang terjadi dalam 1000 </w:t>
      </w:r>
      <w:r w:rsidR="00A07A87" w:rsidRPr="007720BC">
        <w:rPr>
          <w:rFonts w:ascii="Times New Roman" w:hAnsi="Times New Roman" w:cs="Times New Roman"/>
          <w:b w:val="0"/>
          <w:bCs w:val="0"/>
          <w:sz w:val="24"/>
          <w:szCs w:val="24"/>
          <w:lang w:val="en-US"/>
        </w:rPr>
        <w:t>H</w:t>
      </w:r>
      <w:r w:rsidR="000A23ED" w:rsidRPr="007720BC">
        <w:rPr>
          <w:rFonts w:ascii="Times New Roman" w:hAnsi="Times New Roman" w:cs="Times New Roman"/>
          <w:b w:val="0"/>
          <w:bCs w:val="0"/>
          <w:sz w:val="24"/>
          <w:szCs w:val="24"/>
          <w:lang w:val="en-US"/>
        </w:rPr>
        <w:t>PK.</w:t>
      </w:r>
    </w:p>
    <w:p w14:paraId="52A6F87F" w14:textId="34DC2296" w:rsidR="00E265B9" w:rsidRPr="007720BC" w:rsidRDefault="00E265B9" w:rsidP="00CB2900">
      <w:pPr>
        <w:pStyle w:val="Heading1"/>
        <w:ind w:left="0" w:right="0" w:firstLine="720"/>
        <w:contextualSpacing/>
        <w:jc w:val="both"/>
        <w:rPr>
          <w:rFonts w:ascii="Times New Roman" w:hAnsi="Times New Roman" w:cs="Times New Roman"/>
          <w:b w:val="0"/>
          <w:bCs w:val="0"/>
          <w:sz w:val="24"/>
          <w:szCs w:val="24"/>
        </w:rPr>
      </w:pPr>
      <w:proofErr w:type="spellStart"/>
      <w:r w:rsidRPr="007720BC">
        <w:rPr>
          <w:rFonts w:ascii="Times New Roman" w:hAnsi="Times New Roman" w:cs="Times New Roman"/>
          <w:b w:val="0"/>
          <w:bCs w:val="0"/>
          <w:sz w:val="24"/>
          <w:szCs w:val="24"/>
          <w:lang w:val="en-US"/>
        </w:rPr>
        <w:t>Berkaitan</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dengan</w:t>
      </w:r>
      <w:proofErr w:type="spellEnd"/>
      <w:r w:rsidRPr="007720BC">
        <w:rPr>
          <w:rFonts w:ascii="Times New Roman" w:hAnsi="Times New Roman" w:cs="Times New Roman"/>
          <w:b w:val="0"/>
          <w:bCs w:val="0"/>
          <w:sz w:val="24"/>
          <w:szCs w:val="24"/>
          <w:lang w:val="en-US"/>
        </w:rPr>
        <w:t xml:space="preserve"> c</w:t>
      </w:r>
      <w:r w:rsidRPr="007720BC">
        <w:rPr>
          <w:rFonts w:ascii="Times New Roman" w:hAnsi="Times New Roman" w:cs="Times New Roman"/>
          <w:b w:val="0"/>
          <w:bCs w:val="0"/>
          <w:sz w:val="24"/>
          <w:szCs w:val="24"/>
        </w:rPr>
        <w:t>apaian Prevalensi</w:t>
      </w:r>
      <w:r w:rsidRPr="007720BC">
        <w:rPr>
          <w:rFonts w:ascii="Times New Roman" w:hAnsi="Times New Roman" w:cs="Times New Roman"/>
          <w:b w:val="0"/>
          <w:bCs w:val="0"/>
          <w:spacing w:val="1"/>
          <w:sz w:val="24"/>
          <w:szCs w:val="24"/>
        </w:rPr>
        <w:t xml:space="preserve"> </w:t>
      </w:r>
      <w:r w:rsidRPr="007720BC">
        <w:rPr>
          <w:rFonts w:ascii="Times New Roman" w:hAnsi="Times New Roman" w:cs="Times New Roman"/>
          <w:b w:val="0"/>
          <w:bCs w:val="0"/>
          <w:sz w:val="24"/>
          <w:szCs w:val="24"/>
        </w:rPr>
        <w:t xml:space="preserve">Stunting di </w:t>
      </w:r>
      <w:proofErr w:type="spellStart"/>
      <w:r w:rsidRPr="007720BC">
        <w:rPr>
          <w:rFonts w:ascii="Times New Roman" w:hAnsi="Times New Roman" w:cs="Times New Roman"/>
          <w:b w:val="0"/>
          <w:bCs w:val="0"/>
          <w:sz w:val="24"/>
          <w:szCs w:val="24"/>
          <w:lang w:val="en-US"/>
        </w:rPr>
        <w:t>Kabupaten</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Serang</w:t>
      </w:r>
      <w:proofErr w:type="spellEnd"/>
      <w:r w:rsidR="000A23ED" w:rsidRPr="007720BC">
        <w:rPr>
          <w:rFonts w:ascii="Times New Roman" w:hAnsi="Times New Roman" w:cs="Times New Roman"/>
          <w:b w:val="0"/>
          <w:bCs w:val="0"/>
          <w:sz w:val="24"/>
          <w:szCs w:val="24"/>
          <w:lang w:val="en-US"/>
        </w:rPr>
        <w:t xml:space="preserve"> </w:t>
      </w:r>
      <w:proofErr w:type="spellStart"/>
      <w:r w:rsidR="000A23ED" w:rsidRPr="007720BC">
        <w:rPr>
          <w:rFonts w:ascii="Times New Roman" w:hAnsi="Times New Roman" w:cs="Times New Roman"/>
          <w:b w:val="0"/>
          <w:bCs w:val="0"/>
          <w:sz w:val="24"/>
          <w:szCs w:val="24"/>
          <w:lang w:val="en-US"/>
        </w:rPr>
        <w:t>Provinsi</w:t>
      </w:r>
      <w:proofErr w:type="spellEnd"/>
      <w:r w:rsidR="000A23ED" w:rsidRPr="007720BC">
        <w:rPr>
          <w:rFonts w:ascii="Times New Roman" w:hAnsi="Times New Roman" w:cs="Times New Roman"/>
          <w:b w:val="0"/>
          <w:bCs w:val="0"/>
          <w:sz w:val="24"/>
          <w:szCs w:val="24"/>
          <w:lang w:val="en-US"/>
        </w:rPr>
        <w:t xml:space="preserve"> Banten</w:t>
      </w:r>
      <w:r w:rsidRPr="007720BC">
        <w:rPr>
          <w:rFonts w:ascii="Times New Roman" w:hAnsi="Times New Roman" w:cs="Times New Roman"/>
          <w:b w:val="0"/>
          <w:bCs w:val="0"/>
          <w:sz w:val="24"/>
          <w:szCs w:val="24"/>
          <w:lang w:val="en-US"/>
        </w:rPr>
        <w:t xml:space="preserve">, data </w:t>
      </w:r>
      <w:proofErr w:type="spellStart"/>
      <w:r w:rsidRPr="007720BC">
        <w:rPr>
          <w:rFonts w:ascii="Times New Roman" w:hAnsi="Times New Roman" w:cs="Times New Roman"/>
          <w:b w:val="0"/>
          <w:bCs w:val="0"/>
          <w:sz w:val="24"/>
          <w:szCs w:val="24"/>
          <w:lang w:val="en-US"/>
        </w:rPr>
        <w:t>menunjukkan</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bahwa</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dari</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tahun</w:t>
      </w:r>
      <w:proofErr w:type="spellEnd"/>
      <w:r w:rsidRPr="007720BC">
        <w:rPr>
          <w:rFonts w:ascii="Times New Roman" w:hAnsi="Times New Roman" w:cs="Times New Roman"/>
          <w:b w:val="0"/>
          <w:bCs w:val="0"/>
          <w:sz w:val="24"/>
          <w:szCs w:val="24"/>
        </w:rPr>
        <w:t xml:space="preserve"> 20</w:t>
      </w:r>
      <w:r w:rsidRPr="007720BC">
        <w:rPr>
          <w:rFonts w:ascii="Times New Roman" w:hAnsi="Times New Roman" w:cs="Times New Roman"/>
          <w:b w:val="0"/>
          <w:bCs w:val="0"/>
          <w:sz w:val="24"/>
          <w:szCs w:val="24"/>
          <w:lang w:val="en-US"/>
        </w:rPr>
        <w:t xml:space="preserve">19 </w:t>
      </w:r>
      <w:r w:rsidRPr="007720BC">
        <w:rPr>
          <w:rFonts w:ascii="Times New Roman" w:hAnsi="Times New Roman" w:cs="Times New Roman"/>
          <w:b w:val="0"/>
          <w:bCs w:val="0"/>
          <w:sz w:val="24"/>
          <w:szCs w:val="24"/>
        </w:rPr>
        <w:t>hingga 20</w:t>
      </w:r>
      <w:r w:rsidRPr="007720BC">
        <w:rPr>
          <w:rFonts w:ascii="Times New Roman" w:hAnsi="Times New Roman" w:cs="Times New Roman"/>
          <w:b w:val="0"/>
          <w:bCs w:val="0"/>
          <w:sz w:val="24"/>
          <w:szCs w:val="24"/>
          <w:lang w:val="en-US"/>
        </w:rPr>
        <w:t>22</w:t>
      </w:r>
      <w:r w:rsidRPr="007720BC">
        <w:rPr>
          <w:rFonts w:ascii="Times New Roman" w:hAnsi="Times New Roman" w:cs="Times New Roman"/>
          <w:b w:val="0"/>
          <w:bCs w:val="0"/>
          <w:sz w:val="24"/>
          <w:szCs w:val="24"/>
        </w:rPr>
        <w:t xml:space="preserve"> te</w:t>
      </w:r>
      <w:proofErr w:type="spellStart"/>
      <w:r w:rsidRPr="007720BC">
        <w:rPr>
          <w:rFonts w:ascii="Times New Roman" w:hAnsi="Times New Roman" w:cs="Times New Roman"/>
          <w:b w:val="0"/>
          <w:bCs w:val="0"/>
          <w:sz w:val="24"/>
          <w:szCs w:val="24"/>
          <w:lang w:val="en-US"/>
        </w:rPr>
        <w:t>lah</w:t>
      </w:r>
      <w:proofErr w:type="spellEnd"/>
      <w:r w:rsidRPr="007720BC">
        <w:rPr>
          <w:rFonts w:ascii="Times New Roman" w:hAnsi="Times New Roman" w:cs="Times New Roman"/>
          <w:b w:val="0"/>
          <w:bCs w:val="0"/>
          <w:sz w:val="24"/>
          <w:szCs w:val="24"/>
          <w:lang w:val="en-US"/>
        </w:rPr>
        <w:t xml:space="preserve"> </w:t>
      </w:r>
      <w:r w:rsidRPr="007720BC">
        <w:rPr>
          <w:rFonts w:ascii="Times New Roman" w:hAnsi="Times New Roman" w:cs="Times New Roman"/>
          <w:b w:val="0"/>
          <w:bCs w:val="0"/>
          <w:sz w:val="24"/>
          <w:szCs w:val="24"/>
        </w:rPr>
        <w:t>mengalami penurunan.</w:t>
      </w:r>
      <w:r w:rsidRPr="007720BC">
        <w:rPr>
          <w:rFonts w:ascii="Times New Roman" w:hAnsi="Times New Roman" w:cs="Times New Roman"/>
          <w:b w:val="0"/>
          <w:bCs w:val="0"/>
          <w:spacing w:val="1"/>
          <w:sz w:val="24"/>
          <w:szCs w:val="24"/>
        </w:rPr>
        <w:t xml:space="preserve"> </w:t>
      </w:r>
      <w:r w:rsidRPr="007720BC">
        <w:rPr>
          <w:rStyle w:val="hgkelc"/>
          <w:rFonts w:ascii="Times New Roman" w:hAnsi="Times New Roman" w:cs="Times New Roman"/>
          <w:b w:val="0"/>
          <w:bCs w:val="0"/>
          <w:sz w:val="24"/>
          <w:szCs w:val="24"/>
          <w:lang w:val="id-ID"/>
        </w:rPr>
        <w:t>Berdasarkan data Studi Status Gizi Indonesia (SSGI) tahun 2019 angka stunting di Kabupaten Serang</w:t>
      </w:r>
      <w:r w:rsidRPr="007720BC">
        <w:rPr>
          <w:rStyle w:val="hgkelc"/>
          <w:rFonts w:ascii="Times New Roman" w:hAnsi="Times New Roman" w:cs="Times New Roman"/>
          <w:b w:val="0"/>
          <w:bCs w:val="0"/>
          <w:sz w:val="24"/>
          <w:szCs w:val="24"/>
          <w:lang w:val="en-US"/>
        </w:rPr>
        <w:t xml:space="preserve"> </w:t>
      </w:r>
      <w:proofErr w:type="spellStart"/>
      <w:r w:rsidRPr="007720BC">
        <w:rPr>
          <w:rStyle w:val="hgkelc"/>
          <w:rFonts w:ascii="Times New Roman" w:hAnsi="Times New Roman" w:cs="Times New Roman"/>
          <w:b w:val="0"/>
          <w:bCs w:val="0"/>
          <w:sz w:val="24"/>
          <w:szCs w:val="24"/>
          <w:lang w:val="en-US"/>
        </w:rPr>
        <w:t>mencapai</w:t>
      </w:r>
      <w:proofErr w:type="spellEnd"/>
      <w:r w:rsidRPr="007720BC">
        <w:rPr>
          <w:rStyle w:val="hgkelc"/>
          <w:rFonts w:ascii="Times New Roman" w:hAnsi="Times New Roman" w:cs="Times New Roman"/>
          <w:b w:val="0"/>
          <w:bCs w:val="0"/>
          <w:sz w:val="24"/>
          <w:szCs w:val="24"/>
          <w:lang w:val="en-US"/>
        </w:rPr>
        <w:t xml:space="preserve"> </w:t>
      </w:r>
      <w:proofErr w:type="spellStart"/>
      <w:r w:rsidRPr="007720BC">
        <w:rPr>
          <w:rStyle w:val="hgkelc"/>
          <w:rFonts w:ascii="Times New Roman" w:hAnsi="Times New Roman" w:cs="Times New Roman"/>
          <w:b w:val="0"/>
          <w:bCs w:val="0"/>
          <w:sz w:val="24"/>
          <w:szCs w:val="24"/>
          <w:lang w:val="en-US"/>
        </w:rPr>
        <w:t>angka</w:t>
      </w:r>
      <w:proofErr w:type="spellEnd"/>
      <w:r w:rsidRPr="007720BC">
        <w:rPr>
          <w:rStyle w:val="hgkelc"/>
          <w:rFonts w:ascii="Times New Roman" w:hAnsi="Times New Roman" w:cs="Times New Roman"/>
          <w:b w:val="0"/>
          <w:bCs w:val="0"/>
          <w:sz w:val="24"/>
          <w:szCs w:val="24"/>
          <w:lang w:val="id-ID"/>
        </w:rPr>
        <w:t xml:space="preserve"> 39,43 persen</w:t>
      </w:r>
      <w:r w:rsidR="00F549A3" w:rsidRPr="007720BC">
        <w:rPr>
          <w:rStyle w:val="hgkelc"/>
          <w:rFonts w:ascii="Times New Roman" w:hAnsi="Times New Roman" w:cs="Times New Roman"/>
          <w:b w:val="0"/>
          <w:bCs w:val="0"/>
          <w:sz w:val="24"/>
          <w:szCs w:val="24"/>
          <w:lang w:val="en-US"/>
        </w:rPr>
        <w:t xml:space="preserve"> </w:t>
      </w:r>
      <w:r w:rsidR="00F549A3" w:rsidRPr="007720BC">
        <w:rPr>
          <w:rStyle w:val="hgkelc"/>
          <w:rFonts w:ascii="Times New Roman" w:hAnsi="Times New Roman" w:cs="Times New Roman"/>
          <w:b w:val="0"/>
          <w:bCs w:val="0"/>
          <w:sz w:val="24"/>
          <w:szCs w:val="24"/>
          <w:lang w:val="en-US"/>
        </w:rPr>
        <w:fldChar w:fldCharType="begin" w:fldLock="1"/>
      </w:r>
      <w:r w:rsidR="00BF358C" w:rsidRPr="007720BC">
        <w:rPr>
          <w:rStyle w:val="hgkelc"/>
          <w:rFonts w:ascii="Times New Roman" w:hAnsi="Times New Roman" w:cs="Times New Roman"/>
          <w:b w:val="0"/>
          <w:bCs w:val="0"/>
          <w:sz w:val="24"/>
          <w:szCs w:val="24"/>
          <w:lang w:val="en-US"/>
        </w:rPr>
        <w:instrText>ADDIN CSL_CITATION {"citationItems":[{"id":"ITEM-1","itemData":{"abstract":"Masalah gizi kurang masih menjadi perhatian utama di berbagai Negara, terutama pada kelompok balita","author":[{"dropping-particle":"","family":"Kemenkes RI","given":"","non-dropping-particle":"","parse-names":false,"suffix":""}],"container-title":"Badan Pusat Statistik, Jakarta - Indonesia","id":"ITEM-1","issued":{"date-parts":[["2019"]]},"page":"1-69","title":"Laporan Pelaksanaan Integrasi Susenas Maret 2019 dan SSGBI Tahun 2019","type":"article-journal"},"uris":["http://www.mendeley.com/documents/?uuid=6617f65d-7208-4a6d-a372-9555d34a51a2"]}],"mendeley":{"formattedCitation":"(Kemenkes RI 2019)","plainTextFormattedCitation":"(Kemenkes RI 2019)","previouslyFormattedCitation":"(Kemenkes RI 2019)"},"properties":{"noteIndex":0},"schema":"https://github.com/citation-style-language/schema/raw/master/csl-citation.json"}</w:instrText>
      </w:r>
      <w:r w:rsidR="00F549A3" w:rsidRPr="007720BC">
        <w:rPr>
          <w:rStyle w:val="hgkelc"/>
          <w:rFonts w:ascii="Times New Roman" w:hAnsi="Times New Roman" w:cs="Times New Roman"/>
          <w:b w:val="0"/>
          <w:bCs w:val="0"/>
          <w:sz w:val="24"/>
          <w:szCs w:val="24"/>
          <w:lang w:val="en-US"/>
        </w:rPr>
        <w:fldChar w:fldCharType="separate"/>
      </w:r>
      <w:r w:rsidR="00F549A3" w:rsidRPr="007720BC">
        <w:rPr>
          <w:rStyle w:val="hgkelc"/>
          <w:rFonts w:ascii="Times New Roman" w:hAnsi="Times New Roman" w:cs="Times New Roman"/>
          <w:b w:val="0"/>
          <w:bCs w:val="0"/>
          <w:noProof/>
          <w:sz w:val="24"/>
          <w:szCs w:val="24"/>
          <w:lang w:val="en-US"/>
        </w:rPr>
        <w:t>(Kemenkes RI 2019)</w:t>
      </w:r>
      <w:r w:rsidR="00F549A3" w:rsidRPr="007720BC">
        <w:rPr>
          <w:rStyle w:val="hgkelc"/>
          <w:rFonts w:ascii="Times New Roman" w:hAnsi="Times New Roman" w:cs="Times New Roman"/>
          <w:b w:val="0"/>
          <w:bCs w:val="0"/>
          <w:sz w:val="24"/>
          <w:szCs w:val="24"/>
          <w:lang w:val="en-US"/>
        </w:rPr>
        <w:fldChar w:fldCharType="end"/>
      </w:r>
      <w:r w:rsidRPr="007720BC">
        <w:rPr>
          <w:rStyle w:val="hgkelc"/>
          <w:rFonts w:ascii="Times New Roman" w:hAnsi="Times New Roman" w:cs="Times New Roman"/>
          <w:b w:val="0"/>
          <w:bCs w:val="0"/>
          <w:sz w:val="24"/>
          <w:szCs w:val="24"/>
          <w:lang w:val="id-ID"/>
        </w:rPr>
        <w:t xml:space="preserve">, pada </w:t>
      </w:r>
      <w:proofErr w:type="spellStart"/>
      <w:r w:rsidR="00D847BD" w:rsidRPr="007720BC">
        <w:rPr>
          <w:rStyle w:val="hgkelc"/>
          <w:rFonts w:ascii="Times New Roman" w:hAnsi="Times New Roman" w:cs="Times New Roman"/>
          <w:b w:val="0"/>
          <w:bCs w:val="0"/>
          <w:sz w:val="24"/>
          <w:szCs w:val="24"/>
          <w:lang w:val="en-US"/>
        </w:rPr>
        <w:t>tahun</w:t>
      </w:r>
      <w:proofErr w:type="spellEnd"/>
      <w:r w:rsidR="00D847BD" w:rsidRPr="007720BC">
        <w:rPr>
          <w:rStyle w:val="hgkelc"/>
          <w:rFonts w:ascii="Times New Roman" w:hAnsi="Times New Roman" w:cs="Times New Roman"/>
          <w:b w:val="0"/>
          <w:bCs w:val="0"/>
          <w:sz w:val="24"/>
          <w:szCs w:val="24"/>
          <w:lang w:val="en-US"/>
        </w:rPr>
        <w:t xml:space="preserve"> </w:t>
      </w:r>
      <w:r w:rsidRPr="007720BC">
        <w:rPr>
          <w:rStyle w:val="hgkelc"/>
          <w:rFonts w:ascii="Times New Roman" w:hAnsi="Times New Roman" w:cs="Times New Roman"/>
          <w:b w:val="0"/>
          <w:bCs w:val="0"/>
          <w:sz w:val="24"/>
          <w:szCs w:val="24"/>
          <w:lang w:val="id-ID"/>
        </w:rPr>
        <w:t xml:space="preserve">2021 turun 27,2 persen </w:t>
      </w:r>
      <w:r w:rsidR="00F549A3" w:rsidRPr="007720BC">
        <w:rPr>
          <w:rStyle w:val="hgkelc"/>
          <w:rFonts w:ascii="Times New Roman" w:hAnsi="Times New Roman" w:cs="Times New Roman"/>
          <w:b w:val="0"/>
          <w:bCs w:val="0"/>
          <w:sz w:val="24"/>
          <w:szCs w:val="24"/>
          <w:lang w:val="id-ID"/>
        </w:rPr>
        <w:fldChar w:fldCharType="begin" w:fldLock="1"/>
      </w:r>
      <w:r w:rsidR="00F549A3" w:rsidRPr="007720BC">
        <w:rPr>
          <w:rStyle w:val="hgkelc"/>
          <w:rFonts w:ascii="Times New Roman" w:hAnsi="Times New Roman" w:cs="Times New Roman"/>
          <w:b w:val="0"/>
          <w:bCs w:val="0"/>
          <w:sz w:val="24"/>
          <w:szCs w:val="24"/>
          <w:lang w:val="id-ID"/>
        </w:rPr>
        <w:instrText>ADDIN CSL_CITATION {"citationItems":[{"id":"ITEM-1","itemData":{"DOI":"10.36805/bi.v2i1.301","ISSN":"2541-6995","author":[{"dropping-particle":"","family":"Kementerian Kesehatan R1","given":"","non-dropping-particle":"","parse-names":false,"suffix":""}],"container-title":"Kementrian Kesehatan RI","id":"ITEM-1","issued":{"date-parts":[["2021"]]},"title":"Buku Saku Hasil Studi Status Gizi Indonesia (SSGI) Tingkat Nasional, Provinsi dan Kabupaten/Kota","type":"book"},"uris":["http://www.mendeley.com/documents/?uuid=9d2642b5-201f-4358-91f5-f637d2964b65"]}],"mendeley":{"formattedCitation":"(Kementerian Kesehatan R1 2021)","plainTextFormattedCitation":"(Kementerian Kesehatan R1 2021)","previouslyFormattedCitation":"(Kementerian Kesehatan R1 2021)"},"properties":{"noteIndex":0},"schema":"https://github.com/citation-style-language/schema/raw/master/csl-citation.json"}</w:instrText>
      </w:r>
      <w:r w:rsidR="00F549A3" w:rsidRPr="007720BC">
        <w:rPr>
          <w:rStyle w:val="hgkelc"/>
          <w:rFonts w:ascii="Times New Roman" w:hAnsi="Times New Roman" w:cs="Times New Roman"/>
          <w:b w:val="0"/>
          <w:bCs w:val="0"/>
          <w:sz w:val="24"/>
          <w:szCs w:val="24"/>
          <w:lang w:val="id-ID"/>
        </w:rPr>
        <w:fldChar w:fldCharType="separate"/>
      </w:r>
      <w:r w:rsidR="00F549A3" w:rsidRPr="007720BC">
        <w:rPr>
          <w:rStyle w:val="hgkelc"/>
          <w:rFonts w:ascii="Times New Roman" w:hAnsi="Times New Roman" w:cs="Times New Roman"/>
          <w:b w:val="0"/>
          <w:bCs w:val="0"/>
          <w:noProof/>
          <w:sz w:val="24"/>
          <w:szCs w:val="24"/>
          <w:lang w:val="id-ID"/>
        </w:rPr>
        <w:t>(Kementerian Kesehatan R1 2021)</w:t>
      </w:r>
      <w:r w:rsidR="00F549A3" w:rsidRPr="007720BC">
        <w:rPr>
          <w:rStyle w:val="hgkelc"/>
          <w:rFonts w:ascii="Times New Roman" w:hAnsi="Times New Roman" w:cs="Times New Roman"/>
          <w:b w:val="0"/>
          <w:bCs w:val="0"/>
          <w:sz w:val="24"/>
          <w:szCs w:val="24"/>
          <w:lang w:val="id-ID"/>
        </w:rPr>
        <w:fldChar w:fldCharType="end"/>
      </w:r>
      <w:r w:rsidR="00F549A3" w:rsidRPr="007720BC">
        <w:rPr>
          <w:rStyle w:val="hgkelc"/>
          <w:rFonts w:ascii="Times New Roman" w:hAnsi="Times New Roman" w:cs="Times New Roman"/>
          <w:b w:val="0"/>
          <w:bCs w:val="0"/>
          <w:sz w:val="24"/>
          <w:szCs w:val="24"/>
          <w:lang w:val="en-US"/>
        </w:rPr>
        <w:t xml:space="preserve"> </w:t>
      </w:r>
      <w:r w:rsidRPr="007720BC">
        <w:rPr>
          <w:rStyle w:val="hgkelc"/>
          <w:rFonts w:ascii="Times New Roman" w:hAnsi="Times New Roman" w:cs="Times New Roman"/>
          <w:b w:val="0"/>
          <w:bCs w:val="0"/>
          <w:sz w:val="24"/>
          <w:szCs w:val="24"/>
          <w:lang w:val="id-ID"/>
        </w:rPr>
        <w:t>dan tahun 2022 menjadi 26,4</w:t>
      </w:r>
      <w:r w:rsidRPr="007720BC">
        <w:rPr>
          <w:rStyle w:val="hgkelc"/>
          <w:rFonts w:ascii="Times New Roman" w:hAnsi="Times New Roman" w:cs="Times New Roman"/>
          <w:b w:val="0"/>
          <w:bCs w:val="0"/>
          <w:sz w:val="24"/>
          <w:szCs w:val="24"/>
          <w:lang w:val="en-US"/>
        </w:rPr>
        <w:t xml:space="preserve"> </w:t>
      </w:r>
      <w:r w:rsidRPr="007720BC">
        <w:rPr>
          <w:rFonts w:ascii="Times New Roman" w:hAnsi="Times New Roman" w:cs="Times New Roman"/>
          <w:b w:val="0"/>
          <w:bCs w:val="0"/>
          <w:sz w:val="24"/>
          <w:szCs w:val="24"/>
        </w:rPr>
        <w:t>atau turun 0,8 persen</w:t>
      </w:r>
      <w:r w:rsidR="00D847BD" w:rsidRPr="007720BC">
        <w:rPr>
          <w:rFonts w:ascii="Times New Roman" w:hAnsi="Times New Roman" w:cs="Times New Roman"/>
          <w:b w:val="0"/>
          <w:bCs w:val="0"/>
          <w:sz w:val="24"/>
          <w:szCs w:val="24"/>
          <w:lang w:val="en-US"/>
        </w:rPr>
        <w:t xml:space="preserve"> </w:t>
      </w:r>
      <w:r w:rsidR="00D847BD" w:rsidRPr="007720BC">
        <w:rPr>
          <w:rFonts w:ascii="Times New Roman" w:hAnsi="Times New Roman" w:cs="Times New Roman"/>
          <w:b w:val="0"/>
          <w:bCs w:val="0"/>
          <w:sz w:val="24"/>
          <w:szCs w:val="24"/>
          <w:lang w:val="en-US"/>
        </w:rPr>
        <w:fldChar w:fldCharType="begin" w:fldLock="1"/>
      </w:r>
      <w:r w:rsidR="00F549A3" w:rsidRPr="007720BC">
        <w:rPr>
          <w:rFonts w:ascii="Times New Roman" w:hAnsi="Times New Roman" w:cs="Times New Roman"/>
          <w:b w:val="0"/>
          <w:bCs w:val="0"/>
          <w:sz w:val="24"/>
          <w:szCs w:val="24"/>
          <w:lang w:val="en-US"/>
        </w:rPr>
        <w:instrText>ADDIN CSL_CITATION {"citationItems":[{"id":"ITEM-1","itemData":{"author":[{"dropping-particle":"","family":"Kemenkes RI","given":"","non-dropping-particle":"","parse-names":false,"suffix":""}],"container-title":"Badan Kebijakan Pembangunan Kesehatan Kementerian Kesehatan RI","id":"ITEM-1","issued":{"date-parts":[["2022"]]},"title":"Buku Saku Hasil Survei Status Gizi Indonesia (SSGI) 2022","type":"book"},"uris":["http://www.mendeley.com/documents/?uuid=6a2df186-5a50-4f3a-9466-35724959df5c"]}],"mendeley":{"formattedCitation":"(Kemenkes RI 2022)","plainTextFormattedCitation":"(Kemenkes RI 2022)","previouslyFormattedCitation":"(Kemenkes RI 2022)"},"properties":{"noteIndex":0},"schema":"https://github.com/citation-style-language/schema/raw/master/csl-citation.json"}</w:instrText>
      </w:r>
      <w:r w:rsidR="00D847BD" w:rsidRPr="007720BC">
        <w:rPr>
          <w:rFonts w:ascii="Times New Roman" w:hAnsi="Times New Roman" w:cs="Times New Roman"/>
          <w:b w:val="0"/>
          <w:bCs w:val="0"/>
          <w:sz w:val="24"/>
          <w:szCs w:val="24"/>
          <w:lang w:val="en-US"/>
        </w:rPr>
        <w:fldChar w:fldCharType="separate"/>
      </w:r>
      <w:r w:rsidR="00D847BD" w:rsidRPr="007720BC">
        <w:rPr>
          <w:rFonts w:ascii="Times New Roman" w:hAnsi="Times New Roman" w:cs="Times New Roman"/>
          <w:b w:val="0"/>
          <w:bCs w:val="0"/>
          <w:noProof/>
          <w:sz w:val="24"/>
          <w:szCs w:val="24"/>
          <w:lang w:val="en-US"/>
        </w:rPr>
        <w:t>(Kemenkes RI 2022)</w:t>
      </w:r>
      <w:r w:rsidR="00D847BD" w:rsidRPr="007720BC">
        <w:rPr>
          <w:rFonts w:ascii="Times New Roman" w:hAnsi="Times New Roman" w:cs="Times New Roman"/>
          <w:b w:val="0"/>
          <w:bCs w:val="0"/>
          <w:sz w:val="24"/>
          <w:szCs w:val="24"/>
          <w:lang w:val="en-US"/>
        </w:rPr>
        <w:fldChar w:fldCharType="end"/>
      </w:r>
      <w:r w:rsidR="00D847BD" w:rsidRPr="007720BC">
        <w:rPr>
          <w:rFonts w:ascii="Times New Roman" w:hAnsi="Times New Roman" w:cs="Times New Roman"/>
          <w:b w:val="0"/>
          <w:bCs w:val="0"/>
          <w:sz w:val="24"/>
          <w:szCs w:val="24"/>
          <w:lang w:val="en-US"/>
        </w:rPr>
        <w:t xml:space="preserve">. </w:t>
      </w:r>
      <w:r w:rsidRPr="007720BC">
        <w:rPr>
          <w:rFonts w:ascii="Times New Roman" w:hAnsi="Times New Roman" w:cs="Times New Roman"/>
          <w:b w:val="0"/>
          <w:bCs w:val="0"/>
          <w:sz w:val="24"/>
          <w:szCs w:val="24"/>
          <w:lang w:val="en-US"/>
        </w:rPr>
        <w:t>G</w:t>
      </w:r>
      <w:r w:rsidRPr="007720BC">
        <w:rPr>
          <w:rFonts w:ascii="Times New Roman" w:hAnsi="Times New Roman" w:cs="Times New Roman"/>
          <w:b w:val="0"/>
          <w:bCs w:val="0"/>
          <w:sz w:val="24"/>
          <w:szCs w:val="24"/>
        </w:rPr>
        <w:t>rafik</w:t>
      </w:r>
      <w:r w:rsidRPr="007720BC">
        <w:rPr>
          <w:rFonts w:ascii="Times New Roman" w:hAnsi="Times New Roman" w:cs="Times New Roman"/>
          <w:b w:val="0"/>
          <w:bCs w:val="0"/>
          <w:spacing w:val="1"/>
          <w:sz w:val="24"/>
          <w:szCs w:val="24"/>
        </w:rPr>
        <w:t xml:space="preserve"> </w:t>
      </w:r>
      <w:r w:rsidRPr="007720BC">
        <w:rPr>
          <w:rFonts w:ascii="Times New Roman" w:hAnsi="Times New Roman" w:cs="Times New Roman"/>
          <w:b w:val="0"/>
          <w:bCs w:val="0"/>
          <w:sz w:val="24"/>
          <w:szCs w:val="24"/>
        </w:rPr>
        <w:t>prevalensi</w:t>
      </w:r>
      <w:r w:rsidRPr="007720BC">
        <w:rPr>
          <w:rFonts w:ascii="Times New Roman" w:hAnsi="Times New Roman" w:cs="Times New Roman"/>
          <w:b w:val="0"/>
          <w:bCs w:val="0"/>
          <w:spacing w:val="-1"/>
          <w:sz w:val="24"/>
          <w:szCs w:val="24"/>
          <w:lang w:val="en-US"/>
        </w:rPr>
        <w:t xml:space="preserve"> </w:t>
      </w:r>
      <w:r w:rsidRPr="007720BC">
        <w:rPr>
          <w:rFonts w:ascii="Times New Roman" w:hAnsi="Times New Roman" w:cs="Times New Roman"/>
          <w:b w:val="0"/>
          <w:bCs w:val="0"/>
          <w:sz w:val="24"/>
          <w:szCs w:val="24"/>
        </w:rPr>
        <w:t>stunting</w:t>
      </w:r>
      <w:r w:rsidRPr="007720BC">
        <w:rPr>
          <w:rFonts w:ascii="Times New Roman" w:hAnsi="Times New Roman" w:cs="Times New Roman"/>
          <w:b w:val="0"/>
          <w:bCs w:val="0"/>
          <w:spacing w:val="-3"/>
          <w:sz w:val="24"/>
          <w:szCs w:val="24"/>
        </w:rPr>
        <w:t xml:space="preserve"> </w:t>
      </w:r>
      <w:r w:rsidRPr="007720BC">
        <w:rPr>
          <w:rFonts w:ascii="Times New Roman" w:hAnsi="Times New Roman" w:cs="Times New Roman"/>
          <w:b w:val="0"/>
          <w:bCs w:val="0"/>
          <w:sz w:val="24"/>
          <w:szCs w:val="24"/>
        </w:rPr>
        <w:t>di</w:t>
      </w:r>
      <w:r w:rsidRPr="007720BC">
        <w:rPr>
          <w:rFonts w:ascii="Times New Roman" w:hAnsi="Times New Roman" w:cs="Times New Roman"/>
          <w:b w:val="0"/>
          <w:bCs w:val="0"/>
          <w:spacing w:val="-1"/>
          <w:sz w:val="24"/>
          <w:szCs w:val="24"/>
        </w:rPr>
        <w:t xml:space="preserve"> </w:t>
      </w:r>
      <w:proofErr w:type="spellStart"/>
      <w:r w:rsidRPr="007720BC">
        <w:rPr>
          <w:rFonts w:ascii="Times New Roman" w:hAnsi="Times New Roman" w:cs="Times New Roman"/>
          <w:b w:val="0"/>
          <w:bCs w:val="0"/>
          <w:sz w:val="24"/>
          <w:szCs w:val="24"/>
          <w:lang w:val="en-US"/>
        </w:rPr>
        <w:t>Kabupaten</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Serang</w:t>
      </w:r>
      <w:proofErr w:type="spellEnd"/>
      <w:r w:rsidRPr="007720BC">
        <w:rPr>
          <w:rFonts w:ascii="Times New Roman" w:hAnsi="Times New Roman" w:cs="Times New Roman"/>
          <w:b w:val="0"/>
          <w:bCs w:val="0"/>
          <w:sz w:val="24"/>
          <w:szCs w:val="24"/>
          <w:lang w:val="en-US"/>
        </w:rPr>
        <w:t xml:space="preserve"> dan p</w:t>
      </w:r>
      <w:r w:rsidRPr="007720BC">
        <w:rPr>
          <w:rFonts w:ascii="Times New Roman" w:hAnsi="Times New Roman" w:cs="Times New Roman"/>
          <w:b w:val="0"/>
          <w:bCs w:val="0"/>
          <w:sz w:val="24"/>
          <w:szCs w:val="24"/>
        </w:rPr>
        <w:t>revalensi Balita Stunted (Tinggi Badan Menurut Umur)</w:t>
      </w:r>
      <w:r w:rsidRPr="007720BC">
        <w:rPr>
          <w:rFonts w:ascii="Times New Roman" w:hAnsi="Times New Roman" w:cs="Times New Roman"/>
          <w:b w:val="0"/>
          <w:bCs w:val="0"/>
          <w:sz w:val="24"/>
          <w:szCs w:val="24"/>
          <w:lang w:val="en-US"/>
        </w:rPr>
        <w:t xml:space="preserve"> b</w:t>
      </w:r>
      <w:r w:rsidRPr="007720BC">
        <w:rPr>
          <w:rFonts w:ascii="Times New Roman" w:hAnsi="Times New Roman" w:cs="Times New Roman"/>
          <w:b w:val="0"/>
          <w:bCs w:val="0"/>
          <w:sz w:val="24"/>
          <w:szCs w:val="24"/>
        </w:rPr>
        <w:t>erdasarkan Kabupaten/Kota Di Provinsi Banten</w:t>
      </w:r>
      <w:r w:rsidRPr="007720BC">
        <w:rPr>
          <w:rFonts w:ascii="Times New Roman" w:hAnsi="Times New Roman" w:cs="Times New Roman"/>
          <w:b w:val="0"/>
          <w:bCs w:val="0"/>
          <w:spacing w:val="-1"/>
          <w:sz w:val="24"/>
          <w:szCs w:val="24"/>
        </w:rPr>
        <w:t xml:space="preserve"> </w:t>
      </w:r>
      <w:proofErr w:type="spellStart"/>
      <w:r w:rsidRPr="007720BC">
        <w:rPr>
          <w:rFonts w:ascii="Times New Roman" w:hAnsi="Times New Roman" w:cs="Times New Roman"/>
          <w:b w:val="0"/>
          <w:bCs w:val="0"/>
          <w:spacing w:val="-1"/>
          <w:sz w:val="24"/>
          <w:szCs w:val="24"/>
          <w:lang w:val="en-US"/>
        </w:rPr>
        <w:t>disajikan</w:t>
      </w:r>
      <w:proofErr w:type="spellEnd"/>
      <w:r w:rsidRPr="007720BC">
        <w:rPr>
          <w:rFonts w:ascii="Times New Roman" w:hAnsi="Times New Roman" w:cs="Times New Roman"/>
          <w:b w:val="0"/>
          <w:bCs w:val="0"/>
          <w:spacing w:val="-1"/>
          <w:sz w:val="24"/>
          <w:szCs w:val="24"/>
          <w:lang w:val="en-US"/>
        </w:rPr>
        <w:t xml:space="preserve"> pada </w:t>
      </w:r>
      <w:proofErr w:type="spellStart"/>
      <w:r w:rsidRPr="007720BC">
        <w:rPr>
          <w:rFonts w:ascii="Times New Roman" w:hAnsi="Times New Roman" w:cs="Times New Roman"/>
          <w:b w:val="0"/>
          <w:bCs w:val="0"/>
          <w:spacing w:val="-1"/>
          <w:sz w:val="24"/>
          <w:szCs w:val="24"/>
          <w:lang w:val="en-US"/>
        </w:rPr>
        <w:t>gambar</w:t>
      </w:r>
      <w:proofErr w:type="spellEnd"/>
      <w:r w:rsidRPr="007720BC">
        <w:rPr>
          <w:rFonts w:ascii="Times New Roman" w:hAnsi="Times New Roman" w:cs="Times New Roman"/>
          <w:b w:val="0"/>
          <w:bCs w:val="0"/>
          <w:spacing w:val="-1"/>
          <w:sz w:val="24"/>
          <w:szCs w:val="24"/>
          <w:lang w:val="en-US"/>
        </w:rPr>
        <w:t xml:space="preserve"> 1 </w:t>
      </w:r>
      <w:r w:rsidRPr="007720BC">
        <w:rPr>
          <w:rFonts w:ascii="Times New Roman" w:hAnsi="Times New Roman" w:cs="Times New Roman"/>
          <w:b w:val="0"/>
          <w:bCs w:val="0"/>
          <w:sz w:val="24"/>
          <w:szCs w:val="24"/>
        </w:rPr>
        <w:t>sebagai berikut:</w:t>
      </w:r>
    </w:p>
    <w:p w14:paraId="75B87791" w14:textId="77777777" w:rsidR="000A23ED" w:rsidRPr="007720BC" w:rsidRDefault="000A23ED" w:rsidP="00CB2900">
      <w:pPr>
        <w:pStyle w:val="Heading1"/>
        <w:ind w:left="0" w:right="0" w:firstLine="720"/>
        <w:contextualSpacing/>
        <w:jc w:val="both"/>
        <w:rPr>
          <w:rFonts w:ascii="Times New Roman" w:hAnsi="Times New Roman" w:cs="Times New Roman"/>
          <w:b w:val="0"/>
          <w:bCs w:val="0"/>
          <w:sz w:val="24"/>
          <w:szCs w:val="24"/>
        </w:rPr>
      </w:pPr>
    </w:p>
    <w:p w14:paraId="618C38EB" w14:textId="77777777" w:rsidR="00A17183" w:rsidRPr="007720BC" w:rsidRDefault="00264FD9" w:rsidP="00264FD9">
      <w:pPr>
        <w:pStyle w:val="Heading1"/>
        <w:ind w:left="0" w:right="0"/>
        <w:contextualSpacing/>
        <w:rPr>
          <w:rFonts w:ascii="Times New Roman" w:hAnsi="Times New Roman" w:cs="Times New Roman"/>
          <w:sz w:val="20"/>
          <w:szCs w:val="20"/>
          <w:lang w:eastAsia="en-ID"/>
        </w:rPr>
      </w:pPr>
      <w:r w:rsidRPr="007720BC">
        <w:rPr>
          <w:rFonts w:ascii="Times New Roman" w:hAnsi="Times New Roman" w:cs="Times New Roman"/>
          <w:sz w:val="20"/>
          <w:szCs w:val="20"/>
          <w:lang w:eastAsia="en-ID"/>
        </w:rPr>
        <w:lastRenderedPageBreak/>
        <w:t xml:space="preserve">Gambar 1. </w:t>
      </w:r>
    </w:p>
    <w:p w14:paraId="25A82B8D" w14:textId="2FE0E3B4" w:rsidR="00264FD9" w:rsidRPr="007720BC" w:rsidRDefault="00264FD9" w:rsidP="00264FD9">
      <w:pPr>
        <w:pStyle w:val="Heading1"/>
        <w:ind w:left="0" w:right="0"/>
        <w:contextualSpacing/>
        <w:rPr>
          <w:rFonts w:ascii="Times New Roman" w:hAnsi="Times New Roman" w:cs="Times New Roman"/>
          <w:b w:val="0"/>
          <w:bCs w:val="0"/>
          <w:sz w:val="20"/>
          <w:szCs w:val="20"/>
        </w:rPr>
      </w:pPr>
      <w:r w:rsidRPr="007720BC">
        <w:rPr>
          <w:rFonts w:ascii="Times New Roman" w:hAnsi="Times New Roman" w:cs="Times New Roman"/>
          <w:sz w:val="20"/>
          <w:szCs w:val="20"/>
          <w:lang w:val="en-US"/>
        </w:rPr>
        <w:t>C</w:t>
      </w:r>
      <w:r w:rsidRPr="007720BC">
        <w:rPr>
          <w:rFonts w:ascii="Times New Roman" w:hAnsi="Times New Roman" w:cs="Times New Roman"/>
          <w:sz w:val="20"/>
          <w:szCs w:val="20"/>
        </w:rPr>
        <w:t>apaian Prevalensi</w:t>
      </w:r>
      <w:r w:rsidRPr="007720BC">
        <w:rPr>
          <w:rFonts w:ascii="Times New Roman" w:hAnsi="Times New Roman" w:cs="Times New Roman"/>
          <w:spacing w:val="1"/>
          <w:sz w:val="20"/>
          <w:szCs w:val="20"/>
        </w:rPr>
        <w:t xml:space="preserve"> </w:t>
      </w:r>
      <w:r w:rsidRPr="007720BC">
        <w:rPr>
          <w:rFonts w:ascii="Times New Roman" w:hAnsi="Times New Roman" w:cs="Times New Roman"/>
          <w:sz w:val="20"/>
          <w:szCs w:val="20"/>
        </w:rPr>
        <w:t xml:space="preserve">Stunting di </w:t>
      </w:r>
      <w:proofErr w:type="spellStart"/>
      <w:r w:rsidRPr="007720BC">
        <w:rPr>
          <w:rFonts w:ascii="Times New Roman" w:hAnsi="Times New Roman" w:cs="Times New Roman"/>
          <w:sz w:val="20"/>
          <w:szCs w:val="20"/>
          <w:lang w:val="en-US"/>
        </w:rPr>
        <w:t>Kabupaten</w:t>
      </w:r>
      <w:proofErr w:type="spellEnd"/>
      <w:r w:rsidRPr="007720BC">
        <w:rPr>
          <w:rFonts w:ascii="Times New Roman" w:hAnsi="Times New Roman" w:cs="Times New Roman"/>
          <w:sz w:val="20"/>
          <w:szCs w:val="20"/>
          <w:lang w:val="en-US"/>
        </w:rPr>
        <w:t xml:space="preserve"> </w:t>
      </w:r>
      <w:proofErr w:type="spellStart"/>
      <w:r w:rsidRPr="007720BC">
        <w:rPr>
          <w:rFonts w:ascii="Times New Roman" w:hAnsi="Times New Roman" w:cs="Times New Roman"/>
          <w:sz w:val="20"/>
          <w:szCs w:val="20"/>
          <w:lang w:val="en-US"/>
        </w:rPr>
        <w:t>Serang</w:t>
      </w:r>
      <w:proofErr w:type="spellEnd"/>
      <w:r w:rsidRPr="007720BC">
        <w:rPr>
          <w:rFonts w:ascii="Times New Roman" w:hAnsi="Times New Roman" w:cs="Times New Roman"/>
          <w:sz w:val="20"/>
          <w:szCs w:val="20"/>
          <w:lang w:val="en-US"/>
        </w:rPr>
        <w:t xml:space="preserve"> </w:t>
      </w:r>
      <w:r w:rsidRPr="007720BC">
        <w:rPr>
          <w:rFonts w:ascii="Times New Roman" w:hAnsi="Times New Roman" w:cs="Times New Roman"/>
          <w:sz w:val="20"/>
          <w:szCs w:val="20"/>
        </w:rPr>
        <w:t>20</w:t>
      </w:r>
      <w:r w:rsidRPr="007720BC">
        <w:rPr>
          <w:rFonts w:ascii="Times New Roman" w:hAnsi="Times New Roman" w:cs="Times New Roman"/>
          <w:sz w:val="20"/>
          <w:szCs w:val="20"/>
          <w:lang w:val="en-US"/>
        </w:rPr>
        <w:t xml:space="preserve">19 – </w:t>
      </w:r>
      <w:r w:rsidRPr="007720BC">
        <w:rPr>
          <w:rFonts w:ascii="Times New Roman" w:hAnsi="Times New Roman" w:cs="Times New Roman"/>
          <w:sz w:val="20"/>
          <w:szCs w:val="20"/>
        </w:rPr>
        <w:t>20</w:t>
      </w:r>
      <w:r w:rsidRPr="007720BC">
        <w:rPr>
          <w:rFonts w:ascii="Times New Roman" w:hAnsi="Times New Roman" w:cs="Times New Roman"/>
          <w:sz w:val="20"/>
          <w:szCs w:val="20"/>
          <w:lang w:val="en-US"/>
        </w:rPr>
        <w:t>22.</w:t>
      </w:r>
    </w:p>
    <w:p w14:paraId="6A980A15" w14:textId="15705895" w:rsidR="00E265B9" w:rsidRPr="007720BC" w:rsidRDefault="00CB2900" w:rsidP="00CB2900">
      <w:pPr>
        <w:pStyle w:val="Heading1"/>
        <w:ind w:left="0" w:right="0" w:firstLine="720"/>
        <w:contextualSpacing/>
        <w:jc w:val="both"/>
        <w:rPr>
          <w:rFonts w:ascii="Times New Roman" w:hAnsi="Times New Roman" w:cs="Times New Roman"/>
          <w:b w:val="0"/>
          <w:bCs w:val="0"/>
          <w:sz w:val="24"/>
          <w:szCs w:val="24"/>
          <w:lang w:val="en-US"/>
        </w:rPr>
      </w:pPr>
      <w:r w:rsidRPr="007720BC">
        <w:rPr>
          <w:rFonts w:ascii="Times New Roman" w:hAnsi="Times New Roman" w:cs="Times New Roman"/>
          <w:b w:val="0"/>
          <w:bCs w:val="0"/>
          <w:noProof/>
          <w:sz w:val="24"/>
          <w:szCs w:val="24"/>
        </w:rPr>
        <w:drawing>
          <wp:anchor distT="0" distB="0" distL="114300" distR="114300" simplePos="0" relativeHeight="251717632" behindDoc="1" locked="0" layoutInCell="1" allowOverlap="1" wp14:anchorId="44118EDF" wp14:editId="7F96EF6B">
            <wp:simplePos x="0" y="0"/>
            <wp:positionH relativeFrom="margin">
              <wp:align>left</wp:align>
            </wp:positionH>
            <wp:positionV relativeFrom="paragraph">
              <wp:posOffset>8890</wp:posOffset>
            </wp:positionV>
            <wp:extent cx="5629275" cy="2562225"/>
            <wp:effectExtent l="0" t="0" r="9525" b="9525"/>
            <wp:wrapNone/>
            <wp:docPr id="795822034" name="Chart 1">
              <a:extLst xmlns:a="http://schemas.openxmlformats.org/drawingml/2006/main">
                <a:ext uri="{FF2B5EF4-FFF2-40B4-BE49-F238E27FC236}">
                  <a16:creationId xmlns:a16="http://schemas.microsoft.com/office/drawing/2014/main" id="{FE6ACF75-CE64-E185-0AC4-C3C8439083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65C7C1AF" w14:textId="1F90EA11" w:rsidR="00E265B9" w:rsidRPr="007720BC" w:rsidRDefault="00E265B9" w:rsidP="00CB2900">
      <w:pPr>
        <w:pStyle w:val="Heading1"/>
        <w:ind w:left="0" w:right="0" w:firstLine="720"/>
        <w:contextualSpacing/>
        <w:jc w:val="both"/>
        <w:rPr>
          <w:rFonts w:ascii="Times New Roman" w:hAnsi="Times New Roman" w:cs="Times New Roman"/>
          <w:b w:val="0"/>
          <w:bCs w:val="0"/>
          <w:sz w:val="24"/>
          <w:szCs w:val="24"/>
          <w:lang w:val="en-US"/>
        </w:rPr>
      </w:pPr>
    </w:p>
    <w:p w14:paraId="3B5E52A8" w14:textId="28B836E1" w:rsidR="00E265B9" w:rsidRPr="007720BC" w:rsidRDefault="00E265B9" w:rsidP="00CB2900">
      <w:pPr>
        <w:pStyle w:val="BodyText"/>
        <w:ind w:right="296" w:firstLine="720"/>
        <w:contextualSpacing/>
        <w:jc w:val="both"/>
        <w:rPr>
          <w:sz w:val="24"/>
          <w:szCs w:val="24"/>
        </w:rPr>
      </w:pPr>
    </w:p>
    <w:p w14:paraId="2C95C914" w14:textId="16128D5A" w:rsidR="00E265B9" w:rsidRPr="007720BC" w:rsidRDefault="00E265B9" w:rsidP="00CB2900">
      <w:pPr>
        <w:pStyle w:val="BodyText"/>
        <w:ind w:right="296"/>
        <w:contextualSpacing/>
        <w:jc w:val="both"/>
        <w:rPr>
          <w:sz w:val="24"/>
          <w:szCs w:val="24"/>
        </w:rPr>
      </w:pPr>
    </w:p>
    <w:p w14:paraId="094FDA23" w14:textId="77777777" w:rsidR="00E265B9" w:rsidRPr="007720BC" w:rsidRDefault="00E265B9" w:rsidP="00CB2900">
      <w:pPr>
        <w:spacing w:after="0" w:line="240" w:lineRule="auto"/>
        <w:contextualSpacing/>
        <w:jc w:val="both"/>
        <w:rPr>
          <w:rFonts w:ascii="Times New Roman" w:hAnsi="Times New Roman" w:cs="Times New Roman"/>
          <w:sz w:val="24"/>
          <w:szCs w:val="24"/>
          <w:lang w:eastAsia="en-ID"/>
        </w:rPr>
      </w:pPr>
    </w:p>
    <w:p w14:paraId="57702A55" w14:textId="77777777" w:rsidR="00E265B9" w:rsidRPr="007720BC" w:rsidRDefault="00E265B9" w:rsidP="00CB2900">
      <w:pPr>
        <w:spacing w:after="0" w:line="240" w:lineRule="auto"/>
        <w:contextualSpacing/>
        <w:jc w:val="both"/>
        <w:rPr>
          <w:rFonts w:ascii="Times New Roman" w:hAnsi="Times New Roman" w:cs="Times New Roman"/>
          <w:sz w:val="24"/>
          <w:szCs w:val="24"/>
          <w:lang w:eastAsia="en-ID"/>
        </w:rPr>
      </w:pPr>
    </w:p>
    <w:p w14:paraId="0514F2DF" w14:textId="77777777" w:rsidR="00E265B9" w:rsidRPr="007720BC" w:rsidRDefault="00E265B9" w:rsidP="00CB2900">
      <w:pPr>
        <w:spacing w:after="0" w:line="240" w:lineRule="auto"/>
        <w:contextualSpacing/>
        <w:jc w:val="both"/>
        <w:rPr>
          <w:rFonts w:ascii="Times New Roman" w:hAnsi="Times New Roman" w:cs="Times New Roman"/>
          <w:sz w:val="24"/>
          <w:szCs w:val="24"/>
          <w:lang w:eastAsia="en-ID"/>
        </w:rPr>
      </w:pPr>
    </w:p>
    <w:p w14:paraId="566CBEB8" w14:textId="77777777" w:rsidR="00CB2900" w:rsidRPr="007720BC" w:rsidRDefault="00CB2900" w:rsidP="00CB2900">
      <w:pPr>
        <w:spacing w:after="0" w:line="240" w:lineRule="auto"/>
        <w:contextualSpacing/>
        <w:jc w:val="both"/>
        <w:rPr>
          <w:rFonts w:ascii="Times New Roman" w:hAnsi="Times New Roman" w:cs="Times New Roman"/>
          <w:sz w:val="24"/>
          <w:szCs w:val="24"/>
          <w:lang w:eastAsia="en-ID"/>
        </w:rPr>
      </w:pPr>
    </w:p>
    <w:p w14:paraId="438D88EE" w14:textId="77777777" w:rsidR="00CB2900" w:rsidRPr="007720BC" w:rsidRDefault="00CB2900" w:rsidP="00CB2900">
      <w:pPr>
        <w:spacing w:after="0" w:line="240" w:lineRule="auto"/>
        <w:contextualSpacing/>
        <w:jc w:val="both"/>
        <w:rPr>
          <w:rFonts w:ascii="Times New Roman" w:hAnsi="Times New Roman" w:cs="Times New Roman"/>
          <w:sz w:val="24"/>
          <w:szCs w:val="24"/>
          <w:lang w:eastAsia="en-ID"/>
        </w:rPr>
      </w:pPr>
    </w:p>
    <w:p w14:paraId="314ABB74" w14:textId="77777777" w:rsidR="00CB2900" w:rsidRPr="007720BC" w:rsidRDefault="00CB2900" w:rsidP="00CB2900">
      <w:pPr>
        <w:spacing w:after="0" w:line="240" w:lineRule="auto"/>
        <w:contextualSpacing/>
        <w:jc w:val="both"/>
        <w:rPr>
          <w:rFonts w:ascii="Times New Roman" w:hAnsi="Times New Roman" w:cs="Times New Roman"/>
          <w:sz w:val="24"/>
          <w:szCs w:val="24"/>
          <w:lang w:eastAsia="en-ID"/>
        </w:rPr>
      </w:pPr>
    </w:p>
    <w:p w14:paraId="54334D4E" w14:textId="77777777" w:rsidR="00CB2900" w:rsidRPr="007720BC" w:rsidRDefault="00CB2900" w:rsidP="00CB2900">
      <w:pPr>
        <w:spacing w:after="0" w:line="240" w:lineRule="auto"/>
        <w:contextualSpacing/>
        <w:jc w:val="both"/>
        <w:rPr>
          <w:rFonts w:ascii="Times New Roman" w:hAnsi="Times New Roman" w:cs="Times New Roman"/>
          <w:sz w:val="24"/>
          <w:szCs w:val="24"/>
          <w:lang w:eastAsia="en-ID"/>
        </w:rPr>
      </w:pPr>
    </w:p>
    <w:p w14:paraId="0A2C3DE6" w14:textId="77777777" w:rsidR="00CB2900" w:rsidRPr="007720BC" w:rsidRDefault="00CB2900" w:rsidP="00CB2900">
      <w:pPr>
        <w:spacing w:after="0" w:line="240" w:lineRule="auto"/>
        <w:contextualSpacing/>
        <w:jc w:val="both"/>
        <w:rPr>
          <w:rFonts w:ascii="Times New Roman" w:hAnsi="Times New Roman" w:cs="Times New Roman"/>
          <w:sz w:val="24"/>
          <w:szCs w:val="24"/>
          <w:lang w:eastAsia="en-ID"/>
        </w:rPr>
      </w:pPr>
    </w:p>
    <w:p w14:paraId="2C5309EB" w14:textId="77777777" w:rsidR="00521ED5" w:rsidRPr="007720BC" w:rsidRDefault="00521ED5" w:rsidP="00CB2900">
      <w:pPr>
        <w:spacing w:after="0" w:line="240" w:lineRule="auto"/>
        <w:contextualSpacing/>
        <w:jc w:val="both"/>
        <w:rPr>
          <w:rFonts w:ascii="Times New Roman" w:hAnsi="Times New Roman" w:cs="Times New Roman"/>
          <w:sz w:val="24"/>
          <w:szCs w:val="24"/>
          <w:lang w:eastAsia="en-ID"/>
        </w:rPr>
      </w:pPr>
    </w:p>
    <w:p w14:paraId="235A93F6" w14:textId="77777777" w:rsidR="00CB2900" w:rsidRPr="007720BC" w:rsidRDefault="00CB2900" w:rsidP="00CB2900">
      <w:pPr>
        <w:spacing w:after="0" w:line="240" w:lineRule="auto"/>
        <w:contextualSpacing/>
        <w:jc w:val="both"/>
        <w:rPr>
          <w:rFonts w:ascii="Times New Roman" w:hAnsi="Times New Roman" w:cs="Times New Roman"/>
          <w:sz w:val="24"/>
          <w:szCs w:val="24"/>
          <w:lang w:eastAsia="en-ID"/>
        </w:rPr>
      </w:pPr>
    </w:p>
    <w:p w14:paraId="27BC8DEA" w14:textId="77777777" w:rsidR="00CB2900" w:rsidRPr="007720BC" w:rsidRDefault="00CB2900" w:rsidP="00CB2900">
      <w:pPr>
        <w:spacing w:after="0" w:line="240" w:lineRule="auto"/>
        <w:contextualSpacing/>
        <w:jc w:val="both"/>
        <w:rPr>
          <w:rFonts w:ascii="Times New Roman" w:hAnsi="Times New Roman" w:cs="Times New Roman"/>
          <w:sz w:val="24"/>
          <w:szCs w:val="24"/>
          <w:lang w:eastAsia="en-ID"/>
        </w:rPr>
      </w:pPr>
    </w:p>
    <w:p w14:paraId="2DB34D3D" w14:textId="7FB1B575" w:rsidR="00E265B9" w:rsidRPr="007720BC" w:rsidRDefault="00E265B9" w:rsidP="00A17183">
      <w:pPr>
        <w:spacing w:after="0" w:line="240" w:lineRule="auto"/>
        <w:contextualSpacing/>
        <w:jc w:val="center"/>
        <w:rPr>
          <w:rStyle w:val="hgkelc"/>
          <w:rFonts w:ascii="Times New Roman" w:hAnsi="Times New Roman" w:cs="Times New Roman"/>
          <w:b/>
          <w:bCs/>
          <w:sz w:val="20"/>
          <w:szCs w:val="20"/>
          <w:lang w:val="en-US"/>
        </w:rPr>
      </w:pPr>
      <w:proofErr w:type="spellStart"/>
      <w:r w:rsidRPr="007720BC">
        <w:rPr>
          <w:rFonts w:ascii="Times New Roman" w:hAnsi="Times New Roman" w:cs="Times New Roman"/>
          <w:b/>
          <w:bCs/>
          <w:sz w:val="20"/>
          <w:szCs w:val="20"/>
          <w:lang w:val="en-US"/>
        </w:rPr>
        <w:t>Sumber</w:t>
      </w:r>
      <w:proofErr w:type="spellEnd"/>
      <w:r w:rsidRPr="007720BC">
        <w:rPr>
          <w:rFonts w:ascii="Times New Roman" w:hAnsi="Times New Roman" w:cs="Times New Roman"/>
          <w:b/>
          <w:bCs/>
          <w:sz w:val="20"/>
          <w:szCs w:val="20"/>
          <w:lang w:val="en-US"/>
        </w:rPr>
        <w:t xml:space="preserve">: </w:t>
      </w:r>
      <w:r w:rsidR="00BF358C" w:rsidRPr="007720BC">
        <w:rPr>
          <w:rStyle w:val="hgkelc"/>
          <w:rFonts w:ascii="Times New Roman" w:hAnsi="Times New Roman" w:cs="Times New Roman"/>
          <w:b/>
          <w:bCs/>
          <w:sz w:val="20"/>
          <w:szCs w:val="20"/>
          <w:lang w:val="en-US"/>
        </w:rPr>
        <w:t>Kementerian Kesehatan R1, 2022</w:t>
      </w:r>
    </w:p>
    <w:p w14:paraId="0743D775" w14:textId="77777777" w:rsidR="00A17183" w:rsidRPr="007720BC" w:rsidRDefault="00A17183" w:rsidP="00A17183">
      <w:pPr>
        <w:spacing w:after="0" w:line="240" w:lineRule="auto"/>
        <w:contextualSpacing/>
        <w:jc w:val="center"/>
        <w:rPr>
          <w:rStyle w:val="hgkelc"/>
          <w:rFonts w:ascii="Times New Roman" w:hAnsi="Times New Roman" w:cs="Times New Roman"/>
          <w:b/>
          <w:bCs/>
          <w:sz w:val="20"/>
          <w:szCs w:val="20"/>
          <w:lang w:val="en-US"/>
        </w:rPr>
      </w:pPr>
    </w:p>
    <w:p w14:paraId="699E0D7C" w14:textId="767B9FE3" w:rsidR="0065440A" w:rsidRPr="007720BC" w:rsidRDefault="0065440A" w:rsidP="00CB2900">
      <w:pPr>
        <w:pStyle w:val="Heading1"/>
        <w:ind w:left="0" w:right="0" w:firstLine="720"/>
        <w:contextualSpacing/>
        <w:jc w:val="both"/>
        <w:rPr>
          <w:rFonts w:ascii="Times New Roman" w:hAnsi="Times New Roman" w:cs="Times New Roman"/>
          <w:b w:val="0"/>
          <w:bCs w:val="0"/>
          <w:sz w:val="24"/>
          <w:szCs w:val="24"/>
          <w:lang w:val="en-US"/>
        </w:rPr>
      </w:pPr>
      <w:proofErr w:type="spellStart"/>
      <w:r w:rsidRPr="007720BC">
        <w:rPr>
          <w:rStyle w:val="hgkelc"/>
          <w:rFonts w:ascii="Times New Roman" w:hAnsi="Times New Roman" w:cs="Times New Roman"/>
          <w:b w:val="0"/>
          <w:bCs w:val="0"/>
          <w:sz w:val="24"/>
          <w:szCs w:val="24"/>
          <w:lang w:val="en-US"/>
        </w:rPr>
        <w:t>Sebagai</w:t>
      </w:r>
      <w:proofErr w:type="spellEnd"/>
      <w:r w:rsidRPr="007720BC">
        <w:rPr>
          <w:rStyle w:val="hgkelc"/>
          <w:rFonts w:ascii="Times New Roman" w:hAnsi="Times New Roman" w:cs="Times New Roman"/>
          <w:b w:val="0"/>
          <w:bCs w:val="0"/>
          <w:sz w:val="24"/>
          <w:szCs w:val="24"/>
          <w:lang w:val="en-US"/>
        </w:rPr>
        <w:t xml:space="preserve"> </w:t>
      </w:r>
      <w:proofErr w:type="spellStart"/>
      <w:r w:rsidRPr="007720BC">
        <w:rPr>
          <w:rStyle w:val="hgkelc"/>
          <w:rFonts w:ascii="Times New Roman" w:hAnsi="Times New Roman" w:cs="Times New Roman"/>
          <w:b w:val="0"/>
          <w:bCs w:val="0"/>
          <w:sz w:val="24"/>
          <w:szCs w:val="24"/>
          <w:lang w:val="en-US"/>
        </w:rPr>
        <w:t>bahan</w:t>
      </w:r>
      <w:proofErr w:type="spellEnd"/>
      <w:r w:rsidRPr="007720BC">
        <w:rPr>
          <w:rStyle w:val="hgkelc"/>
          <w:rFonts w:ascii="Times New Roman" w:hAnsi="Times New Roman" w:cs="Times New Roman"/>
          <w:b w:val="0"/>
          <w:bCs w:val="0"/>
          <w:sz w:val="24"/>
          <w:szCs w:val="24"/>
          <w:lang w:val="en-US"/>
        </w:rPr>
        <w:t xml:space="preserve"> </w:t>
      </w:r>
      <w:proofErr w:type="spellStart"/>
      <w:r w:rsidRPr="007720BC">
        <w:rPr>
          <w:rStyle w:val="hgkelc"/>
          <w:rFonts w:ascii="Times New Roman" w:hAnsi="Times New Roman" w:cs="Times New Roman"/>
          <w:b w:val="0"/>
          <w:bCs w:val="0"/>
          <w:sz w:val="24"/>
          <w:szCs w:val="24"/>
          <w:lang w:val="en-US"/>
        </w:rPr>
        <w:t>perbandingan</w:t>
      </w:r>
      <w:proofErr w:type="spellEnd"/>
      <w:r w:rsidRPr="007720BC">
        <w:rPr>
          <w:rStyle w:val="hgkelc"/>
          <w:rFonts w:ascii="Times New Roman" w:hAnsi="Times New Roman" w:cs="Times New Roman"/>
          <w:b w:val="0"/>
          <w:bCs w:val="0"/>
          <w:sz w:val="24"/>
          <w:szCs w:val="24"/>
          <w:lang w:val="en-US"/>
        </w:rPr>
        <w:t xml:space="preserve"> </w:t>
      </w:r>
      <w:proofErr w:type="spellStart"/>
      <w:r w:rsidRPr="007720BC">
        <w:rPr>
          <w:rStyle w:val="hgkelc"/>
          <w:rFonts w:ascii="Times New Roman" w:hAnsi="Times New Roman" w:cs="Times New Roman"/>
          <w:b w:val="0"/>
          <w:bCs w:val="0"/>
          <w:sz w:val="24"/>
          <w:szCs w:val="24"/>
          <w:lang w:val="en-US"/>
        </w:rPr>
        <w:t>dengan</w:t>
      </w:r>
      <w:proofErr w:type="spellEnd"/>
      <w:r w:rsidRPr="007720BC">
        <w:rPr>
          <w:rStyle w:val="hgkelc"/>
          <w:rFonts w:ascii="Times New Roman" w:hAnsi="Times New Roman" w:cs="Times New Roman"/>
          <w:b w:val="0"/>
          <w:bCs w:val="0"/>
          <w:sz w:val="24"/>
          <w:szCs w:val="24"/>
          <w:lang w:val="en-US"/>
        </w:rPr>
        <w:t xml:space="preserve"> </w:t>
      </w:r>
      <w:proofErr w:type="spellStart"/>
      <w:r w:rsidRPr="007720BC">
        <w:rPr>
          <w:rStyle w:val="hgkelc"/>
          <w:rFonts w:ascii="Times New Roman" w:hAnsi="Times New Roman" w:cs="Times New Roman"/>
          <w:b w:val="0"/>
          <w:bCs w:val="0"/>
          <w:sz w:val="24"/>
          <w:szCs w:val="24"/>
          <w:lang w:val="en-US"/>
        </w:rPr>
        <w:t>kabupaten</w:t>
      </w:r>
      <w:proofErr w:type="spellEnd"/>
      <w:r w:rsidRPr="007720BC">
        <w:rPr>
          <w:rStyle w:val="hgkelc"/>
          <w:rFonts w:ascii="Times New Roman" w:hAnsi="Times New Roman" w:cs="Times New Roman"/>
          <w:b w:val="0"/>
          <w:bCs w:val="0"/>
          <w:sz w:val="24"/>
          <w:szCs w:val="24"/>
          <w:lang w:val="en-US"/>
        </w:rPr>
        <w:t>/</w:t>
      </w:r>
      <w:proofErr w:type="spellStart"/>
      <w:r w:rsidRPr="007720BC">
        <w:rPr>
          <w:rStyle w:val="hgkelc"/>
          <w:rFonts w:ascii="Times New Roman" w:hAnsi="Times New Roman" w:cs="Times New Roman"/>
          <w:b w:val="0"/>
          <w:bCs w:val="0"/>
          <w:sz w:val="24"/>
          <w:szCs w:val="24"/>
          <w:lang w:val="en-US"/>
        </w:rPr>
        <w:t>kota</w:t>
      </w:r>
      <w:proofErr w:type="spellEnd"/>
      <w:r w:rsidRPr="007720BC">
        <w:rPr>
          <w:rStyle w:val="hgkelc"/>
          <w:rFonts w:ascii="Times New Roman" w:hAnsi="Times New Roman" w:cs="Times New Roman"/>
          <w:b w:val="0"/>
          <w:bCs w:val="0"/>
          <w:sz w:val="24"/>
          <w:szCs w:val="24"/>
          <w:lang w:val="en-US"/>
        </w:rPr>
        <w:t xml:space="preserve"> </w:t>
      </w:r>
      <w:r w:rsidR="00B81D8A" w:rsidRPr="007720BC">
        <w:rPr>
          <w:rStyle w:val="hgkelc"/>
          <w:rFonts w:ascii="Times New Roman" w:hAnsi="Times New Roman" w:cs="Times New Roman"/>
          <w:b w:val="0"/>
          <w:bCs w:val="0"/>
          <w:sz w:val="24"/>
          <w:szCs w:val="24"/>
          <w:lang w:val="en-US"/>
        </w:rPr>
        <w:t xml:space="preserve">lain </w:t>
      </w:r>
      <w:r w:rsidRPr="007720BC">
        <w:rPr>
          <w:rStyle w:val="hgkelc"/>
          <w:rFonts w:ascii="Times New Roman" w:hAnsi="Times New Roman" w:cs="Times New Roman"/>
          <w:b w:val="0"/>
          <w:bCs w:val="0"/>
          <w:sz w:val="24"/>
          <w:szCs w:val="24"/>
          <w:lang w:val="en-US"/>
        </w:rPr>
        <w:t xml:space="preserve">di </w:t>
      </w:r>
      <w:proofErr w:type="spellStart"/>
      <w:r w:rsidRPr="007720BC">
        <w:rPr>
          <w:rStyle w:val="hgkelc"/>
          <w:rFonts w:ascii="Times New Roman" w:hAnsi="Times New Roman" w:cs="Times New Roman"/>
          <w:b w:val="0"/>
          <w:bCs w:val="0"/>
          <w:sz w:val="24"/>
          <w:szCs w:val="24"/>
          <w:lang w:val="en-US"/>
        </w:rPr>
        <w:t>Provinsi</w:t>
      </w:r>
      <w:proofErr w:type="spellEnd"/>
      <w:r w:rsidRPr="007720BC">
        <w:rPr>
          <w:rStyle w:val="hgkelc"/>
          <w:rFonts w:ascii="Times New Roman" w:hAnsi="Times New Roman" w:cs="Times New Roman"/>
          <w:b w:val="0"/>
          <w:bCs w:val="0"/>
          <w:sz w:val="24"/>
          <w:szCs w:val="24"/>
          <w:lang w:val="en-US"/>
        </w:rPr>
        <w:t xml:space="preserve"> Banten, </w:t>
      </w:r>
      <w:proofErr w:type="spellStart"/>
      <w:r w:rsidRPr="007720BC">
        <w:rPr>
          <w:rStyle w:val="hgkelc"/>
          <w:rFonts w:ascii="Times New Roman" w:hAnsi="Times New Roman" w:cs="Times New Roman"/>
          <w:b w:val="0"/>
          <w:bCs w:val="0"/>
          <w:sz w:val="24"/>
          <w:szCs w:val="24"/>
          <w:lang w:val="en-US"/>
        </w:rPr>
        <w:t>berikut</w:t>
      </w:r>
      <w:proofErr w:type="spellEnd"/>
      <w:r w:rsidRPr="007720BC">
        <w:rPr>
          <w:rStyle w:val="hgkelc"/>
          <w:rFonts w:ascii="Times New Roman" w:hAnsi="Times New Roman" w:cs="Times New Roman"/>
          <w:b w:val="0"/>
          <w:bCs w:val="0"/>
          <w:sz w:val="24"/>
          <w:szCs w:val="24"/>
          <w:lang w:val="en-US"/>
        </w:rPr>
        <w:t xml:space="preserve"> </w:t>
      </w:r>
      <w:proofErr w:type="spellStart"/>
      <w:r w:rsidRPr="007720BC">
        <w:rPr>
          <w:rStyle w:val="hgkelc"/>
          <w:rFonts w:ascii="Times New Roman" w:hAnsi="Times New Roman" w:cs="Times New Roman"/>
          <w:b w:val="0"/>
          <w:bCs w:val="0"/>
          <w:sz w:val="24"/>
          <w:szCs w:val="24"/>
          <w:lang w:val="en-US"/>
        </w:rPr>
        <w:t>ini</w:t>
      </w:r>
      <w:proofErr w:type="spellEnd"/>
      <w:r w:rsidRPr="007720BC">
        <w:rPr>
          <w:rStyle w:val="hgkelc"/>
          <w:rFonts w:ascii="Times New Roman" w:hAnsi="Times New Roman" w:cs="Times New Roman"/>
          <w:b w:val="0"/>
          <w:bCs w:val="0"/>
          <w:sz w:val="24"/>
          <w:szCs w:val="24"/>
          <w:lang w:val="en-US"/>
        </w:rPr>
        <w:t xml:space="preserve"> </w:t>
      </w:r>
      <w:proofErr w:type="spellStart"/>
      <w:r w:rsidRPr="007720BC">
        <w:rPr>
          <w:rStyle w:val="hgkelc"/>
          <w:rFonts w:ascii="Times New Roman" w:hAnsi="Times New Roman" w:cs="Times New Roman"/>
          <w:b w:val="0"/>
          <w:bCs w:val="0"/>
          <w:sz w:val="24"/>
          <w:szCs w:val="24"/>
          <w:lang w:val="en-US"/>
        </w:rPr>
        <w:t>disajikan</w:t>
      </w:r>
      <w:proofErr w:type="spellEnd"/>
      <w:r w:rsidRPr="007720BC">
        <w:rPr>
          <w:rStyle w:val="hgkelc"/>
          <w:rFonts w:ascii="Times New Roman" w:hAnsi="Times New Roman" w:cs="Times New Roman"/>
          <w:b w:val="0"/>
          <w:bCs w:val="0"/>
          <w:sz w:val="24"/>
          <w:szCs w:val="24"/>
          <w:lang w:val="en-US"/>
        </w:rPr>
        <w:t xml:space="preserve"> </w:t>
      </w:r>
      <w:r w:rsidRPr="007720BC">
        <w:rPr>
          <w:rFonts w:ascii="Times New Roman" w:hAnsi="Times New Roman" w:cs="Times New Roman"/>
          <w:b w:val="0"/>
          <w:bCs w:val="0"/>
          <w:sz w:val="24"/>
          <w:szCs w:val="24"/>
          <w:lang w:val="en-US"/>
        </w:rPr>
        <w:t>P</w:t>
      </w:r>
      <w:r w:rsidRPr="007720BC">
        <w:rPr>
          <w:rFonts w:ascii="Times New Roman" w:hAnsi="Times New Roman" w:cs="Times New Roman"/>
          <w:b w:val="0"/>
          <w:bCs w:val="0"/>
          <w:sz w:val="24"/>
          <w:szCs w:val="24"/>
        </w:rPr>
        <w:t xml:space="preserve">revalensi Balita Stunted (Tinggi Badan Menurut Umur) </w:t>
      </w:r>
      <w:r w:rsidR="00B81D8A" w:rsidRPr="007720BC">
        <w:rPr>
          <w:rFonts w:ascii="Times New Roman" w:hAnsi="Times New Roman" w:cs="Times New Roman"/>
          <w:b w:val="0"/>
          <w:bCs w:val="0"/>
          <w:sz w:val="24"/>
          <w:szCs w:val="24"/>
          <w:lang w:val="en-US"/>
        </w:rPr>
        <w:t>b</w:t>
      </w:r>
      <w:r w:rsidRPr="007720BC">
        <w:rPr>
          <w:rFonts w:ascii="Times New Roman" w:hAnsi="Times New Roman" w:cs="Times New Roman"/>
          <w:b w:val="0"/>
          <w:bCs w:val="0"/>
          <w:sz w:val="24"/>
          <w:szCs w:val="24"/>
        </w:rPr>
        <w:t xml:space="preserve">erdasarkan Kabupaten/Kota </w:t>
      </w:r>
      <w:r w:rsidRPr="007720BC">
        <w:rPr>
          <w:rFonts w:ascii="Times New Roman" w:hAnsi="Times New Roman" w:cs="Times New Roman"/>
          <w:b w:val="0"/>
          <w:bCs w:val="0"/>
          <w:sz w:val="24"/>
          <w:szCs w:val="24"/>
          <w:lang w:val="en-US"/>
        </w:rPr>
        <w:t>d</w:t>
      </w:r>
      <w:r w:rsidRPr="007720BC">
        <w:rPr>
          <w:rFonts w:ascii="Times New Roman" w:hAnsi="Times New Roman" w:cs="Times New Roman"/>
          <w:b w:val="0"/>
          <w:bCs w:val="0"/>
          <w:sz w:val="24"/>
          <w:szCs w:val="24"/>
        </w:rPr>
        <w:t>i Provinsi Banten</w:t>
      </w:r>
      <w:r w:rsidR="00B81D8A" w:rsidRPr="007720BC">
        <w:rPr>
          <w:rFonts w:ascii="Times New Roman" w:hAnsi="Times New Roman" w:cs="Times New Roman"/>
          <w:b w:val="0"/>
          <w:bCs w:val="0"/>
          <w:sz w:val="24"/>
          <w:szCs w:val="24"/>
          <w:lang w:val="en-US"/>
        </w:rPr>
        <w:t>.</w:t>
      </w:r>
    </w:p>
    <w:p w14:paraId="27784FA1" w14:textId="77777777" w:rsidR="00A17183" w:rsidRPr="007720BC" w:rsidRDefault="00A17183" w:rsidP="00521ED5">
      <w:pPr>
        <w:pStyle w:val="Heading1"/>
        <w:ind w:left="0" w:right="0"/>
        <w:contextualSpacing/>
        <w:rPr>
          <w:rFonts w:ascii="Times New Roman" w:hAnsi="Times New Roman" w:cs="Times New Roman"/>
          <w:sz w:val="20"/>
          <w:szCs w:val="20"/>
          <w:lang w:val="en-ID" w:eastAsia="en-ID"/>
        </w:rPr>
      </w:pPr>
    </w:p>
    <w:p w14:paraId="0BB1679F" w14:textId="50AD67EA" w:rsidR="00A17183" w:rsidRPr="007720BC" w:rsidRDefault="00521ED5" w:rsidP="00521ED5">
      <w:pPr>
        <w:pStyle w:val="Heading1"/>
        <w:ind w:left="0" w:right="0"/>
        <w:contextualSpacing/>
        <w:rPr>
          <w:rFonts w:ascii="Times New Roman" w:hAnsi="Times New Roman" w:cs="Times New Roman"/>
          <w:sz w:val="20"/>
          <w:szCs w:val="20"/>
          <w:lang w:val="en-ID" w:eastAsia="en-ID"/>
        </w:rPr>
      </w:pPr>
      <w:r w:rsidRPr="007720BC">
        <w:rPr>
          <w:rFonts w:ascii="Times New Roman" w:hAnsi="Times New Roman" w:cs="Times New Roman"/>
          <w:sz w:val="20"/>
          <w:szCs w:val="20"/>
          <w:lang w:val="en-ID" w:eastAsia="en-ID"/>
        </w:rPr>
        <w:t xml:space="preserve">Gambar 2. </w:t>
      </w:r>
    </w:p>
    <w:p w14:paraId="4BF4794D" w14:textId="4FDA7B1A" w:rsidR="00521ED5" w:rsidRPr="007720BC" w:rsidRDefault="00521ED5" w:rsidP="00521ED5">
      <w:pPr>
        <w:pStyle w:val="Heading1"/>
        <w:ind w:left="0" w:right="0"/>
        <w:contextualSpacing/>
        <w:rPr>
          <w:rFonts w:ascii="Times New Roman" w:hAnsi="Times New Roman" w:cs="Times New Roman"/>
          <w:sz w:val="20"/>
          <w:szCs w:val="20"/>
        </w:rPr>
      </w:pPr>
      <w:r w:rsidRPr="007720BC">
        <w:rPr>
          <w:rFonts w:ascii="Times New Roman" w:hAnsi="Times New Roman" w:cs="Times New Roman"/>
          <w:sz w:val="20"/>
          <w:szCs w:val="20"/>
          <w:lang w:val="en-US"/>
        </w:rPr>
        <w:t>P</w:t>
      </w:r>
      <w:r w:rsidRPr="007720BC">
        <w:rPr>
          <w:rFonts w:ascii="Times New Roman" w:hAnsi="Times New Roman" w:cs="Times New Roman"/>
          <w:sz w:val="20"/>
          <w:szCs w:val="20"/>
        </w:rPr>
        <w:t xml:space="preserve">revalensi Balita Tinggi Badan Menurut Umur </w:t>
      </w:r>
    </w:p>
    <w:p w14:paraId="0A993A71" w14:textId="2CD539A2" w:rsidR="00521ED5" w:rsidRPr="007720BC" w:rsidRDefault="000D119C" w:rsidP="00521ED5">
      <w:pPr>
        <w:pStyle w:val="Heading1"/>
        <w:ind w:left="0" w:right="0"/>
        <w:contextualSpacing/>
        <w:rPr>
          <w:rFonts w:ascii="Times New Roman" w:hAnsi="Times New Roman" w:cs="Times New Roman"/>
          <w:b w:val="0"/>
          <w:bCs w:val="0"/>
          <w:sz w:val="20"/>
          <w:szCs w:val="20"/>
          <w:lang w:val="en-US"/>
        </w:rPr>
      </w:pPr>
      <w:r w:rsidRPr="007720BC">
        <w:rPr>
          <w:rFonts w:ascii="Times New Roman" w:hAnsi="Times New Roman" w:cs="Times New Roman"/>
          <w:b w:val="0"/>
          <w:bCs w:val="0"/>
          <w:noProof/>
          <w:sz w:val="24"/>
          <w:szCs w:val="24"/>
        </w:rPr>
        <w:drawing>
          <wp:anchor distT="0" distB="0" distL="114300" distR="114300" simplePos="0" relativeHeight="251719680" behindDoc="1" locked="0" layoutInCell="1" allowOverlap="1" wp14:anchorId="0D451E67" wp14:editId="17952707">
            <wp:simplePos x="0" y="0"/>
            <wp:positionH relativeFrom="margin">
              <wp:align>left</wp:align>
            </wp:positionH>
            <wp:positionV relativeFrom="paragraph">
              <wp:posOffset>146685</wp:posOffset>
            </wp:positionV>
            <wp:extent cx="5619750" cy="2362200"/>
            <wp:effectExtent l="0" t="0" r="0" b="0"/>
            <wp:wrapNone/>
            <wp:docPr id="715735345" name="Chart 1">
              <a:extLst xmlns:a="http://schemas.openxmlformats.org/drawingml/2006/main">
                <a:ext uri="{FF2B5EF4-FFF2-40B4-BE49-F238E27FC236}">
                  <a16:creationId xmlns:a16="http://schemas.microsoft.com/office/drawing/2014/main" id="{18281EF8-A90A-A681-202D-BF064E02BD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521ED5" w:rsidRPr="007720BC">
        <w:rPr>
          <w:rFonts w:ascii="Times New Roman" w:hAnsi="Times New Roman" w:cs="Times New Roman"/>
          <w:sz w:val="20"/>
          <w:szCs w:val="20"/>
        </w:rPr>
        <w:t>Berdasarkan Kabupaten/Kota Provinsi Banten</w:t>
      </w:r>
    </w:p>
    <w:p w14:paraId="6F783224" w14:textId="12B109E4" w:rsidR="0065440A" w:rsidRPr="007720BC" w:rsidRDefault="0065440A" w:rsidP="00CB2900">
      <w:pPr>
        <w:pStyle w:val="Heading1"/>
        <w:ind w:left="0" w:right="0" w:firstLine="720"/>
        <w:contextualSpacing/>
        <w:jc w:val="both"/>
        <w:rPr>
          <w:rFonts w:ascii="Times New Roman" w:hAnsi="Times New Roman" w:cs="Times New Roman"/>
          <w:b w:val="0"/>
          <w:bCs w:val="0"/>
          <w:sz w:val="24"/>
          <w:szCs w:val="24"/>
          <w:lang w:val="en-US"/>
        </w:rPr>
      </w:pPr>
    </w:p>
    <w:p w14:paraId="71287368" w14:textId="77777777" w:rsidR="0065440A" w:rsidRPr="007720BC" w:rsidRDefault="0065440A" w:rsidP="00CB2900">
      <w:pPr>
        <w:pStyle w:val="Heading1"/>
        <w:ind w:left="0" w:right="0" w:firstLine="720"/>
        <w:contextualSpacing/>
        <w:jc w:val="both"/>
        <w:rPr>
          <w:rFonts w:ascii="Times New Roman" w:hAnsi="Times New Roman" w:cs="Times New Roman"/>
          <w:b w:val="0"/>
          <w:bCs w:val="0"/>
          <w:sz w:val="24"/>
          <w:szCs w:val="24"/>
          <w:lang w:val="en-US"/>
        </w:rPr>
      </w:pPr>
    </w:p>
    <w:p w14:paraId="37E03F03" w14:textId="77777777" w:rsidR="0065440A" w:rsidRPr="007720BC" w:rsidRDefault="0065440A" w:rsidP="00CB2900">
      <w:pPr>
        <w:pStyle w:val="Heading1"/>
        <w:ind w:left="0" w:right="0" w:firstLine="720"/>
        <w:contextualSpacing/>
        <w:jc w:val="both"/>
        <w:rPr>
          <w:rFonts w:ascii="Times New Roman" w:hAnsi="Times New Roman" w:cs="Times New Roman"/>
          <w:b w:val="0"/>
          <w:bCs w:val="0"/>
          <w:sz w:val="24"/>
          <w:szCs w:val="24"/>
          <w:lang w:val="en-US"/>
        </w:rPr>
      </w:pPr>
    </w:p>
    <w:p w14:paraId="30DE3506" w14:textId="77777777" w:rsidR="0065440A" w:rsidRPr="007720BC" w:rsidRDefault="0065440A" w:rsidP="00CB2900">
      <w:pPr>
        <w:pStyle w:val="Heading1"/>
        <w:ind w:left="0" w:right="0" w:firstLine="720"/>
        <w:contextualSpacing/>
        <w:jc w:val="both"/>
        <w:rPr>
          <w:rFonts w:ascii="Times New Roman" w:hAnsi="Times New Roman" w:cs="Times New Roman"/>
          <w:b w:val="0"/>
          <w:bCs w:val="0"/>
          <w:sz w:val="24"/>
          <w:szCs w:val="24"/>
          <w:lang w:val="en-US"/>
        </w:rPr>
      </w:pPr>
    </w:p>
    <w:p w14:paraId="57A50656" w14:textId="77777777" w:rsidR="0065440A" w:rsidRPr="007720BC" w:rsidRDefault="0065440A" w:rsidP="00CB2900">
      <w:pPr>
        <w:pStyle w:val="Heading1"/>
        <w:ind w:left="0" w:right="0" w:firstLine="720"/>
        <w:contextualSpacing/>
        <w:jc w:val="both"/>
        <w:rPr>
          <w:rFonts w:ascii="Times New Roman" w:hAnsi="Times New Roman" w:cs="Times New Roman"/>
          <w:b w:val="0"/>
          <w:bCs w:val="0"/>
          <w:sz w:val="24"/>
          <w:szCs w:val="24"/>
          <w:lang w:val="en-US"/>
        </w:rPr>
      </w:pPr>
    </w:p>
    <w:p w14:paraId="70F1054E" w14:textId="77777777" w:rsidR="0065440A" w:rsidRPr="007720BC" w:rsidRDefault="0065440A" w:rsidP="00CB2900">
      <w:pPr>
        <w:spacing w:after="0" w:line="240" w:lineRule="auto"/>
        <w:contextualSpacing/>
        <w:jc w:val="both"/>
        <w:rPr>
          <w:rStyle w:val="hgkelc"/>
          <w:rFonts w:ascii="Times New Roman" w:hAnsi="Times New Roman" w:cs="Times New Roman"/>
          <w:sz w:val="24"/>
          <w:szCs w:val="24"/>
          <w:lang w:val="en-US"/>
        </w:rPr>
      </w:pPr>
    </w:p>
    <w:p w14:paraId="6AB8A2C5" w14:textId="77777777" w:rsidR="00264FD9" w:rsidRPr="007720BC" w:rsidRDefault="00264FD9" w:rsidP="00CB2900">
      <w:pPr>
        <w:spacing w:after="0" w:line="240" w:lineRule="auto"/>
        <w:contextualSpacing/>
        <w:jc w:val="both"/>
        <w:rPr>
          <w:rStyle w:val="hgkelc"/>
          <w:rFonts w:ascii="Times New Roman" w:hAnsi="Times New Roman" w:cs="Times New Roman"/>
          <w:sz w:val="24"/>
          <w:szCs w:val="24"/>
          <w:lang w:val="en-US"/>
        </w:rPr>
      </w:pPr>
    </w:p>
    <w:p w14:paraId="40876A46" w14:textId="77777777" w:rsidR="00264FD9" w:rsidRPr="007720BC" w:rsidRDefault="00264FD9" w:rsidP="00CB2900">
      <w:pPr>
        <w:spacing w:after="0" w:line="240" w:lineRule="auto"/>
        <w:contextualSpacing/>
        <w:jc w:val="both"/>
        <w:rPr>
          <w:rStyle w:val="hgkelc"/>
          <w:rFonts w:ascii="Times New Roman" w:hAnsi="Times New Roman" w:cs="Times New Roman"/>
          <w:sz w:val="24"/>
          <w:szCs w:val="24"/>
          <w:lang w:val="en-US"/>
        </w:rPr>
      </w:pPr>
    </w:p>
    <w:p w14:paraId="24D6294F" w14:textId="77777777" w:rsidR="00264FD9" w:rsidRPr="007720BC" w:rsidRDefault="00264FD9" w:rsidP="00CB2900">
      <w:pPr>
        <w:spacing w:after="0" w:line="240" w:lineRule="auto"/>
        <w:contextualSpacing/>
        <w:jc w:val="both"/>
        <w:rPr>
          <w:rStyle w:val="hgkelc"/>
          <w:rFonts w:ascii="Times New Roman" w:hAnsi="Times New Roman" w:cs="Times New Roman"/>
          <w:sz w:val="24"/>
          <w:szCs w:val="24"/>
          <w:lang w:val="en-US"/>
        </w:rPr>
      </w:pPr>
    </w:p>
    <w:p w14:paraId="36FBE1FC" w14:textId="77777777" w:rsidR="00264FD9" w:rsidRPr="007720BC" w:rsidRDefault="00264FD9" w:rsidP="00CB2900">
      <w:pPr>
        <w:spacing w:after="0" w:line="240" w:lineRule="auto"/>
        <w:contextualSpacing/>
        <w:jc w:val="both"/>
        <w:rPr>
          <w:rStyle w:val="hgkelc"/>
          <w:rFonts w:ascii="Times New Roman" w:hAnsi="Times New Roman" w:cs="Times New Roman"/>
          <w:sz w:val="24"/>
          <w:szCs w:val="24"/>
          <w:lang w:val="en-US"/>
        </w:rPr>
      </w:pPr>
    </w:p>
    <w:p w14:paraId="032EE1FC" w14:textId="77777777" w:rsidR="0065440A" w:rsidRPr="007720BC" w:rsidRDefault="0065440A" w:rsidP="00CB2900">
      <w:pPr>
        <w:spacing w:after="0" w:line="240" w:lineRule="auto"/>
        <w:contextualSpacing/>
        <w:jc w:val="both"/>
        <w:rPr>
          <w:rFonts w:ascii="Times New Roman" w:hAnsi="Times New Roman" w:cs="Times New Roman"/>
          <w:sz w:val="24"/>
          <w:szCs w:val="24"/>
          <w:lang w:val="en-US"/>
        </w:rPr>
      </w:pPr>
    </w:p>
    <w:p w14:paraId="6B9249D8" w14:textId="77777777" w:rsidR="000D119C" w:rsidRPr="007720BC" w:rsidRDefault="000D119C" w:rsidP="00A17183">
      <w:pPr>
        <w:pStyle w:val="Heading1"/>
        <w:ind w:left="0" w:right="0"/>
        <w:contextualSpacing/>
        <w:rPr>
          <w:rFonts w:ascii="Times New Roman" w:hAnsi="Times New Roman" w:cs="Times New Roman"/>
          <w:sz w:val="20"/>
          <w:szCs w:val="20"/>
          <w:lang w:val="en-US"/>
        </w:rPr>
      </w:pPr>
    </w:p>
    <w:p w14:paraId="2184642F" w14:textId="77777777" w:rsidR="000D119C" w:rsidRPr="007720BC" w:rsidRDefault="000D119C" w:rsidP="00A17183">
      <w:pPr>
        <w:pStyle w:val="Heading1"/>
        <w:ind w:left="0" w:right="0"/>
        <w:contextualSpacing/>
        <w:rPr>
          <w:rFonts w:ascii="Times New Roman" w:hAnsi="Times New Roman" w:cs="Times New Roman"/>
          <w:sz w:val="20"/>
          <w:szCs w:val="20"/>
          <w:lang w:val="en-US"/>
        </w:rPr>
      </w:pPr>
    </w:p>
    <w:p w14:paraId="0D92B701" w14:textId="77777777" w:rsidR="000D119C" w:rsidRPr="007720BC" w:rsidRDefault="000D119C" w:rsidP="00A17183">
      <w:pPr>
        <w:pStyle w:val="Heading1"/>
        <w:ind w:left="0" w:right="0"/>
        <w:contextualSpacing/>
        <w:rPr>
          <w:rFonts w:ascii="Times New Roman" w:hAnsi="Times New Roman" w:cs="Times New Roman"/>
          <w:sz w:val="20"/>
          <w:szCs w:val="20"/>
          <w:lang w:val="en-US"/>
        </w:rPr>
      </w:pPr>
    </w:p>
    <w:p w14:paraId="5AA29FC2" w14:textId="6F042880" w:rsidR="0065440A" w:rsidRPr="007720BC" w:rsidRDefault="0065440A" w:rsidP="00A17183">
      <w:pPr>
        <w:pStyle w:val="Heading1"/>
        <w:ind w:left="0" w:right="0"/>
        <w:contextualSpacing/>
        <w:rPr>
          <w:rStyle w:val="hgkelc"/>
          <w:rFonts w:ascii="Times New Roman" w:hAnsi="Times New Roman" w:cs="Times New Roman"/>
          <w:sz w:val="20"/>
          <w:szCs w:val="20"/>
          <w:lang w:val="en-US"/>
        </w:rPr>
      </w:pPr>
      <w:proofErr w:type="spellStart"/>
      <w:r w:rsidRPr="007720BC">
        <w:rPr>
          <w:rFonts w:ascii="Times New Roman" w:hAnsi="Times New Roman" w:cs="Times New Roman"/>
          <w:sz w:val="20"/>
          <w:szCs w:val="20"/>
          <w:lang w:val="en-US"/>
        </w:rPr>
        <w:t>Sumber</w:t>
      </w:r>
      <w:proofErr w:type="spellEnd"/>
      <w:r w:rsidRPr="007720BC">
        <w:rPr>
          <w:rFonts w:ascii="Times New Roman" w:hAnsi="Times New Roman" w:cs="Times New Roman"/>
          <w:sz w:val="20"/>
          <w:szCs w:val="20"/>
          <w:lang w:val="en-US"/>
        </w:rPr>
        <w:t xml:space="preserve">: </w:t>
      </w:r>
      <w:r w:rsidRPr="007720BC">
        <w:rPr>
          <w:rStyle w:val="hgkelc"/>
          <w:rFonts w:ascii="Times New Roman" w:hAnsi="Times New Roman" w:cs="Times New Roman"/>
          <w:sz w:val="20"/>
          <w:szCs w:val="20"/>
          <w:lang w:val="id-ID"/>
        </w:rPr>
        <w:t xml:space="preserve">Studi Status Gizi Indonesia </w:t>
      </w:r>
      <w:r w:rsidR="00521ED5" w:rsidRPr="007720BC">
        <w:rPr>
          <w:rStyle w:val="hgkelc"/>
          <w:rFonts w:ascii="Times New Roman" w:hAnsi="Times New Roman" w:cs="Times New Roman"/>
          <w:sz w:val="20"/>
          <w:szCs w:val="20"/>
          <w:lang w:val="en-US"/>
        </w:rPr>
        <w:t>(</w:t>
      </w:r>
      <w:r w:rsidRPr="007720BC">
        <w:rPr>
          <w:rStyle w:val="hgkelc"/>
          <w:rFonts w:ascii="Times New Roman" w:hAnsi="Times New Roman" w:cs="Times New Roman"/>
          <w:sz w:val="20"/>
          <w:szCs w:val="20"/>
          <w:lang w:val="en-US"/>
        </w:rPr>
        <w:t>2022</w:t>
      </w:r>
      <w:r w:rsidR="00521ED5" w:rsidRPr="007720BC">
        <w:rPr>
          <w:rStyle w:val="hgkelc"/>
          <w:rFonts w:ascii="Times New Roman" w:hAnsi="Times New Roman" w:cs="Times New Roman"/>
          <w:sz w:val="20"/>
          <w:szCs w:val="20"/>
          <w:lang w:val="en-US"/>
        </w:rPr>
        <w:t>)</w:t>
      </w:r>
      <w:r w:rsidRPr="007720BC">
        <w:rPr>
          <w:rStyle w:val="hgkelc"/>
          <w:rFonts w:ascii="Times New Roman" w:hAnsi="Times New Roman" w:cs="Times New Roman"/>
          <w:sz w:val="20"/>
          <w:szCs w:val="20"/>
          <w:lang w:val="en-US"/>
        </w:rPr>
        <w:t xml:space="preserve">  </w:t>
      </w:r>
    </w:p>
    <w:p w14:paraId="412BFECB" w14:textId="77777777" w:rsidR="00A17183" w:rsidRPr="007720BC" w:rsidRDefault="00A17183" w:rsidP="00A17183">
      <w:pPr>
        <w:pStyle w:val="Heading1"/>
        <w:ind w:left="0" w:right="0"/>
        <w:contextualSpacing/>
        <w:rPr>
          <w:rStyle w:val="hgkelc"/>
          <w:rFonts w:ascii="Times New Roman" w:hAnsi="Times New Roman" w:cs="Times New Roman"/>
          <w:sz w:val="24"/>
          <w:szCs w:val="24"/>
          <w:lang w:val="en-US"/>
        </w:rPr>
      </w:pPr>
    </w:p>
    <w:p w14:paraId="7DA07B3D" w14:textId="2AEDEEF4" w:rsidR="00CC66DD" w:rsidRPr="007720BC" w:rsidRDefault="0065440A" w:rsidP="00CB2900">
      <w:pPr>
        <w:pStyle w:val="BodyText"/>
        <w:ind w:firstLine="720"/>
        <w:contextualSpacing/>
        <w:jc w:val="both"/>
        <w:rPr>
          <w:sz w:val="24"/>
          <w:szCs w:val="24"/>
          <w:lang w:val="en-US"/>
        </w:rPr>
      </w:pPr>
      <w:proofErr w:type="spellStart"/>
      <w:r w:rsidRPr="007720BC">
        <w:rPr>
          <w:sz w:val="24"/>
          <w:szCs w:val="24"/>
          <w:lang w:val="en-ID" w:eastAsia="en-ID"/>
        </w:rPr>
        <w:t>Berdasarkan</w:t>
      </w:r>
      <w:proofErr w:type="spellEnd"/>
      <w:r w:rsidRPr="007720BC">
        <w:rPr>
          <w:sz w:val="24"/>
          <w:szCs w:val="24"/>
          <w:lang w:val="en-ID" w:eastAsia="en-ID"/>
        </w:rPr>
        <w:t xml:space="preserve"> </w:t>
      </w:r>
      <w:proofErr w:type="spellStart"/>
      <w:r w:rsidRPr="007720BC">
        <w:rPr>
          <w:sz w:val="24"/>
          <w:szCs w:val="24"/>
          <w:lang w:val="en-ID" w:eastAsia="en-ID"/>
        </w:rPr>
        <w:t>gambar</w:t>
      </w:r>
      <w:proofErr w:type="spellEnd"/>
      <w:r w:rsidRPr="007720BC">
        <w:rPr>
          <w:sz w:val="24"/>
          <w:szCs w:val="24"/>
          <w:lang w:val="en-ID" w:eastAsia="en-ID"/>
        </w:rPr>
        <w:t xml:space="preserve"> 2</w:t>
      </w:r>
      <w:r w:rsidR="000A23ED" w:rsidRPr="007720BC">
        <w:rPr>
          <w:sz w:val="24"/>
          <w:szCs w:val="24"/>
          <w:lang w:val="en-ID" w:eastAsia="en-ID"/>
        </w:rPr>
        <w:t xml:space="preserve"> di </w:t>
      </w:r>
      <w:proofErr w:type="spellStart"/>
      <w:r w:rsidR="000A23ED" w:rsidRPr="007720BC">
        <w:rPr>
          <w:sz w:val="24"/>
          <w:szCs w:val="24"/>
          <w:lang w:val="en-ID" w:eastAsia="en-ID"/>
        </w:rPr>
        <w:t>atas</w:t>
      </w:r>
      <w:proofErr w:type="spellEnd"/>
      <w:r w:rsidRPr="007720BC">
        <w:rPr>
          <w:sz w:val="24"/>
          <w:szCs w:val="24"/>
          <w:lang w:val="en-ID" w:eastAsia="en-ID"/>
        </w:rPr>
        <w:t xml:space="preserve"> </w:t>
      </w:r>
      <w:proofErr w:type="spellStart"/>
      <w:r w:rsidRPr="007720BC">
        <w:rPr>
          <w:sz w:val="24"/>
          <w:szCs w:val="24"/>
          <w:lang w:val="en-ID" w:eastAsia="en-ID"/>
        </w:rPr>
        <w:t>maka</w:t>
      </w:r>
      <w:proofErr w:type="spellEnd"/>
      <w:r w:rsidRPr="007720BC">
        <w:rPr>
          <w:sz w:val="24"/>
          <w:szCs w:val="24"/>
          <w:lang w:val="en-ID" w:eastAsia="en-ID"/>
        </w:rPr>
        <w:t xml:space="preserve"> </w:t>
      </w:r>
      <w:proofErr w:type="spellStart"/>
      <w:r w:rsidRPr="007720BC">
        <w:rPr>
          <w:sz w:val="24"/>
          <w:szCs w:val="24"/>
          <w:lang w:val="en-ID" w:eastAsia="en-ID"/>
        </w:rPr>
        <w:t>dapat</w:t>
      </w:r>
      <w:proofErr w:type="spellEnd"/>
      <w:r w:rsidRPr="007720BC">
        <w:rPr>
          <w:sz w:val="24"/>
          <w:szCs w:val="24"/>
          <w:lang w:val="en-ID" w:eastAsia="en-ID"/>
        </w:rPr>
        <w:t xml:space="preserve"> </w:t>
      </w:r>
      <w:proofErr w:type="spellStart"/>
      <w:r w:rsidRPr="007720BC">
        <w:rPr>
          <w:sz w:val="24"/>
          <w:szCs w:val="24"/>
          <w:lang w:val="en-ID" w:eastAsia="en-ID"/>
        </w:rPr>
        <w:t>diketahui</w:t>
      </w:r>
      <w:proofErr w:type="spellEnd"/>
      <w:r w:rsidRPr="007720BC">
        <w:rPr>
          <w:sz w:val="24"/>
          <w:szCs w:val="24"/>
          <w:lang w:val="en-ID" w:eastAsia="en-ID"/>
        </w:rPr>
        <w:t xml:space="preserve"> </w:t>
      </w:r>
      <w:proofErr w:type="spellStart"/>
      <w:r w:rsidRPr="007720BC">
        <w:rPr>
          <w:sz w:val="24"/>
          <w:szCs w:val="24"/>
          <w:lang w:val="en-ID" w:eastAsia="en-ID"/>
        </w:rPr>
        <w:t>bahwa</w:t>
      </w:r>
      <w:proofErr w:type="spellEnd"/>
      <w:r w:rsidRPr="007720BC">
        <w:rPr>
          <w:sz w:val="24"/>
          <w:szCs w:val="24"/>
          <w:lang w:val="en-ID" w:eastAsia="en-ID"/>
        </w:rPr>
        <w:t xml:space="preserve"> </w:t>
      </w:r>
      <w:proofErr w:type="spellStart"/>
      <w:r w:rsidRPr="007720BC">
        <w:rPr>
          <w:sz w:val="24"/>
          <w:szCs w:val="24"/>
          <w:lang w:val="en-ID" w:eastAsia="en-ID"/>
        </w:rPr>
        <w:t>tingkat</w:t>
      </w:r>
      <w:proofErr w:type="spellEnd"/>
      <w:r w:rsidRPr="007720BC">
        <w:rPr>
          <w:sz w:val="24"/>
          <w:szCs w:val="24"/>
          <w:lang w:val="en-ID" w:eastAsia="en-ID"/>
        </w:rPr>
        <w:t xml:space="preserve"> </w:t>
      </w:r>
      <w:proofErr w:type="spellStart"/>
      <w:r w:rsidRPr="007720BC">
        <w:rPr>
          <w:sz w:val="24"/>
          <w:szCs w:val="24"/>
          <w:lang w:val="en-ID" w:eastAsia="en-ID"/>
        </w:rPr>
        <w:t>prevalensi</w:t>
      </w:r>
      <w:proofErr w:type="spellEnd"/>
      <w:r w:rsidRPr="007720BC">
        <w:rPr>
          <w:sz w:val="24"/>
          <w:szCs w:val="24"/>
          <w:lang w:val="en-ID" w:eastAsia="en-ID"/>
        </w:rPr>
        <w:t xml:space="preserve"> </w:t>
      </w:r>
      <w:proofErr w:type="spellStart"/>
      <w:r w:rsidRPr="007720BC">
        <w:rPr>
          <w:sz w:val="24"/>
          <w:szCs w:val="24"/>
          <w:lang w:val="en-ID" w:eastAsia="en-ID"/>
        </w:rPr>
        <w:t>balita</w:t>
      </w:r>
      <w:proofErr w:type="spellEnd"/>
      <w:r w:rsidRPr="007720BC">
        <w:rPr>
          <w:sz w:val="24"/>
          <w:szCs w:val="24"/>
          <w:lang w:val="en-ID" w:eastAsia="en-ID"/>
        </w:rPr>
        <w:t xml:space="preserve"> </w:t>
      </w:r>
      <w:proofErr w:type="spellStart"/>
      <w:r w:rsidR="00264FD9" w:rsidRPr="007720BC">
        <w:rPr>
          <w:sz w:val="24"/>
          <w:szCs w:val="24"/>
          <w:lang w:val="en-ID" w:eastAsia="en-ID"/>
        </w:rPr>
        <w:t>berdasarkan</w:t>
      </w:r>
      <w:proofErr w:type="spellEnd"/>
      <w:r w:rsidR="00264FD9" w:rsidRPr="007720BC">
        <w:rPr>
          <w:sz w:val="24"/>
          <w:szCs w:val="24"/>
          <w:lang w:val="en-ID" w:eastAsia="en-ID"/>
        </w:rPr>
        <w:t xml:space="preserve"> </w:t>
      </w:r>
      <w:proofErr w:type="spellStart"/>
      <w:r w:rsidRPr="007720BC">
        <w:rPr>
          <w:sz w:val="24"/>
          <w:szCs w:val="24"/>
          <w:lang w:val="en-ID" w:eastAsia="en-ID"/>
        </w:rPr>
        <w:t>tinggi</w:t>
      </w:r>
      <w:proofErr w:type="spellEnd"/>
      <w:r w:rsidRPr="007720BC">
        <w:rPr>
          <w:sz w:val="24"/>
          <w:szCs w:val="24"/>
          <w:lang w:val="en-ID" w:eastAsia="en-ID"/>
        </w:rPr>
        <w:t xml:space="preserve"> badan </w:t>
      </w:r>
      <w:proofErr w:type="spellStart"/>
      <w:r w:rsidRPr="007720BC">
        <w:rPr>
          <w:sz w:val="24"/>
          <w:szCs w:val="24"/>
          <w:lang w:val="en-ID" w:eastAsia="en-ID"/>
        </w:rPr>
        <w:t>menurut</w:t>
      </w:r>
      <w:proofErr w:type="spellEnd"/>
      <w:r w:rsidRPr="007720BC">
        <w:rPr>
          <w:sz w:val="24"/>
          <w:szCs w:val="24"/>
          <w:lang w:val="en-ID" w:eastAsia="en-ID"/>
        </w:rPr>
        <w:t xml:space="preserve"> </w:t>
      </w:r>
      <w:proofErr w:type="spellStart"/>
      <w:r w:rsidRPr="007720BC">
        <w:rPr>
          <w:sz w:val="24"/>
          <w:szCs w:val="24"/>
          <w:lang w:val="en-ID" w:eastAsia="en-ID"/>
        </w:rPr>
        <w:t>umur</w:t>
      </w:r>
      <w:proofErr w:type="spellEnd"/>
      <w:r w:rsidR="00264FD9" w:rsidRPr="007720BC">
        <w:rPr>
          <w:sz w:val="24"/>
          <w:szCs w:val="24"/>
          <w:lang w:val="en-ID" w:eastAsia="en-ID"/>
        </w:rPr>
        <w:t xml:space="preserve"> </w:t>
      </w:r>
      <w:r w:rsidRPr="007720BC">
        <w:rPr>
          <w:sz w:val="24"/>
          <w:szCs w:val="24"/>
          <w:lang w:val="en-ID" w:eastAsia="en-ID"/>
        </w:rPr>
        <w:t xml:space="preserve">pada </w:t>
      </w:r>
      <w:proofErr w:type="spellStart"/>
      <w:r w:rsidRPr="007720BC">
        <w:rPr>
          <w:sz w:val="24"/>
          <w:szCs w:val="24"/>
          <w:lang w:val="en-ID" w:eastAsia="en-ID"/>
        </w:rPr>
        <w:t>tahun</w:t>
      </w:r>
      <w:proofErr w:type="spellEnd"/>
      <w:r w:rsidRPr="007720BC">
        <w:rPr>
          <w:sz w:val="24"/>
          <w:szCs w:val="24"/>
          <w:lang w:val="en-ID" w:eastAsia="en-ID"/>
        </w:rPr>
        <w:t xml:space="preserve"> 2021 </w:t>
      </w:r>
      <w:proofErr w:type="spellStart"/>
      <w:r w:rsidR="00264FD9" w:rsidRPr="007720BC">
        <w:rPr>
          <w:sz w:val="24"/>
          <w:szCs w:val="24"/>
          <w:lang w:val="en-ID" w:eastAsia="en-ID"/>
        </w:rPr>
        <w:t>mencapai</w:t>
      </w:r>
      <w:proofErr w:type="spellEnd"/>
      <w:r w:rsidR="00264FD9" w:rsidRPr="007720BC">
        <w:rPr>
          <w:sz w:val="24"/>
          <w:szCs w:val="24"/>
          <w:lang w:val="en-ID" w:eastAsia="en-ID"/>
        </w:rPr>
        <w:t xml:space="preserve"> </w:t>
      </w:r>
      <w:r w:rsidRPr="007720BC">
        <w:rPr>
          <w:sz w:val="24"/>
          <w:szCs w:val="24"/>
          <w:lang w:val="en-ID" w:eastAsia="en-ID"/>
        </w:rPr>
        <w:t xml:space="preserve">27,2 dan </w:t>
      </w:r>
      <w:proofErr w:type="spellStart"/>
      <w:r w:rsidRPr="007720BC">
        <w:rPr>
          <w:sz w:val="24"/>
          <w:szCs w:val="24"/>
          <w:lang w:val="en-ID" w:eastAsia="en-ID"/>
        </w:rPr>
        <w:t>jika</w:t>
      </w:r>
      <w:proofErr w:type="spellEnd"/>
      <w:r w:rsidRPr="007720BC">
        <w:rPr>
          <w:sz w:val="24"/>
          <w:szCs w:val="24"/>
          <w:lang w:val="en-ID" w:eastAsia="en-ID"/>
        </w:rPr>
        <w:t xml:space="preserve"> </w:t>
      </w:r>
      <w:proofErr w:type="spellStart"/>
      <w:r w:rsidRPr="007720BC">
        <w:rPr>
          <w:sz w:val="24"/>
          <w:szCs w:val="24"/>
          <w:lang w:val="en-ID" w:eastAsia="en-ID"/>
        </w:rPr>
        <w:t>dibandingkan</w:t>
      </w:r>
      <w:proofErr w:type="spellEnd"/>
      <w:r w:rsidRPr="007720BC">
        <w:rPr>
          <w:sz w:val="24"/>
          <w:szCs w:val="24"/>
          <w:lang w:val="en-ID" w:eastAsia="en-ID"/>
        </w:rPr>
        <w:t xml:space="preserve"> </w:t>
      </w:r>
      <w:proofErr w:type="spellStart"/>
      <w:r w:rsidRPr="007720BC">
        <w:rPr>
          <w:sz w:val="24"/>
          <w:szCs w:val="24"/>
          <w:lang w:val="en-ID" w:eastAsia="en-ID"/>
        </w:rPr>
        <w:t>dengan</w:t>
      </w:r>
      <w:proofErr w:type="spellEnd"/>
      <w:r w:rsidRPr="007720BC">
        <w:rPr>
          <w:sz w:val="24"/>
          <w:szCs w:val="24"/>
          <w:lang w:val="en-ID" w:eastAsia="en-ID"/>
        </w:rPr>
        <w:t xml:space="preserve"> </w:t>
      </w:r>
      <w:proofErr w:type="spellStart"/>
      <w:r w:rsidRPr="007720BC">
        <w:rPr>
          <w:sz w:val="24"/>
          <w:szCs w:val="24"/>
          <w:lang w:val="en-ID" w:eastAsia="en-ID"/>
        </w:rPr>
        <w:t>kabupaten</w:t>
      </w:r>
      <w:proofErr w:type="spellEnd"/>
      <w:r w:rsidRPr="007720BC">
        <w:rPr>
          <w:sz w:val="24"/>
          <w:szCs w:val="24"/>
          <w:lang w:val="en-ID" w:eastAsia="en-ID"/>
        </w:rPr>
        <w:t>/</w:t>
      </w:r>
      <w:proofErr w:type="spellStart"/>
      <w:r w:rsidRPr="007720BC">
        <w:rPr>
          <w:sz w:val="24"/>
          <w:szCs w:val="24"/>
          <w:lang w:val="en-ID" w:eastAsia="en-ID"/>
        </w:rPr>
        <w:t>kota</w:t>
      </w:r>
      <w:proofErr w:type="spellEnd"/>
      <w:r w:rsidRPr="007720BC">
        <w:rPr>
          <w:sz w:val="24"/>
          <w:szCs w:val="24"/>
          <w:lang w:val="en-ID" w:eastAsia="en-ID"/>
        </w:rPr>
        <w:t xml:space="preserve"> di </w:t>
      </w:r>
      <w:proofErr w:type="spellStart"/>
      <w:r w:rsidRPr="007720BC">
        <w:rPr>
          <w:sz w:val="24"/>
          <w:szCs w:val="24"/>
          <w:lang w:val="en-ID" w:eastAsia="en-ID"/>
        </w:rPr>
        <w:t>Provinsi</w:t>
      </w:r>
      <w:proofErr w:type="spellEnd"/>
      <w:r w:rsidRPr="007720BC">
        <w:rPr>
          <w:sz w:val="24"/>
          <w:szCs w:val="24"/>
          <w:lang w:val="en-ID" w:eastAsia="en-ID"/>
        </w:rPr>
        <w:t xml:space="preserve"> Banten</w:t>
      </w:r>
      <w:r w:rsidR="00264FD9" w:rsidRPr="007720BC">
        <w:rPr>
          <w:sz w:val="24"/>
          <w:szCs w:val="24"/>
          <w:lang w:val="en-ID" w:eastAsia="en-ID"/>
        </w:rPr>
        <w:t xml:space="preserve">, </w:t>
      </w:r>
      <w:proofErr w:type="spellStart"/>
      <w:r w:rsidR="00264FD9" w:rsidRPr="007720BC">
        <w:rPr>
          <w:sz w:val="24"/>
          <w:szCs w:val="24"/>
          <w:lang w:val="en-ID" w:eastAsia="en-ID"/>
        </w:rPr>
        <w:t>Kabupaten</w:t>
      </w:r>
      <w:proofErr w:type="spellEnd"/>
      <w:r w:rsidR="00264FD9" w:rsidRPr="007720BC">
        <w:rPr>
          <w:sz w:val="24"/>
          <w:szCs w:val="24"/>
          <w:lang w:val="en-ID" w:eastAsia="en-ID"/>
        </w:rPr>
        <w:t xml:space="preserve"> </w:t>
      </w:r>
      <w:proofErr w:type="spellStart"/>
      <w:r w:rsidR="00264FD9" w:rsidRPr="007720BC">
        <w:rPr>
          <w:sz w:val="24"/>
          <w:szCs w:val="24"/>
          <w:lang w:val="en-ID" w:eastAsia="en-ID"/>
        </w:rPr>
        <w:t>Serang</w:t>
      </w:r>
      <w:proofErr w:type="spellEnd"/>
      <w:r w:rsidRPr="007720BC">
        <w:rPr>
          <w:sz w:val="24"/>
          <w:szCs w:val="24"/>
          <w:lang w:val="en-ID" w:eastAsia="en-ID"/>
        </w:rPr>
        <w:t xml:space="preserve"> </w:t>
      </w:r>
      <w:proofErr w:type="spellStart"/>
      <w:r w:rsidRPr="007720BC">
        <w:rPr>
          <w:sz w:val="24"/>
          <w:szCs w:val="24"/>
          <w:lang w:val="en-ID" w:eastAsia="en-ID"/>
        </w:rPr>
        <w:t>menempati</w:t>
      </w:r>
      <w:proofErr w:type="spellEnd"/>
      <w:r w:rsidRPr="007720BC">
        <w:rPr>
          <w:sz w:val="24"/>
          <w:szCs w:val="24"/>
          <w:lang w:val="en-ID" w:eastAsia="en-ID"/>
        </w:rPr>
        <w:t xml:space="preserve"> </w:t>
      </w:r>
      <w:proofErr w:type="spellStart"/>
      <w:r w:rsidRPr="007720BC">
        <w:rPr>
          <w:sz w:val="24"/>
          <w:szCs w:val="24"/>
          <w:lang w:val="en-ID" w:eastAsia="en-ID"/>
        </w:rPr>
        <w:t>urutan</w:t>
      </w:r>
      <w:proofErr w:type="spellEnd"/>
      <w:r w:rsidRPr="007720BC">
        <w:rPr>
          <w:sz w:val="24"/>
          <w:szCs w:val="24"/>
          <w:lang w:val="en-ID" w:eastAsia="en-ID"/>
        </w:rPr>
        <w:t xml:space="preserve"> </w:t>
      </w:r>
      <w:proofErr w:type="spellStart"/>
      <w:r w:rsidRPr="007720BC">
        <w:rPr>
          <w:sz w:val="24"/>
          <w:szCs w:val="24"/>
          <w:lang w:val="en-ID" w:eastAsia="en-ID"/>
        </w:rPr>
        <w:t>ke</w:t>
      </w:r>
      <w:proofErr w:type="spellEnd"/>
      <w:r w:rsidRPr="007720BC">
        <w:rPr>
          <w:sz w:val="24"/>
          <w:szCs w:val="24"/>
          <w:lang w:val="en-ID" w:eastAsia="en-ID"/>
        </w:rPr>
        <w:t xml:space="preserve"> 6 </w:t>
      </w:r>
      <w:proofErr w:type="spellStart"/>
      <w:r w:rsidRPr="007720BC">
        <w:rPr>
          <w:sz w:val="24"/>
          <w:szCs w:val="24"/>
          <w:lang w:val="en-ID" w:eastAsia="en-ID"/>
        </w:rPr>
        <w:t>setelah</w:t>
      </w:r>
      <w:proofErr w:type="spellEnd"/>
      <w:r w:rsidRPr="007720BC">
        <w:rPr>
          <w:sz w:val="24"/>
          <w:szCs w:val="24"/>
          <w:lang w:val="en-ID" w:eastAsia="en-ID"/>
        </w:rPr>
        <w:t xml:space="preserve"> Kota Tangerang (15,3%), Kota Tangerang Selatan (19,9%), Kota </w:t>
      </w:r>
      <w:proofErr w:type="spellStart"/>
      <w:r w:rsidRPr="007720BC">
        <w:rPr>
          <w:sz w:val="24"/>
          <w:szCs w:val="24"/>
          <w:lang w:val="en-ID" w:eastAsia="en-ID"/>
        </w:rPr>
        <w:t>Cilegon</w:t>
      </w:r>
      <w:proofErr w:type="spellEnd"/>
      <w:r w:rsidRPr="007720BC">
        <w:rPr>
          <w:sz w:val="24"/>
          <w:szCs w:val="24"/>
          <w:lang w:val="en-ID" w:eastAsia="en-ID"/>
        </w:rPr>
        <w:t xml:space="preserve"> (20,6%), Kota Tangerang (23,3%), Kota </w:t>
      </w:r>
      <w:proofErr w:type="spellStart"/>
      <w:r w:rsidRPr="007720BC">
        <w:rPr>
          <w:sz w:val="24"/>
          <w:szCs w:val="24"/>
          <w:lang w:val="en-ID" w:eastAsia="en-ID"/>
        </w:rPr>
        <w:t>Serang</w:t>
      </w:r>
      <w:proofErr w:type="spellEnd"/>
      <w:r w:rsidRPr="007720BC">
        <w:rPr>
          <w:sz w:val="24"/>
          <w:szCs w:val="24"/>
          <w:lang w:val="en-ID" w:eastAsia="en-ID"/>
        </w:rPr>
        <w:t xml:space="preserve"> (23,4%) dan </w:t>
      </w:r>
      <w:proofErr w:type="spellStart"/>
      <w:r w:rsidRPr="007720BC">
        <w:rPr>
          <w:sz w:val="24"/>
          <w:szCs w:val="24"/>
          <w:lang w:val="en-ID" w:eastAsia="en-ID"/>
        </w:rPr>
        <w:t>masih</w:t>
      </w:r>
      <w:proofErr w:type="spellEnd"/>
      <w:r w:rsidRPr="007720BC">
        <w:rPr>
          <w:sz w:val="24"/>
          <w:szCs w:val="24"/>
          <w:lang w:val="en-ID" w:eastAsia="en-ID"/>
        </w:rPr>
        <w:t xml:space="preserve"> di </w:t>
      </w:r>
      <w:proofErr w:type="spellStart"/>
      <w:r w:rsidRPr="007720BC">
        <w:rPr>
          <w:sz w:val="24"/>
          <w:szCs w:val="24"/>
          <w:lang w:val="en-ID" w:eastAsia="en-ID"/>
        </w:rPr>
        <w:t>atas</w:t>
      </w:r>
      <w:proofErr w:type="spellEnd"/>
      <w:r w:rsidRPr="007720BC">
        <w:rPr>
          <w:sz w:val="24"/>
          <w:szCs w:val="24"/>
          <w:lang w:val="en-ID" w:eastAsia="en-ID"/>
        </w:rPr>
        <w:t xml:space="preserve"> </w:t>
      </w:r>
      <w:proofErr w:type="spellStart"/>
      <w:r w:rsidRPr="007720BC">
        <w:rPr>
          <w:sz w:val="24"/>
          <w:szCs w:val="24"/>
          <w:lang w:val="en-ID" w:eastAsia="en-ID"/>
        </w:rPr>
        <w:t>tingkat</w:t>
      </w:r>
      <w:proofErr w:type="spellEnd"/>
      <w:r w:rsidRPr="007720BC">
        <w:rPr>
          <w:sz w:val="24"/>
          <w:szCs w:val="24"/>
          <w:lang w:val="en-ID" w:eastAsia="en-ID"/>
        </w:rPr>
        <w:t xml:space="preserve"> rata-rata </w:t>
      </w:r>
      <w:proofErr w:type="spellStart"/>
      <w:r w:rsidRPr="007720BC">
        <w:rPr>
          <w:sz w:val="24"/>
          <w:szCs w:val="24"/>
          <w:lang w:val="en-ID" w:eastAsia="en-ID"/>
        </w:rPr>
        <w:t>Provinsi</w:t>
      </w:r>
      <w:proofErr w:type="spellEnd"/>
      <w:r w:rsidRPr="007720BC">
        <w:rPr>
          <w:sz w:val="24"/>
          <w:szCs w:val="24"/>
          <w:lang w:val="en-ID" w:eastAsia="en-ID"/>
        </w:rPr>
        <w:t xml:space="preserve"> Banten </w:t>
      </w:r>
      <w:proofErr w:type="spellStart"/>
      <w:r w:rsidRPr="007720BC">
        <w:rPr>
          <w:sz w:val="24"/>
          <w:szCs w:val="24"/>
          <w:lang w:val="en-ID" w:eastAsia="en-ID"/>
        </w:rPr>
        <w:t>sebesar</w:t>
      </w:r>
      <w:proofErr w:type="spellEnd"/>
      <w:r w:rsidRPr="007720BC">
        <w:rPr>
          <w:sz w:val="24"/>
          <w:szCs w:val="24"/>
          <w:lang w:val="en-ID" w:eastAsia="en-ID"/>
        </w:rPr>
        <w:t xml:space="preserve"> 24,5. Pada </w:t>
      </w:r>
      <w:proofErr w:type="spellStart"/>
      <w:r w:rsidRPr="007720BC">
        <w:rPr>
          <w:sz w:val="24"/>
          <w:szCs w:val="24"/>
          <w:lang w:val="en-ID" w:eastAsia="en-ID"/>
        </w:rPr>
        <w:t>tahun</w:t>
      </w:r>
      <w:proofErr w:type="spellEnd"/>
      <w:r w:rsidRPr="007720BC">
        <w:rPr>
          <w:sz w:val="24"/>
          <w:szCs w:val="24"/>
          <w:lang w:val="en-ID" w:eastAsia="en-ID"/>
        </w:rPr>
        <w:t xml:space="preserve"> 2022, </w:t>
      </w:r>
      <w:proofErr w:type="spellStart"/>
      <w:r w:rsidRPr="007720BC">
        <w:rPr>
          <w:sz w:val="24"/>
          <w:szCs w:val="24"/>
          <w:lang w:val="en-ID" w:eastAsia="en-ID"/>
        </w:rPr>
        <w:t>Kabupaten</w:t>
      </w:r>
      <w:proofErr w:type="spellEnd"/>
      <w:r w:rsidRPr="007720BC">
        <w:rPr>
          <w:sz w:val="24"/>
          <w:szCs w:val="24"/>
          <w:lang w:val="en-ID" w:eastAsia="en-ID"/>
        </w:rPr>
        <w:t xml:space="preserve"> </w:t>
      </w:r>
      <w:proofErr w:type="spellStart"/>
      <w:r w:rsidRPr="007720BC">
        <w:rPr>
          <w:sz w:val="24"/>
          <w:szCs w:val="24"/>
          <w:lang w:val="en-ID" w:eastAsia="en-ID"/>
        </w:rPr>
        <w:t>Serang</w:t>
      </w:r>
      <w:proofErr w:type="spellEnd"/>
      <w:r w:rsidRPr="007720BC">
        <w:rPr>
          <w:sz w:val="24"/>
          <w:szCs w:val="24"/>
          <w:lang w:val="en-ID" w:eastAsia="en-ID"/>
        </w:rPr>
        <w:t xml:space="preserve"> </w:t>
      </w:r>
      <w:proofErr w:type="spellStart"/>
      <w:r w:rsidRPr="007720BC">
        <w:rPr>
          <w:sz w:val="24"/>
          <w:szCs w:val="24"/>
          <w:lang w:val="en-ID" w:eastAsia="en-ID"/>
        </w:rPr>
        <w:t>meskipun</w:t>
      </w:r>
      <w:proofErr w:type="spellEnd"/>
      <w:r w:rsidRPr="007720BC">
        <w:rPr>
          <w:sz w:val="24"/>
          <w:szCs w:val="24"/>
          <w:lang w:val="en-ID" w:eastAsia="en-ID"/>
        </w:rPr>
        <w:t xml:space="preserve"> </w:t>
      </w:r>
      <w:proofErr w:type="spellStart"/>
      <w:r w:rsidRPr="007720BC">
        <w:rPr>
          <w:sz w:val="24"/>
          <w:szCs w:val="24"/>
          <w:lang w:val="en-ID" w:eastAsia="en-ID"/>
        </w:rPr>
        <w:t>mengalami</w:t>
      </w:r>
      <w:proofErr w:type="spellEnd"/>
      <w:r w:rsidRPr="007720BC">
        <w:rPr>
          <w:sz w:val="24"/>
          <w:szCs w:val="24"/>
          <w:lang w:val="en-ID" w:eastAsia="en-ID"/>
        </w:rPr>
        <w:t xml:space="preserve"> </w:t>
      </w:r>
      <w:proofErr w:type="spellStart"/>
      <w:r w:rsidRPr="007720BC">
        <w:rPr>
          <w:sz w:val="24"/>
          <w:szCs w:val="24"/>
          <w:lang w:val="en-ID" w:eastAsia="en-ID"/>
        </w:rPr>
        <w:t>penurunan</w:t>
      </w:r>
      <w:proofErr w:type="spellEnd"/>
      <w:r w:rsidRPr="007720BC">
        <w:rPr>
          <w:sz w:val="24"/>
          <w:szCs w:val="24"/>
          <w:lang w:val="en-ID" w:eastAsia="en-ID"/>
        </w:rPr>
        <w:t xml:space="preserve"> </w:t>
      </w:r>
      <w:proofErr w:type="spellStart"/>
      <w:r w:rsidRPr="007720BC">
        <w:rPr>
          <w:sz w:val="24"/>
          <w:szCs w:val="24"/>
          <w:lang w:val="en-ID" w:eastAsia="en-ID"/>
        </w:rPr>
        <w:t>sebesar</w:t>
      </w:r>
      <w:proofErr w:type="spellEnd"/>
      <w:r w:rsidRPr="007720BC">
        <w:rPr>
          <w:sz w:val="24"/>
          <w:szCs w:val="24"/>
          <w:lang w:val="en-ID" w:eastAsia="en-ID"/>
        </w:rPr>
        <w:t xml:space="preserve"> 26,4 </w:t>
      </w:r>
      <w:proofErr w:type="spellStart"/>
      <w:r w:rsidRPr="007720BC">
        <w:rPr>
          <w:sz w:val="24"/>
          <w:szCs w:val="24"/>
          <w:lang w:val="en-ID" w:eastAsia="en-ID"/>
        </w:rPr>
        <w:t>akan</w:t>
      </w:r>
      <w:proofErr w:type="spellEnd"/>
      <w:r w:rsidRPr="007720BC">
        <w:rPr>
          <w:sz w:val="24"/>
          <w:szCs w:val="24"/>
          <w:lang w:val="en-ID" w:eastAsia="en-ID"/>
        </w:rPr>
        <w:t xml:space="preserve"> </w:t>
      </w:r>
      <w:proofErr w:type="spellStart"/>
      <w:r w:rsidRPr="007720BC">
        <w:rPr>
          <w:sz w:val="24"/>
          <w:szCs w:val="24"/>
          <w:lang w:val="en-ID" w:eastAsia="en-ID"/>
        </w:rPr>
        <w:t>tetapi</w:t>
      </w:r>
      <w:proofErr w:type="spellEnd"/>
      <w:r w:rsidRPr="007720BC">
        <w:rPr>
          <w:sz w:val="24"/>
          <w:szCs w:val="24"/>
          <w:lang w:val="en-ID" w:eastAsia="en-ID"/>
        </w:rPr>
        <w:t xml:space="preserve"> </w:t>
      </w:r>
      <w:proofErr w:type="spellStart"/>
      <w:r w:rsidRPr="007720BC">
        <w:rPr>
          <w:sz w:val="24"/>
          <w:szCs w:val="24"/>
          <w:lang w:val="en-ID" w:eastAsia="en-ID"/>
        </w:rPr>
        <w:t>jika</w:t>
      </w:r>
      <w:proofErr w:type="spellEnd"/>
      <w:r w:rsidRPr="007720BC">
        <w:rPr>
          <w:sz w:val="24"/>
          <w:szCs w:val="24"/>
          <w:lang w:val="en-ID" w:eastAsia="en-ID"/>
        </w:rPr>
        <w:t xml:space="preserve"> </w:t>
      </w:r>
      <w:proofErr w:type="spellStart"/>
      <w:r w:rsidRPr="007720BC">
        <w:rPr>
          <w:sz w:val="24"/>
          <w:szCs w:val="24"/>
          <w:lang w:val="en-ID" w:eastAsia="en-ID"/>
        </w:rPr>
        <w:t>dibandingkan</w:t>
      </w:r>
      <w:proofErr w:type="spellEnd"/>
      <w:r w:rsidRPr="007720BC">
        <w:rPr>
          <w:sz w:val="24"/>
          <w:szCs w:val="24"/>
          <w:lang w:val="en-ID" w:eastAsia="en-ID"/>
        </w:rPr>
        <w:t xml:space="preserve"> </w:t>
      </w:r>
      <w:proofErr w:type="spellStart"/>
      <w:r w:rsidRPr="007720BC">
        <w:rPr>
          <w:sz w:val="24"/>
          <w:szCs w:val="24"/>
          <w:lang w:val="en-ID" w:eastAsia="en-ID"/>
        </w:rPr>
        <w:t>dengan</w:t>
      </w:r>
      <w:proofErr w:type="spellEnd"/>
      <w:r w:rsidRPr="007720BC">
        <w:rPr>
          <w:sz w:val="24"/>
          <w:szCs w:val="24"/>
          <w:lang w:val="en-ID" w:eastAsia="en-ID"/>
        </w:rPr>
        <w:t xml:space="preserve"> </w:t>
      </w:r>
      <w:proofErr w:type="spellStart"/>
      <w:r w:rsidRPr="007720BC">
        <w:rPr>
          <w:sz w:val="24"/>
          <w:szCs w:val="24"/>
          <w:lang w:val="en-ID" w:eastAsia="en-ID"/>
        </w:rPr>
        <w:t>kabupaten</w:t>
      </w:r>
      <w:proofErr w:type="spellEnd"/>
      <w:r w:rsidRPr="007720BC">
        <w:rPr>
          <w:sz w:val="24"/>
          <w:szCs w:val="24"/>
          <w:lang w:val="en-ID" w:eastAsia="en-ID"/>
        </w:rPr>
        <w:t>/</w:t>
      </w:r>
      <w:proofErr w:type="spellStart"/>
      <w:r w:rsidRPr="007720BC">
        <w:rPr>
          <w:sz w:val="24"/>
          <w:szCs w:val="24"/>
          <w:lang w:val="en-ID" w:eastAsia="en-ID"/>
        </w:rPr>
        <w:t>kota</w:t>
      </w:r>
      <w:proofErr w:type="spellEnd"/>
      <w:r w:rsidRPr="007720BC">
        <w:rPr>
          <w:sz w:val="24"/>
          <w:szCs w:val="24"/>
          <w:lang w:val="en-ID" w:eastAsia="en-ID"/>
        </w:rPr>
        <w:t xml:space="preserve"> di </w:t>
      </w:r>
      <w:proofErr w:type="spellStart"/>
      <w:r w:rsidRPr="007720BC">
        <w:rPr>
          <w:sz w:val="24"/>
          <w:szCs w:val="24"/>
          <w:lang w:val="en-ID" w:eastAsia="en-ID"/>
        </w:rPr>
        <w:t>Provinsi</w:t>
      </w:r>
      <w:proofErr w:type="spellEnd"/>
      <w:r w:rsidRPr="007720BC">
        <w:rPr>
          <w:sz w:val="24"/>
          <w:szCs w:val="24"/>
          <w:lang w:val="en-ID" w:eastAsia="en-ID"/>
        </w:rPr>
        <w:t xml:space="preserve"> Banten </w:t>
      </w:r>
      <w:proofErr w:type="spellStart"/>
      <w:r w:rsidRPr="007720BC">
        <w:rPr>
          <w:sz w:val="24"/>
          <w:szCs w:val="24"/>
          <w:lang w:val="en-ID" w:eastAsia="en-ID"/>
        </w:rPr>
        <w:t>masih</w:t>
      </w:r>
      <w:proofErr w:type="spellEnd"/>
      <w:r w:rsidRPr="007720BC">
        <w:rPr>
          <w:sz w:val="24"/>
          <w:szCs w:val="24"/>
          <w:lang w:val="en-ID" w:eastAsia="en-ID"/>
        </w:rPr>
        <w:t xml:space="preserve"> </w:t>
      </w:r>
      <w:proofErr w:type="spellStart"/>
      <w:r w:rsidRPr="007720BC">
        <w:rPr>
          <w:sz w:val="24"/>
          <w:szCs w:val="24"/>
          <w:lang w:val="en-ID" w:eastAsia="en-ID"/>
        </w:rPr>
        <w:t>tetap</w:t>
      </w:r>
      <w:proofErr w:type="spellEnd"/>
      <w:r w:rsidRPr="007720BC">
        <w:rPr>
          <w:sz w:val="24"/>
          <w:szCs w:val="24"/>
          <w:lang w:val="en-ID" w:eastAsia="en-ID"/>
        </w:rPr>
        <w:t xml:space="preserve"> </w:t>
      </w:r>
      <w:proofErr w:type="spellStart"/>
      <w:r w:rsidRPr="007720BC">
        <w:rPr>
          <w:sz w:val="24"/>
          <w:szCs w:val="24"/>
          <w:lang w:val="en-ID" w:eastAsia="en-ID"/>
        </w:rPr>
        <w:t>menempati</w:t>
      </w:r>
      <w:proofErr w:type="spellEnd"/>
      <w:r w:rsidRPr="007720BC">
        <w:rPr>
          <w:sz w:val="24"/>
          <w:szCs w:val="24"/>
          <w:lang w:val="en-ID" w:eastAsia="en-ID"/>
        </w:rPr>
        <w:t xml:space="preserve"> </w:t>
      </w:r>
      <w:proofErr w:type="spellStart"/>
      <w:r w:rsidRPr="007720BC">
        <w:rPr>
          <w:sz w:val="24"/>
          <w:szCs w:val="24"/>
          <w:lang w:val="en-ID" w:eastAsia="en-ID"/>
        </w:rPr>
        <w:t>urutan</w:t>
      </w:r>
      <w:proofErr w:type="spellEnd"/>
      <w:r w:rsidRPr="007720BC">
        <w:rPr>
          <w:sz w:val="24"/>
          <w:szCs w:val="24"/>
          <w:lang w:val="en-ID" w:eastAsia="en-ID"/>
        </w:rPr>
        <w:t xml:space="preserve"> </w:t>
      </w:r>
      <w:proofErr w:type="spellStart"/>
      <w:r w:rsidRPr="007720BC">
        <w:rPr>
          <w:sz w:val="24"/>
          <w:szCs w:val="24"/>
          <w:lang w:val="en-ID" w:eastAsia="en-ID"/>
        </w:rPr>
        <w:t>ke</w:t>
      </w:r>
      <w:proofErr w:type="spellEnd"/>
      <w:r w:rsidRPr="007720BC">
        <w:rPr>
          <w:sz w:val="24"/>
          <w:szCs w:val="24"/>
          <w:lang w:val="en-ID" w:eastAsia="en-ID"/>
        </w:rPr>
        <w:t xml:space="preserve"> 6 </w:t>
      </w:r>
      <w:proofErr w:type="spellStart"/>
      <w:r w:rsidRPr="007720BC">
        <w:rPr>
          <w:sz w:val="24"/>
          <w:szCs w:val="24"/>
          <w:lang w:val="en-ID" w:eastAsia="en-ID"/>
        </w:rPr>
        <w:t>setelah</w:t>
      </w:r>
      <w:proofErr w:type="spellEnd"/>
      <w:r w:rsidRPr="007720BC">
        <w:rPr>
          <w:sz w:val="24"/>
          <w:szCs w:val="24"/>
          <w:lang w:val="en-ID" w:eastAsia="en-ID"/>
        </w:rPr>
        <w:t xml:space="preserve"> Kota Tangerang (9%), Kota Tangerang Selatan (11,81%), Kota </w:t>
      </w:r>
      <w:proofErr w:type="spellStart"/>
      <w:r w:rsidRPr="007720BC">
        <w:rPr>
          <w:sz w:val="24"/>
          <w:szCs w:val="24"/>
          <w:lang w:val="en-ID" w:eastAsia="en-ID"/>
        </w:rPr>
        <w:t>Cilegon</w:t>
      </w:r>
      <w:proofErr w:type="spellEnd"/>
      <w:r w:rsidRPr="007720BC">
        <w:rPr>
          <w:sz w:val="24"/>
          <w:szCs w:val="24"/>
          <w:lang w:val="en-ID" w:eastAsia="en-ID"/>
        </w:rPr>
        <w:t xml:space="preserve"> (19,1%), Kota Tangerang (21,1%) dan Kota </w:t>
      </w:r>
      <w:proofErr w:type="spellStart"/>
      <w:r w:rsidRPr="007720BC">
        <w:rPr>
          <w:sz w:val="24"/>
          <w:szCs w:val="24"/>
          <w:lang w:val="en-ID" w:eastAsia="en-ID"/>
        </w:rPr>
        <w:t>Serang</w:t>
      </w:r>
      <w:proofErr w:type="spellEnd"/>
      <w:r w:rsidRPr="007720BC">
        <w:rPr>
          <w:sz w:val="24"/>
          <w:szCs w:val="24"/>
          <w:lang w:val="en-ID" w:eastAsia="en-ID"/>
        </w:rPr>
        <w:t xml:space="preserve"> (23,8%) </w:t>
      </w:r>
      <w:proofErr w:type="spellStart"/>
      <w:r w:rsidRPr="007720BC">
        <w:rPr>
          <w:sz w:val="24"/>
          <w:szCs w:val="24"/>
          <w:lang w:val="en-ID" w:eastAsia="en-ID"/>
        </w:rPr>
        <w:t>serta</w:t>
      </w:r>
      <w:proofErr w:type="spellEnd"/>
      <w:r w:rsidRPr="007720BC">
        <w:rPr>
          <w:sz w:val="24"/>
          <w:szCs w:val="24"/>
          <w:lang w:val="en-ID" w:eastAsia="en-ID"/>
        </w:rPr>
        <w:t xml:space="preserve"> </w:t>
      </w:r>
      <w:proofErr w:type="spellStart"/>
      <w:r w:rsidRPr="007720BC">
        <w:rPr>
          <w:sz w:val="24"/>
          <w:szCs w:val="24"/>
          <w:lang w:val="en-ID" w:eastAsia="en-ID"/>
        </w:rPr>
        <w:t>masih</w:t>
      </w:r>
      <w:proofErr w:type="spellEnd"/>
      <w:r w:rsidRPr="007720BC">
        <w:rPr>
          <w:sz w:val="24"/>
          <w:szCs w:val="24"/>
          <w:lang w:val="en-ID" w:eastAsia="en-ID"/>
        </w:rPr>
        <w:t xml:space="preserve"> </w:t>
      </w:r>
      <w:proofErr w:type="spellStart"/>
      <w:r w:rsidRPr="007720BC">
        <w:rPr>
          <w:sz w:val="24"/>
          <w:szCs w:val="24"/>
          <w:lang w:val="en-ID" w:eastAsia="en-ID"/>
        </w:rPr>
        <w:t>dibawah</w:t>
      </w:r>
      <w:proofErr w:type="spellEnd"/>
      <w:r w:rsidRPr="007720BC">
        <w:rPr>
          <w:sz w:val="24"/>
          <w:szCs w:val="24"/>
          <w:lang w:val="en-ID" w:eastAsia="en-ID"/>
        </w:rPr>
        <w:t xml:space="preserve"> </w:t>
      </w:r>
      <w:proofErr w:type="spellStart"/>
      <w:r w:rsidRPr="007720BC">
        <w:rPr>
          <w:sz w:val="24"/>
          <w:szCs w:val="24"/>
          <w:lang w:val="en-ID" w:eastAsia="en-ID"/>
        </w:rPr>
        <w:t>capaian</w:t>
      </w:r>
      <w:proofErr w:type="spellEnd"/>
      <w:r w:rsidRPr="007720BC">
        <w:rPr>
          <w:sz w:val="24"/>
          <w:szCs w:val="24"/>
          <w:lang w:val="en-ID" w:eastAsia="en-ID"/>
        </w:rPr>
        <w:t xml:space="preserve"> rata-rata </w:t>
      </w:r>
      <w:proofErr w:type="spellStart"/>
      <w:r w:rsidRPr="007720BC">
        <w:rPr>
          <w:sz w:val="24"/>
          <w:szCs w:val="24"/>
          <w:lang w:val="en-ID" w:eastAsia="en-ID"/>
        </w:rPr>
        <w:t>Provinsi</w:t>
      </w:r>
      <w:proofErr w:type="spellEnd"/>
      <w:r w:rsidRPr="007720BC">
        <w:rPr>
          <w:sz w:val="24"/>
          <w:szCs w:val="24"/>
          <w:lang w:val="en-ID" w:eastAsia="en-ID"/>
        </w:rPr>
        <w:t xml:space="preserve"> Banten </w:t>
      </w:r>
      <w:proofErr w:type="spellStart"/>
      <w:r w:rsidRPr="007720BC">
        <w:rPr>
          <w:sz w:val="24"/>
          <w:szCs w:val="24"/>
          <w:lang w:val="en-ID" w:eastAsia="en-ID"/>
        </w:rPr>
        <w:t>sebesar</w:t>
      </w:r>
      <w:proofErr w:type="spellEnd"/>
      <w:r w:rsidRPr="007720BC">
        <w:rPr>
          <w:sz w:val="24"/>
          <w:szCs w:val="24"/>
          <w:lang w:val="en-ID" w:eastAsia="en-ID"/>
        </w:rPr>
        <w:t xml:space="preserve"> 20%. </w:t>
      </w:r>
      <w:bookmarkStart w:id="1" w:name="_Hlk142092334"/>
    </w:p>
    <w:p w14:paraId="637BBA3D" w14:textId="46810DEE" w:rsidR="00121428" w:rsidRPr="007720BC" w:rsidRDefault="00580C55" w:rsidP="00CB2900">
      <w:pPr>
        <w:pStyle w:val="Heading1"/>
        <w:ind w:left="0" w:right="0" w:firstLine="720"/>
        <w:contextualSpacing/>
        <w:jc w:val="both"/>
        <w:rPr>
          <w:rFonts w:ascii="Times New Roman" w:hAnsi="Times New Roman" w:cs="Times New Roman"/>
          <w:b w:val="0"/>
          <w:bCs w:val="0"/>
          <w:sz w:val="24"/>
          <w:szCs w:val="24"/>
          <w:lang w:val="en-US"/>
        </w:rPr>
      </w:pPr>
      <w:proofErr w:type="spellStart"/>
      <w:r w:rsidRPr="007720BC">
        <w:rPr>
          <w:rFonts w:ascii="Times New Roman" w:hAnsi="Times New Roman" w:cs="Times New Roman"/>
          <w:b w:val="0"/>
          <w:bCs w:val="0"/>
          <w:sz w:val="24"/>
          <w:szCs w:val="24"/>
          <w:lang w:val="en-ID" w:eastAsia="en-ID"/>
        </w:rPr>
        <w:lastRenderedPageBreak/>
        <w:t>Jumlah</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kecamatan</w:t>
      </w:r>
      <w:proofErr w:type="spellEnd"/>
      <w:r w:rsidRPr="007720BC">
        <w:rPr>
          <w:rFonts w:ascii="Times New Roman" w:hAnsi="Times New Roman" w:cs="Times New Roman"/>
          <w:b w:val="0"/>
          <w:bCs w:val="0"/>
          <w:sz w:val="24"/>
          <w:szCs w:val="24"/>
          <w:lang w:val="en-ID" w:eastAsia="en-ID"/>
        </w:rPr>
        <w:t xml:space="preserve"> di </w:t>
      </w:r>
      <w:proofErr w:type="spellStart"/>
      <w:r w:rsidRPr="007720BC">
        <w:rPr>
          <w:rFonts w:ascii="Times New Roman" w:hAnsi="Times New Roman" w:cs="Times New Roman"/>
          <w:b w:val="0"/>
          <w:bCs w:val="0"/>
          <w:sz w:val="24"/>
          <w:szCs w:val="24"/>
          <w:lang w:val="en-ID" w:eastAsia="en-ID"/>
        </w:rPr>
        <w:t>Kabupaten</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Serang</w:t>
      </w:r>
      <w:proofErr w:type="spellEnd"/>
      <w:r w:rsidR="00521ED5" w:rsidRPr="007720BC">
        <w:rPr>
          <w:rFonts w:ascii="Times New Roman" w:hAnsi="Times New Roman" w:cs="Times New Roman"/>
          <w:b w:val="0"/>
          <w:bCs w:val="0"/>
          <w:sz w:val="24"/>
          <w:szCs w:val="24"/>
          <w:lang w:val="en-ID" w:eastAsia="en-ID"/>
        </w:rPr>
        <w:t xml:space="preserve"> </w:t>
      </w:r>
      <w:r w:rsidRPr="007720BC">
        <w:rPr>
          <w:rFonts w:ascii="Times New Roman" w:hAnsi="Times New Roman" w:cs="Times New Roman"/>
          <w:b w:val="0"/>
          <w:bCs w:val="0"/>
          <w:sz w:val="24"/>
          <w:szCs w:val="24"/>
          <w:lang w:val="en-ID" w:eastAsia="en-ID"/>
        </w:rPr>
        <w:t xml:space="preserve">yang </w:t>
      </w:r>
      <w:proofErr w:type="spellStart"/>
      <w:r w:rsidRPr="007720BC">
        <w:rPr>
          <w:rFonts w:ascii="Times New Roman" w:hAnsi="Times New Roman" w:cs="Times New Roman"/>
          <w:b w:val="0"/>
          <w:bCs w:val="0"/>
          <w:sz w:val="24"/>
          <w:szCs w:val="24"/>
          <w:lang w:val="en-ID" w:eastAsia="en-ID"/>
        </w:rPr>
        <w:t>mengalami</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penurunan</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prevalensi</w:t>
      </w:r>
      <w:proofErr w:type="spellEnd"/>
      <w:r w:rsidRPr="007720BC">
        <w:rPr>
          <w:rFonts w:ascii="Times New Roman" w:hAnsi="Times New Roman" w:cs="Times New Roman"/>
          <w:b w:val="0"/>
          <w:bCs w:val="0"/>
          <w:sz w:val="24"/>
          <w:szCs w:val="24"/>
          <w:lang w:val="en-ID" w:eastAsia="en-ID"/>
        </w:rPr>
        <w:t xml:space="preserve"> stunting </w:t>
      </w:r>
      <w:proofErr w:type="spellStart"/>
      <w:r w:rsidRPr="007720BC">
        <w:rPr>
          <w:rFonts w:ascii="Times New Roman" w:hAnsi="Times New Roman" w:cs="Times New Roman"/>
          <w:b w:val="0"/>
          <w:bCs w:val="0"/>
          <w:sz w:val="24"/>
          <w:szCs w:val="24"/>
          <w:lang w:val="en-ID" w:eastAsia="en-ID"/>
        </w:rPr>
        <w:t>dari</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tahun</w:t>
      </w:r>
      <w:proofErr w:type="spellEnd"/>
      <w:r w:rsidRPr="007720BC">
        <w:rPr>
          <w:rFonts w:ascii="Times New Roman" w:hAnsi="Times New Roman" w:cs="Times New Roman"/>
          <w:b w:val="0"/>
          <w:bCs w:val="0"/>
          <w:sz w:val="24"/>
          <w:szCs w:val="24"/>
          <w:lang w:val="en-ID" w:eastAsia="en-ID"/>
        </w:rPr>
        <w:t xml:space="preserve"> 2020 </w:t>
      </w:r>
      <w:proofErr w:type="spellStart"/>
      <w:r w:rsidRPr="007720BC">
        <w:rPr>
          <w:rFonts w:ascii="Times New Roman" w:hAnsi="Times New Roman" w:cs="Times New Roman"/>
          <w:b w:val="0"/>
          <w:bCs w:val="0"/>
          <w:sz w:val="24"/>
          <w:szCs w:val="24"/>
          <w:lang w:val="en-ID" w:eastAsia="en-ID"/>
        </w:rPr>
        <w:t>ke</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tahun</w:t>
      </w:r>
      <w:proofErr w:type="spellEnd"/>
      <w:r w:rsidRPr="007720BC">
        <w:rPr>
          <w:rFonts w:ascii="Times New Roman" w:hAnsi="Times New Roman" w:cs="Times New Roman"/>
          <w:b w:val="0"/>
          <w:bCs w:val="0"/>
          <w:sz w:val="24"/>
          <w:szCs w:val="24"/>
          <w:lang w:val="en-ID" w:eastAsia="en-ID"/>
        </w:rPr>
        <w:t xml:space="preserve"> 2021 </w:t>
      </w:r>
      <w:proofErr w:type="spellStart"/>
      <w:r w:rsidRPr="007720BC">
        <w:rPr>
          <w:rFonts w:ascii="Times New Roman" w:hAnsi="Times New Roman" w:cs="Times New Roman"/>
          <w:b w:val="0"/>
          <w:bCs w:val="0"/>
          <w:sz w:val="24"/>
          <w:szCs w:val="24"/>
          <w:lang w:val="en-ID" w:eastAsia="en-ID"/>
        </w:rPr>
        <w:t>terdapat</w:t>
      </w:r>
      <w:proofErr w:type="spellEnd"/>
      <w:r w:rsidRPr="007720BC">
        <w:rPr>
          <w:rFonts w:ascii="Times New Roman" w:hAnsi="Times New Roman" w:cs="Times New Roman"/>
          <w:b w:val="0"/>
          <w:bCs w:val="0"/>
          <w:sz w:val="24"/>
          <w:szCs w:val="24"/>
          <w:lang w:val="en-ID" w:eastAsia="en-ID"/>
        </w:rPr>
        <w:t xml:space="preserve"> 21 </w:t>
      </w:r>
      <w:proofErr w:type="spellStart"/>
      <w:r w:rsidRPr="007720BC">
        <w:rPr>
          <w:rFonts w:ascii="Times New Roman" w:hAnsi="Times New Roman" w:cs="Times New Roman"/>
          <w:b w:val="0"/>
          <w:bCs w:val="0"/>
          <w:sz w:val="24"/>
          <w:szCs w:val="24"/>
          <w:lang w:val="en-ID" w:eastAsia="en-ID"/>
        </w:rPr>
        <w:t>kecamatan</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yaitu</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Cinangka</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Padarincang</w:t>
      </w:r>
      <w:proofErr w:type="spellEnd"/>
      <w:r w:rsidRPr="007720BC">
        <w:rPr>
          <w:rFonts w:ascii="Times New Roman" w:hAnsi="Times New Roman" w:cs="Times New Roman"/>
          <w:b w:val="0"/>
          <w:bCs w:val="0"/>
          <w:sz w:val="24"/>
          <w:szCs w:val="24"/>
          <w:lang w:val="en-ID" w:eastAsia="en-ID"/>
        </w:rPr>
        <w:t xml:space="preserve">, Baros, </w:t>
      </w:r>
      <w:proofErr w:type="spellStart"/>
      <w:r w:rsidRPr="007720BC">
        <w:rPr>
          <w:rFonts w:ascii="Times New Roman" w:hAnsi="Times New Roman" w:cs="Times New Roman"/>
          <w:b w:val="0"/>
          <w:bCs w:val="0"/>
          <w:sz w:val="24"/>
          <w:szCs w:val="24"/>
          <w:lang w:val="en-ID" w:eastAsia="en-ID"/>
        </w:rPr>
        <w:t>Cikeusal</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Pamarayan</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Jawilan</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Kopo</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Cikande</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Kibin</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Kragilan</w:t>
      </w:r>
      <w:proofErr w:type="spellEnd"/>
      <w:r w:rsidR="00521ED5" w:rsidRPr="007720BC">
        <w:rPr>
          <w:rFonts w:ascii="Times New Roman" w:hAnsi="Times New Roman" w:cs="Times New Roman"/>
          <w:b w:val="0"/>
          <w:bCs w:val="0"/>
          <w:sz w:val="24"/>
          <w:szCs w:val="24"/>
          <w:lang w:val="en-ID" w:eastAsia="en-ID"/>
        </w:rPr>
        <w:t>,</w:t>
      </w:r>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Waringin</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Kurung</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Mancak</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Anyar</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Bojonegara</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Pulo</w:t>
      </w:r>
      <w:proofErr w:type="spellEnd"/>
      <w:r w:rsidRPr="007720BC">
        <w:rPr>
          <w:rFonts w:ascii="Times New Roman" w:hAnsi="Times New Roman" w:cs="Times New Roman"/>
          <w:b w:val="0"/>
          <w:bCs w:val="0"/>
          <w:sz w:val="24"/>
          <w:szCs w:val="24"/>
          <w:lang w:val="en-ID" w:eastAsia="en-ID"/>
        </w:rPr>
        <w:t xml:space="preserve"> Ampel, Kramat </w:t>
      </w:r>
      <w:proofErr w:type="spellStart"/>
      <w:r w:rsidRPr="007720BC">
        <w:rPr>
          <w:rFonts w:ascii="Times New Roman" w:hAnsi="Times New Roman" w:cs="Times New Roman"/>
          <w:b w:val="0"/>
          <w:bCs w:val="0"/>
          <w:sz w:val="24"/>
          <w:szCs w:val="24"/>
          <w:lang w:val="en-ID" w:eastAsia="en-ID"/>
        </w:rPr>
        <w:t>Watu</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Ciruas</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Pontang</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Lebakwangi</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Tirtayasa</w:t>
      </w:r>
      <w:proofErr w:type="spellEnd"/>
      <w:r w:rsidRPr="007720BC">
        <w:rPr>
          <w:rFonts w:ascii="Times New Roman" w:hAnsi="Times New Roman" w:cs="Times New Roman"/>
          <w:b w:val="0"/>
          <w:bCs w:val="0"/>
          <w:sz w:val="24"/>
          <w:szCs w:val="24"/>
          <w:lang w:val="en-ID" w:eastAsia="en-ID"/>
        </w:rPr>
        <w:t xml:space="preserve"> dan Tanara. </w:t>
      </w:r>
      <w:proofErr w:type="spellStart"/>
      <w:r w:rsidRPr="007720BC">
        <w:rPr>
          <w:rFonts w:ascii="Times New Roman" w:hAnsi="Times New Roman" w:cs="Times New Roman"/>
          <w:b w:val="0"/>
          <w:bCs w:val="0"/>
          <w:sz w:val="24"/>
          <w:szCs w:val="24"/>
          <w:lang w:val="en-ID" w:eastAsia="en-ID"/>
        </w:rPr>
        <w:t>Sedangkan</w:t>
      </w:r>
      <w:proofErr w:type="spellEnd"/>
      <w:r w:rsidRPr="007720BC">
        <w:rPr>
          <w:rFonts w:ascii="Times New Roman" w:hAnsi="Times New Roman" w:cs="Times New Roman"/>
          <w:b w:val="0"/>
          <w:bCs w:val="0"/>
          <w:sz w:val="24"/>
          <w:szCs w:val="24"/>
          <w:lang w:val="en-ID" w:eastAsia="en-ID"/>
        </w:rPr>
        <w:t xml:space="preserve"> 10 </w:t>
      </w:r>
      <w:proofErr w:type="spellStart"/>
      <w:r w:rsidRPr="007720BC">
        <w:rPr>
          <w:rFonts w:ascii="Times New Roman" w:hAnsi="Times New Roman" w:cs="Times New Roman"/>
          <w:b w:val="0"/>
          <w:bCs w:val="0"/>
          <w:sz w:val="24"/>
          <w:szCs w:val="24"/>
          <w:lang w:val="en-ID" w:eastAsia="en-ID"/>
        </w:rPr>
        <w:t>kecamatan</w:t>
      </w:r>
      <w:proofErr w:type="spellEnd"/>
      <w:r w:rsidRPr="007720BC">
        <w:rPr>
          <w:rFonts w:ascii="Times New Roman" w:hAnsi="Times New Roman" w:cs="Times New Roman"/>
          <w:b w:val="0"/>
          <w:bCs w:val="0"/>
          <w:sz w:val="24"/>
          <w:szCs w:val="24"/>
          <w:lang w:val="en-ID" w:eastAsia="en-ID"/>
        </w:rPr>
        <w:t xml:space="preserve"> yang </w:t>
      </w:r>
      <w:proofErr w:type="spellStart"/>
      <w:r w:rsidRPr="007720BC">
        <w:rPr>
          <w:rFonts w:ascii="Times New Roman" w:hAnsi="Times New Roman" w:cs="Times New Roman"/>
          <w:b w:val="0"/>
          <w:bCs w:val="0"/>
          <w:sz w:val="24"/>
          <w:szCs w:val="24"/>
          <w:lang w:val="en-ID" w:eastAsia="en-ID"/>
        </w:rPr>
        <w:t>mengalami</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kenaikan</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prevalensi</w:t>
      </w:r>
      <w:proofErr w:type="spellEnd"/>
      <w:r w:rsidRPr="007720BC">
        <w:rPr>
          <w:rFonts w:ascii="Times New Roman" w:hAnsi="Times New Roman" w:cs="Times New Roman"/>
          <w:b w:val="0"/>
          <w:bCs w:val="0"/>
          <w:sz w:val="24"/>
          <w:szCs w:val="24"/>
          <w:lang w:val="en-ID" w:eastAsia="en-ID"/>
        </w:rPr>
        <w:t xml:space="preserve"> stunting </w:t>
      </w:r>
      <w:proofErr w:type="spellStart"/>
      <w:r w:rsidRPr="007720BC">
        <w:rPr>
          <w:rFonts w:ascii="Times New Roman" w:hAnsi="Times New Roman" w:cs="Times New Roman"/>
          <w:b w:val="0"/>
          <w:bCs w:val="0"/>
          <w:sz w:val="24"/>
          <w:szCs w:val="24"/>
          <w:lang w:val="en-ID" w:eastAsia="en-ID"/>
        </w:rPr>
        <w:t>dari</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tahun</w:t>
      </w:r>
      <w:proofErr w:type="spellEnd"/>
      <w:r w:rsidRPr="007720BC">
        <w:rPr>
          <w:rFonts w:ascii="Times New Roman" w:hAnsi="Times New Roman" w:cs="Times New Roman"/>
          <w:b w:val="0"/>
          <w:bCs w:val="0"/>
          <w:sz w:val="24"/>
          <w:szCs w:val="24"/>
          <w:lang w:val="en-ID" w:eastAsia="en-ID"/>
        </w:rPr>
        <w:t xml:space="preserve"> 2020 </w:t>
      </w:r>
      <w:proofErr w:type="spellStart"/>
      <w:r w:rsidRPr="007720BC">
        <w:rPr>
          <w:rFonts w:ascii="Times New Roman" w:hAnsi="Times New Roman" w:cs="Times New Roman"/>
          <w:b w:val="0"/>
          <w:bCs w:val="0"/>
          <w:sz w:val="24"/>
          <w:szCs w:val="24"/>
          <w:lang w:val="en-ID" w:eastAsia="en-ID"/>
        </w:rPr>
        <w:t>ke</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tahun</w:t>
      </w:r>
      <w:proofErr w:type="spellEnd"/>
      <w:r w:rsidRPr="007720BC">
        <w:rPr>
          <w:rFonts w:ascii="Times New Roman" w:hAnsi="Times New Roman" w:cs="Times New Roman"/>
          <w:b w:val="0"/>
          <w:bCs w:val="0"/>
          <w:sz w:val="24"/>
          <w:szCs w:val="24"/>
          <w:lang w:val="en-ID" w:eastAsia="en-ID"/>
        </w:rPr>
        <w:t xml:space="preserve"> 2021 </w:t>
      </w:r>
      <w:proofErr w:type="spellStart"/>
      <w:r w:rsidRPr="007720BC">
        <w:rPr>
          <w:rFonts w:ascii="Times New Roman" w:hAnsi="Times New Roman" w:cs="Times New Roman"/>
          <w:b w:val="0"/>
          <w:bCs w:val="0"/>
          <w:sz w:val="24"/>
          <w:szCs w:val="24"/>
          <w:lang w:val="en-ID" w:eastAsia="en-ID"/>
        </w:rPr>
        <w:t>yaitu</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Ciomas</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Pabuaran</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Gunung</w:t>
      </w:r>
      <w:proofErr w:type="spellEnd"/>
      <w:r w:rsidRPr="007720BC">
        <w:rPr>
          <w:rFonts w:ascii="Times New Roman" w:hAnsi="Times New Roman" w:cs="Times New Roman"/>
          <w:b w:val="0"/>
          <w:bCs w:val="0"/>
          <w:sz w:val="24"/>
          <w:szCs w:val="24"/>
          <w:lang w:val="en-ID" w:eastAsia="en-ID"/>
        </w:rPr>
        <w:t xml:space="preserve"> Sari, </w:t>
      </w:r>
      <w:proofErr w:type="spellStart"/>
      <w:r w:rsidRPr="007720BC">
        <w:rPr>
          <w:rFonts w:ascii="Times New Roman" w:hAnsi="Times New Roman" w:cs="Times New Roman"/>
          <w:b w:val="0"/>
          <w:bCs w:val="0"/>
          <w:sz w:val="24"/>
          <w:szCs w:val="24"/>
          <w:lang w:val="en-ID" w:eastAsia="en-ID"/>
        </w:rPr>
        <w:t>Petir</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Tunjung</w:t>
      </w:r>
      <w:proofErr w:type="spellEnd"/>
      <w:r w:rsidRPr="007720BC">
        <w:rPr>
          <w:rFonts w:ascii="Times New Roman" w:hAnsi="Times New Roman" w:cs="Times New Roman"/>
          <w:b w:val="0"/>
          <w:bCs w:val="0"/>
          <w:sz w:val="24"/>
          <w:szCs w:val="24"/>
          <w:lang w:val="en-ID" w:eastAsia="en-ID"/>
        </w:rPr>
        <w:t xml:space="preserve"> Teja, Bandung, </w:t>
      </w:r>
      <w:proofErr w:type="spellStart"/>
      <w:r w:rsidRPr="007720BC">
        <w:rPr>
          <w:rFonts w:ascii="Times New Roman" w:hAnsi="Times New Roman" w:cs="Times New Roman"/>
          <w:b w:val="0"/>
          <w:bCs w:val="0"/>
          <w:sz w:val="24"/>
          <w:szCs w:val="24"/>
          <w:lang w:val="en-ID" w:eastAsia="en-ID"/>
        </w:rPr>
        <w:t>Kopo</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Kragilan</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Carenang</w:t>
      </w:r>
      <w:proofErr w:type="spellEnd"/>
      <w:r w:rsidRPr="007720BC">
        <w:rPr>
          <w:rFonts w:ascii="Times New Roman" w:hAnsi="Times New Roman" w:cs="Times New Roman"/>
          <w:b w:val="0"/>
          <w:bCs w:val="0"/>
          <w:sz w:val="24"/>
          <w:szCs w:val="24"/>
          <w:lang w:val="en-ID" w:eastAsia="en-ID"/>
        </w:rPr>
        <w:t xml:space="preserve">, dan </w:t>
      </w:r>
      <w:proofErr w:type="spellStart"/>
      <w:r w:rsidRPr="007720BC">
        <w:rPr>
          <w:rFonts w:ascii="Times New Roman" w:hAnsi="Times New Roman" w:cs="Times New Roman"/>
          <w:b w:val="0"/>
          <w:bCs w:val="0"/>
          <w:sz w:val="24"/>
          <w:szCs w:val="24"/>
          <w:lang w:val="en-ID" w:eastAsia="en-ID"/>
        </w:rPr>
        <w:t>Binuang</w:t>
      </w:r>
      <w:proofErr w:type="spellEnd"/>
      <w:r w:rsidRPr="007720BC">
        <w:rPr>
          <w:rFonts w:ascii="Times New Roman" w:hAnsi="Times New Roman" w:cs="Times New Roman"/>
          <w:b w:val="0"/>
          <w:bCs w:val="0"/>
          <w:sz w:val="24"/>
          <w:szCs w:val="24"/>
          <w:lang w:val="en-ID" w:eastAsia="en-ID"/>
        </w:rPr>
        <w:t>.</w:t>
      </w:r>
      <w:r w:rsidR="000A23ED" w:rsidRPr="007720BC">
        <w:rPr>
          <w:rFonts w:ascii="Times New Roman" w:hAnsi="Times New Roman" w:cs="Times New Roman"/>
          <w:b w:val="0"/>
          <w:bCs w:val="0"/>
          <w:sz w:val="24"/>
          <w:szCs w:val="24"/>
          <w:lang w:val="en-ID" w:eastAsia="en-ID"/>
        </w:rPr>
        <w:t xml:space="preserve"> </w:t>
      </w:r>
      <w:proofErr w:type="spellStart"/>
      <w:r w:rsidR="000A23ED" w:rsidRPr="007720BC">
        <w:rPr>
          <w:rFonts w:ascii="Times New Roman" w:hAnsi="Times New Roman" w:cs="Times New Roman"/>
          <w:b w:val="0"/>
          <w:bCs w:val="0"/>
          <w:sz w:val="24"/>
          <w:szCs w:val="24"/>
          <w:lang w:val="en-ID" w:eastAsia="en-ID"/>
        </w:rPr>
        <w:t>Selanjutnya</w:t>
      </w:r>
      <w:proofErr w:type="spellEnd"/>
      <w:r w:rsidR="000A23ED" w:rsidRPr="007720BC">
        <w:rPr>
          <w:rFonts w:ascii="Times New Roman" w:hAnsi="Times New Roman" w:cs="Times New Roman"/>
          <w:b w:val="0"/>
          <w:bCs w:val="0"/>
          <w:sz w:val="24"/>
          <w:szCs w:val="24"/>
          <w:lang w:val="en-ID" w:eastAsia="en-ID"/>
        </w:rPr>
        <w:t xml:space="preserve"> </w:t>
      </w:r>
      <w:proofErr w:type="spellStart"/>
      <w:r w:rsidR="000A23ED" w:rsidRPr="007720BC">
        <w:rPr>
          <w:rFonts w:ascii="Times New Roman" w:hAnsi="Times New Roman" w:cs="Times New Roman"/>
          <w:b w:val="0"/>
          <w:bCs w:val="0"/>
          <w:sz w:val="24"/>
          <w:szCs w:val="24"/>
          <w:lang w:val="en-ID" w:eastAsia="en-ID"/>
        </w:rPr>
        <w:t>berdasarkan</w:t>
      </w:r>
      <w:proofErr w:type="spellEnd"/>
      <w:r w:rsidR="000A23ED" w:rsidRPr="007720BC">
        <w:rPr>
          <w:rFonts w:ascii="Times New Roman" w:hAnsi="Times New Roman" w:cs="Times New Roman"/>
          <w:b w:val="0"/>
          <w:bCs w:val="0"/>
          <w:sz w:val="24"/>
          <w:szCs w:val="24"/>
          <w:lang w:val="en-ID" w:eastAsia="en-ID"/>
        </w:rPr>
        <w:t xml:space="preserve"> h</w:t>
      </w:r>
      <w:proofErr w:type="spellStart"/>
      <w:r w:rsidR="00121428" w:rsidRPr="007720BC">
        <w:rPr>
          <w:rFonts w:ascii="Times New Roman" w:hAnsi="Times New Roman" w:cs="Times New Roman"/>
          <w:b w:val="0"/>
          <w:bCs w:val="0"/>
          <w:sz w:val="24"/>
          <w:szCs w:val="24"/>
          <w:lang w:val="en-US"/>
        </w:rPr>
        <w:t>asil</w:t>
      </w:r>
      <w:proofErr w:type="spellEnd"/>
      <w:r w:rsidR="00121428" w:rsidRPr="007720BC">
        <w:rPr>
          <w:rFonts w:ascii="Times New Roman" w:hAnsi="Times New Roman" w:cs="Times New Roman"/>
          <w:b w:val="0"/>
          <w:bCs w:val="0"/>
          <w:sz w:val="24"/>
          <w:szCs w:val="24"/>
          <w:lang w:val="en-US"/>
        </w:rPr>
        <w:t xml:space="preserve"> </w:t>
      </w:r>
      <w:proofErr w:type="spellStart"/>
      <w:r w:rsidR="000A23ED" w:rsidRPr="007720BC">
        <w:rPr>
          <w:rFonts w:ascii="Times New Roman" w:hAnsi="Times New Roman" w:cs="Times New Roman"/>
          <w:b w:val="0"/>
          <w:bCs w:val="0"/>
          <w:sz w:val="24"/>
          <w:szCs w:val="24"/>
          <w:lang w:val="en-US"/>
        </w:rPr>
        <w:t>V</w:t>
      </w:r>
      <w:r w:rsidR="00121428" w:rsidRPr="007720BC">
        <w:rPr>
          <w:rFonts w:ascii="Times New Roman" w:hAnsi="Times New Roman" w:cs="Times New Roman"/>
          <w:b w:val="0"/>
          <w:bCs w:val="0"/>
          <w:sz w:val="24"/>
          <w:szCs w:val="24"/>
          <w:lang w:val="en-US"/>
        </w:rPr>
        <w:t>erifikasi</w:t>
      </w:r>
      <w:proofErr w:type="spellEnd"/>
      <w:r w:rsidR="00121428" w:rsidRPr="007720BC">
        <w:rPr>
          <w:rFonts w:ascii="Times New Roman" w:hAnsi="Times New Roman" w:cs="Times New Roman"/>
          <w:b w:val="0"/>
          <w:bCs w:val="0"/>
          <w:sz w:val="24"/>
          <w:szCs w:val="24"/>
          <w:lang w:val="en-US"/>
        </w:rPr>
        <w:t xml:space="preserve"> dan Validasi (</w:t>
      </w:r>
      <w:proofErr w:type="spellStart"/>
      <w:r w:rsidR="00121428" w:rsidRPr="007720BC">
        <w:rPr>
          <w:rFonts w:ascii="Times New Roman" w:hAnsi="Times New Roman" w:cs="Times New Roman"/>
          <w:b w:val="0"/>
          <w:bCs w:val="0"/>
          <w:sz w:val="24"/>
          <w:szCs w:val="24"/>
          <w:lang w:val="en-US"/>
        </w:rPr>
        <w:t>Verval</w:t>
      </w:r>
      <w:proofErr w:type="spellEnd"/>
      <w:r w:rsidR="00121428" w:rsidRPr="007720BC">
        <w:rPr>
          <w:rFonts w:ascii="Times New Roman" w:hAnsi="Times New Roman" w:cs="Times New Roman"/>
          <w:b w:val="0"/>
          <w:bCs w:val="0"/>
          <w:sz w:val="24"/>
          <w:szCs w:val="24"/>
          <w:lang w:val="en-US"/>
        </w:rPr>
        <w:t xml:space="preserve">) </w:t>
      </w:r>
      <w:proofErr w:type="spellStart"/>
      <w:r w:rsidR="000A23ED" w:rsidRPr="007720BC">
        <w:rPr>
          <w:rFonts w:ascii="Times New Roman" w:hAnsi="Times New Roman" w:cs="Times New Roman"/>
          <w:b w:val="0"/>
          <w:bCs w:val="0"/>
          <w:sz w:val="24"/>
          <w:szCs w:val="24"/>
          <w:lang w:val="en-US"/>
        </w:rPr>
        <w:t>jumlah</w:t>
      </w:r>
      <w:proofErr w:type="spellEnd"/>
      <w:r w:rsidR="000A23ED" w:rsidRPr="007720BC">
        <w:rPr>
          <w:rFonts w:ascii="Times New Roman" w:hAnsi="Times New Roman" w:cs="Times New Roman"/>
          <w:b w:val="0"/>
          <w:bCs w:val="0"/>
          <w:sz w:val="24"/>
          <w:szCs w:val="24"/>
          <w:lang w:val="en-US"/>
        </w:rPr>
        <w:t xml:space="preserve"> </w:t>
      </w:r>
      <w:proofErr w:type="spellStart"/>
      <w:r w:rsidR="00121428" w:rsidRPr="007720BC">
        <w:rPr>
          <w:rFonts w:ascii="Times New Roman" w:hAnsi="Times New Roman" w:cs="Times New Roman"/>
          <w:b w:val="0"/>
          <w:bCs w:val="0"/>
          <w:sz w:val="24"/>
          <w:szCs w:val="24"/>
          <w:lang w:val="en-US"/>
        </w:rPr>
        <w:t>keluarga</w:t>
      </w:r>
      <w:proofErr w:type="spellEnd"/>
      <w:r w:rsidR="00121428" w:rsidRPr="007720BC">
        <w:rPr>
          <w:rFonts w:ascii="Times New Roman" w:hAnsi="Times New Roman" w:cs="Times New Roman"/>
          <w:b w:val="0"/>
          <w:bCs w:val="0"/>
          <w:sz w:val="24"/>
          <w:szCs w:val="24"/>
          <w:lang w:val="en-US"/>
        </w:rPr>
        <w:t xml:space="preserve"> </w:t>
      </w:r>
      <w:proofErr w:type="spellStart"/>
      <w:r w:rsidR="00121428" w:rsidRPr="007720BC">
        <w:rPr>
          <w:rFonts w:ascii="Times New Roman" w:hAnsi="Times New Roman" w:cs="Times New Roman"/>
          <w:b w:val="0"/>
          <w:bCs w:val="0"/>
          <w:sz w:val="24"/>
          <w:szCs w:val="24"/>
          <w:lang w:val="en-US"/>
        </w:rPr>
        <w:t>beresiko</w:t>
      </w:r>
      <w:proofErr w:type="spellEnd"/>
      <w:r w:rsidR="00121428" w:rsidRPr="007720BC">
        <w:rPr>
          <w:rFonts w:ascii="Times New Roman" w:hAnsi="Times New Roman" w:cs="Times New Roman"/>
          <w:b w:val="0"/>
          <w:bCs w:val="0"/>
          <w:sz w:val="24"/>
          <w:szCs w:val="24"/>
          <w:lang w:val="en-US"/>
        </w:rPr>
        <w:t xml:space="preserve"> stunting pada </w:t>
      </w:r>
      <w:proofErr w:type="spellStart"/>
      <w:r w:rsidR="00121428" w:rsidRPr="007720BC">
        <w:rPr>
          <w:rFonts w:ascii="Times New Roman" w:hAnsi="Times New Roman" w:cs="Times New Roman"/>
          <w:b w:val="0"/>
          <w:bCs w:val="0"/>
          <w:sz w:val="24"/>
          <w:szCs w:val="24"/>
          <w:lang w:val="en-US"/>
        </w:rPr>
        <w:t>tahun</w:t>
      </w:r>
      <w:proofErr w:type="spellEnd"/>
      <w:r w:rsidR="00121428" w:rsidRPr="007720BC">
        <w:rPr>
          <w:rFonts w:ascii="Times New Roman" w:hAnsi="Times New Roman" w:cs="Times New Roman"/>
          <w:b w:val="0"/>
          <w:bCs w:val="0"/>
          <w:sz w:val="24"/>
          <w:szCs w:val="24"/>
          <w:lang w:val="en-US"/>
        </w:rPr>
        <w:t xml:space="preserve"> 2022 di </w:t>
      </w:r>
      <w:proofErr w:type="spellStart"/>
      <w:r w:rsidR="00121428" w:rsidRPr="007720BC">
        <w:rPr>
          <w:rFonts w:ascii="Times New Roman" w:hAnsi="Times New Roman" w:cs="Times New Roman"/>
          <w:b w:val="0"/>
          <w:bCs w:val="0"/>
          <w:sz w:val="24"/>
          <w:szCs w:val="24"/>
          <w:lang w:val="en-US"/>
        </w:rPr>
        <w:t>Provinsi</w:t>
      </w:r>
      <w:proofErr w:type="spellEnd"/>
      <w:r w:rsidR="00121428" w:rsidRPr="007720BC">
        <w:rPr>
          <w:rFonts w:ascii="Times New Roman" w:hAnsi="Times New Roman" w:cs="Times New Roman"/>
          <w:b w:val="0"/>
          <w:bCs w:val="0"/>
          <w:sz w:val="24"/>
          <w:szCs w:val="24"/>
          <w:lang w:val="en-US"/>
        </w:rPr>
        <w:t xml:space="preserve"> Banten </w:t>
      </w:r>
      <w:proofErr w:type="spellStart"/>
      <w:r w:rsidR="00121428" w:rsidRPr="007720BC">
        <w:rPr>
          <w:rFonts w:ascii="Times New Roman" w:hAnsi="Times New Roman" w:cs="Times New Roman"/>
          <w:b w:val="0"/>
          <w:bCs w:val="0"/>
          <w:sz w:val="24"/>
          <w:szCs w:val="24"/>
          <w:lang w:val="en-US"/>
        </w:rPr>
        <w:t>mencapai</w:t>
      </w:r>
      <w:proofErr w:type="spellEnd"/>
      <w:r w:rsidR="00121428" w:rsidRPr="007720BC">
        <w:rPr>
          <w:rFonts w:ascii="Times New Roman" w:hAnsi="Times New Roman" w:cs="Times New Roman"/>
          <w:b w:val="0"/>
          <w:bCs w:val="0"/>
          <w:sz w:val="24"/>
          <w:szCs w:val="24"/>
          <w:lang w:val="en-US"/>
        </w:rPr>
        <w:t xml:space="preserve"> </w:t>
      </w:r>
      <w:proofErr w:type="spellStart"/>
      <w:r w:rsidR="00121428" w:rsidRPr="007720BC">
        <w:rPr>
          <w:rFonts w:ascii="Times New Roman" w:hAnsi="Times New Roman" w:cs="Times New Roman"/>
          <w:b w:val="0"/>
          <w:bCs w:val="0"/>
          <w:sz w:val="24"/>
          <w:szCs w:val="24"/>
          <w:lang w:val="en-US"/>
        </w:rPr>
        <w:t>angka</w:t>
      </w:r>
      <w:proofErr w:type="spellEnd"/>
      <w:r w:rsidR="00121428" w:rsidRPr="007720BC">
        <w:rPr>
          <w:rFonts w:ascii="Times New Roman" w:hAnsi="Times New Roman" w:cs="Times New Roman"/>
          <w:b w:val="0"/>
          <w:bCs w:val="0"/>
          <w:sz w:val="24"/>
          <w:szCs w:val="24"/>
          <w:lang w:val="en-US"/>
        </w:rPr>
        <w:t xml:space="preserve"> 8.506 dan </w:t>
      </w:r>
      <w:proofErr w:type="spellStart"/>
      <w:r w:rsidR="00121428" w:rsidRPr="007720BC">
        <w:rPr>
          <w:rFonts w:ascii="Times New Roman" w:hAnsi="Times New Roman" w:cs="Times New Roman"/>
          <w:b w:val="0"/>
          <w:bCs w:val="0"/>
          <w:sz w:val="24"/>
          <w:szCs w:val="24"/>
          <w:lang w:val="en-US"/>
        </w:rPr>
        <w:t>jumlah</w:t>
      </w:r>
      <w:proofErr w:type="spellEnd"/>
      <w:r w:rsidR="00121428" w:rsidRPr="007720BC">
        <w:rPr>
          <w:rFonts w:ascii="Times New Roman" w:hAnsi="Times New Roman" w:cs="Times New Roman"/>
          <w:b w:val="0"/>
          <w:bCs w:val="0"/>
          <w:sz w:val="24"/>
          <w:szCs w:val="24"/>
          <w:lang w:val="en-US"/>
        </w:rPr>
        <w:t xml:space="preserve"> </w:t>
      </w:r>
      <w:proofErr w:type="spellStart"/>
      <w:r w:rsidR="00121428" w:rsidRPr="007720BC">
        <w:rPr>
          <w:rFonts w:ascii="Times New Roman" w:hAnsi="Times New Roman" w:cs="Times New Roman"/>
          <w:b w:val="0"/>
          <w:bCs w:val="0"/>
          <w:sz w:val="24"/>
          <w:szCs w:val="24"/>
          <w:lang w:val="en-US"/>
        </w:rPr>
        <w:t>keluarga</w:t>
      </w:r>
      <w:proofErr w:type="spellEnd"/>
      <w:r w:rsidR="00121428" w:rsidRPr="007720BC">
        <w:rPr>
          <w:rFonts w:ascii="Times New Roman" w:hAnsi="Times New Roman" w:cs="Times New Roman"/>
          <w:b w:val="0"/>
          <w:bCs w:val="0"/>
          <w:sz w:val="24"/>
          <w:szCs w:val="24"/>
          <w:lang w:val="en-US"/>
        </w:rPr>
        <w:t xml:space="preserve"> </w:t>
      </w:r>
      <w:r w:rsidR="000A23ED" w:rsidRPr="007720BC">
        <w:rPr>
          <w:rFonts w:ascii="Times New Roman" w:hAnsi="Times New Roman" w:cs="Times New Roman"/>
          <w:b w:val="0"/>
          <w:bCs w:val="0"/>
          <w:sz w:val="24"/>
          <w:szCs w:val="24"/>
          <w:lang w:val="en-US"/>
        </w:rPr>
        <w:t xml:space="preserve">yang </w:t>
      </w:r>
      <w:proofErr w:type="spellStart"/>
      <w:r w:rsidR="000A23ED" w:rsidRPr="007720BC">
        <w:rPr>
          <w:rFonts w:ascii="Times New Roman" w:hAnsi="Times New Roman" w:cs="Times New Roman"/>
          <w:b w:val="0"/>
          <w:bCs w:val="0"/>
          <w:sz w:val="24"/>
          <w:szCs w:val="24"/>
          <w:lang w:val="en-US"/>
        </w:rPr>
        <w:t>mendapatkan</w:t>
      </w:r>
      <w:proofErr w:type="spellEnd"/>
      <w:r w:rsidR="000A23ED" w:rsidRPr="007720BC">
        <w:rPr>
          <w:rFonts w:ascii="Times New Roman" w:hAnsi="Times New Roman" w:cs="Times New Roman"/>
          <w:b w:val="0"/>
          <w:bCs w:val="0"/>
          <w:sz w:val="24"/>
          <w:szCs w:val="24"/>
          <w:lang w:val="en-US"/>
        </w:rPr>
        <w:t xml:space="preserve"> </w:t>
      </w:r>
      <w:proofErr w:type="spellStart"/>
      <w:r w:rsidR="00121428" w:rsidRPr="007720BC">
        <w:rPr>
          <w:rFonts w:ascii="Times New Roman" w:hAnsi="Times New Roman" w:cs="Times New Roman"/>
          <w:b w:val="0"/>
          <w:bCs w:val="0"/>
          <w:sz w:val="24"/>
          <w:szCs w:val="24"/>
          <w:lang w:val="en-US"/>
        </w:rPr>
        <w:t>pendamping</w:t>
      </w:r>
      <w:r w:rsidR="000A23ED" w:rsidRPr="007720BC">
        <w:rPr>
          <w:rFonts w:ascii="Times New Roman" w:hAnsi="Times New Roman" w:cs="Times New Roman"/>
          <w:b w:val="0"/>
          <w:bCs w:val="0"/>
          <w:sz w:val="24"/>
          <w:szCs w:val="24"/>
          <w:lang w:val="en-US"/>
        </w:rPr>
        <w:t>an</w:t>
      </w:r>
      <w:proofErr w:type="spellEnd"/>
      <w:r w:rsidR="00121428" w:rsidRPr="007720BC">
        <w:rPr>
          <w:rFonts w:ascii="Times New Roman" w:hAnsi="Times New Roman" w:cs="Times New Roman"/>
          <w:b w:val="0"/>
          <w:bCs w:val="0"/>
          <w:sz w:val="24"/>
          <w:szCs w:val="24"/>
          <w:lang w:val="en-US"/>
        </w:rPr>
        <w:t xml:space="preserve"> </w:t>
      </w:r>
      <w:proofErr w:type="spellStart"/>
      <w:r w:rsidR="00121428" w:rsidRPr="007720BC">
        <w:rPr>
          <w:rFonts w:ascii="Times New Roman" w:hAnsi="Times New Roman" w:cs="Times New Roman"/>
          <w:b w:val="0"/>
          <w:bCs w:val="0"/>
          <w:sz w:val="24"/>
          <w:szCs w:val="24"/>
          <w:lang w:val="en-US"/>
        </w:rPr>
        <w:t>yaitu</w:t>
      </w:r>
      <w:proofErr w:type="spellEnd"/>
      <w:r w:rsidR="00121428" w:rsidRPr="007720BC">
        <w:rPr>
          <w:rFonts w:ascii="Times New Roman" w:hAnsi="Times New Roman" w:cs="Times New Roman"/>
          <w:b w:val="0"/>
          <w:bCs w:val="0"/>
          <w:sz w:val="24"/>
          <w:szCs w:val="24"/>
          <w:lang w:val="en-US"/>
        </w:rPr>
        <w:t xml:space="preserve"> 7.433</w:t>
      </w:r>
      <w:r w:rsidR="0035388D" w:rsidRPr="007720BC">
        <w:rPr>
          <w:rFonts w:ascii="Times New Roman" w:hAnsi="Times New Roman" w:cs="Times New Roman"/>
          <w:b w:val="0"/>
          <w:bCs w:val="0"/>
          <w:sz w:val="24"/>
          <w:szCs w:val="24"/>
          <w:lang w:val="en-US"/>
        </w:rPr>
        <w:t xml:space="preserve">. </w:t>
      </w:r>
      <w:proofErr w:type="spellStart"/>
      <w:r w:rsidR="0035388D" w:rsidRPr="007720BC">
        <w:rPr>
          <w:rFonts w:ascii="Times New Roman" w:hAnsi="Times New Roman" w:cs="Times New Roman"/>
          <w:b w:val="0"/>
          <w:bCs w:val="0"/>
          <w:sz w:val="24"/>
          <w:szCs w:val="24"/>
          <w:lang w:val="en-US"/>
        </w:rPr>
        <w:t>Berikut</w:t>
      </w:r>
      <w:proofErr w:type="spellEnd"/>
      <w:r w:rsidR="0035388D" w:rsidRPr="007720BC">
        <w:rPr>
          <w:rFonts w:ascii="Times New Roman" w:hAnsi="Times New Roman" w:cs="Times New Roman"/>
          <w:b w:val="0"/>
          <w:bCs w:val="0"/>
          <w:sz w:val="24"/>
          <w:szCs w:val="24"/>
          <w:lang w:val="en-US"/>
        </w:rPr>
        <w:t xml:space="preserve"> </w:t>
      </w:r>
      <w:proofErr w:type="spellStart"/>
      <w:r w:rsidR="0035388D" w:rsidRPr="007720BC">
        <w:rPr>
          <w:rFonts w:ascii="Times New Roman" w:hAnsi="Times New Roman" w:cs="Times New Roman"/>
          <w:b w:val="0"/>
          <w:bCs w:val="0"/>
          <w:sz w:val="24"/>
          <w:szCs w:val="24"/>
          <w:lang w:val="en-US"/>
        </w:rPr>
        <w:t>ini</w:t>
      </w:r>
      <w:proofErr w:type="spellEnd"/>
      <w:r w:rsidR="0035388D" w:rsidRPr="007720BC">
        <w:rPr>
          <w:rFonts w:ascii="Times New Roman" w:hAnsi="Times New Roman" w:cs="Times New Roman"/>
          <w:b w:val="0"/>
          <w:bCs w:val="0"/>
          <w:sz w:val="24"/>
          <w:szCs w:val="24"/>
          <w:lang w:val="en-US"/>
        </w:rPr>
        <w:t xml:space="preserve"> </w:t>
      </w:r>
      <w:proofErr w:type="spellStart"/>
      <w:r w:rsidR="0035388D" w:rsidRPr="007720BC">
        <w:rPr>
          <w:rFonts w:ascii="Times New Roman" w:hAnsi="Times New Roman" w:cs="Times New Roman"/>
          <w:b w:val="0"/>
          <w:bCs w:val="0"/>
          <w:sz w:val="24"/>
          <w:szCs w:val="24"/>
          <w:lang w:val="en-US"/>
        </w:rPr>
        <w:t>adalah</w:t>
      </w:r>
      <w:proofErr w:type="spellEnd"/>
      <w:r w:rsidR="0035388D" w:rsidRPr="007720BC">
        <w:rPr>
          <w:rFonts w:ascii="Times New Roman" w:hAnsi="Times New Roman" w:cs="Times New Roman"/>
          <w:b w:val="0"/>
          <w:bCs w:val="0"/>
          <w:sz w:val="24"/>
          <w:szCs w:val="24"/>
          <w:lang w:val="en-US"/>
        </w:rPr>
        <w:t xml:space="preserve"> </w:t>
      </w:r>
      <w:proofErr w:type="spellStart"/>
      <w:r w:rsidR="0035388D" w:rsidRPr="007720BC">
        <w:rPr>
          <w:rFonts w:ascii="Times New Roman" w:hAnsi="Times New Roman" w:cs="Times New Roman"/>
          <w:b w:val="0"/>
          <w:bCs w:val="0"/>
          <w:sz w:val="24"/>
          <w:szCs w:val="24"/>
          <w:lang w:val="en-US"/>
        </w:rPr>
        <w:t>jumlah</w:t>
      </w:r>
      <w:proofErr w:type="spellEnd"/>
      <w:r w:rsidR="0035388D" w:rsidRPr="007720BC">
        <w:rPr>
          <w:rFonts w:ascii="Times New Roman" w:hAnsi="Times New Roman" w:cs="Times New Roman"/>
          <w:b w:val="0"/>
          <w:bCs w:val="0"/>
          <w:sz w:val="24"/>
          <w:szCs w:val="24"/>
          <w:lang w:val="en-US"/>
        </w:rPr>
        <w:t xml:space="preserve"> </w:t>
      </w:r>
      <w:proofErr w:type="spellStart"/>
      <w:r w:rsidR="00521ED5" w:rsidRPr="007720BC">
        <w:rPr>
          <w:rFonts w:ascii="Times New Roman" w:hAnsi="Times New Roman" w:cs="Times New Roman"/>
          <w:b w:val="0"/>
          <w:bCs w:val="0"/>
          <w:sz w:val="24"/>
          <w:szCs w:val="24"/>
          <w:lang w:val="en-US"/>
        </w:rPr>
        <w:t>keluarga</w:t>
      </w:r>
      <w:proofErr w:type="spellEnd"/>
      <w:r w:rsidR="00521ED5" w:rsidRPr="007720BC">
        <w:rPr>
          <w:rFonts w:ascii="Times New Roman" w:hAnsi="Times New Roman" w:cs="Times New Roman"/>
          <w:b w:val="0"/>
          <w:bCs w:val="0"/>
          <w:sz w:val="24"/>
          <w:szCs w:val="24"/>
          <w:lang w:val="en-US"/>
        </w:rPr>
        <w:t xml:space="preserve"> </w:t>
      </w:r>
      <w:proofErr w:type="spellStart"/>
      <w:r w:rsidR="00521ED5" w:rsidRPr="007720BC">
        <w:rPr>
          <w:rFonts w:ascii="Times New Roman" w:hAnsi="Times New Roman" w:cs="Times New Roman"/>
          <w:b w:val="0"/>
          <w:bCs w:val="0"/>
          <w:sz w:val="24"/>
          <w:szCs w:val="24"/>
          <w:lang w:val="en-US"/>
        </w:rPr>
        <w:t>sasaran</w:t>
      </w:r>
      <w:proofErr w:type="spellEnd"/>
      <w:r w:rsidR="00521ED5" w:rsidRPr="007720BC">
        <w:rPr>
          <w:rFonts w:ascii="Times New Roman" w:hAnsi="Times New Roman" w:cs="Times New Roman"/>
          <w:b w:val="0"/>
          <w:bCs w:val="0"/>
          <w:sz w:val="24"/>
          <w:szCs w:val="24"/>
          <w:lang w:val="en-US"/>
        </w:rPr>
        <w:t xml:space="preserve"> </w:t>
      </w:r>
      <w:proofErr w:type="spellStart"/>
      <w:r w:rsidR="00521ED5" w:rsidRPr="007720BC">
        <w:rPr>
          <w:rFonts w:ascii="Times New Roman" w:hAnsi="Times New Roman" w:cs="Times New Roman"/>
          <w:b w:val="0"/>
          <w:bCs w:val="0"/>
          <w:sz w:val="24"/>
          <w:szCs w:val="24"/>
          <w:lang w:val="en-US"/>
        </w:rPr>
        <w:t>menurut</w:t>
      </w:r>
      <w:proofErr w:type="spellEnd"/>
      <w:r w:rsidR="00521ED5" w:rsidRPr="007720BC">
        <w:rPr>
          <w:rFonts w:ascii="Times New Roman" w:hAnsi="Times New Roman" w:cs="Times New Roman"/>
          <w:b w:val="0"/>
          <w:bCs w:val="0"/>
          <w:sz w:val="24"/>
          <w:szCs w:val="24"/>
          <w:lang w:val="en-US"/>
        </w:rPr>
        <w:t xml:space="preserve"> </w:t>
      </w:r>
      <w:proofErr w:type="spellStart"/>
      <w:r w:rsidR="00521ED5" w:rsidRPr="007720BC">
        <w:rPr>
          <w:rFonts w:ascii="Times New Roman" w:hAnsi="Times New Roman" w:cs="Times New Roman"/>
          <w:b w:val="0"/>
          <w:bCs w:val="0"/>
          <w:sz w:val="24"/>
          <w:szCs w:val="24"/>
          <w:lang w:val="en-US"/>
        </w:rPr>
        <w:t>kategori</w:t>
      </w:r>
      <w:proofErr w:type="spellEnd"/>
      <w:r w:rsidR="0035388D" w:rsidRPr="007720BC">
        <w:rPr>
          <w:rFonts w:ascii="Times New Roman" w:hAnsi="Times New Roman" w:cs="Times New Roman"/>
          <w:b w:val="0"/>
          <w:bCs w:val="0"/>
          <w:sz w:val="24"/>
          <w:szCs w:val="24"/>
          <w:lang w:val="en-US"/>
        </w:rPr>
        <w:t xml:space="preserve"> di </w:t>
      </w:r>
      <w:proofErr w:type="spellStart"/>
      <w:r w:rsidR="0035388D" w:rsidRPr="007720BC">
        <w:rPr>
          <w:rFonts w:ascii="Times New Roman" w:hAnsi="Times New Roman" w:cs="Times New Roman"/>
          <w:b w:val="0"/>
          <w:bCs w:val="0"/>
          <w:sz w:val="24"/>
          <w:szCs w:val="24"/>
          <w:lang w:val="en-US"/>
        </w:rPr>
        <w:t>Provinsi</w:t>
      </w:r>
      <w:proofErr w:type="spellEnd"/>
      <w:r w:rsidR="0035388D" w:rsidRPr="007720BC">
        <w:rPr>
          <w:rFonts w:ascii="Times New Roman" w:hAnsi="Times New Roman" w:cs="Times New Roman"/>
          <w:b w:val="0"/>
          <w:bCs w:val="0"/>
          <w:sz w:val="24"/>
          <w:szCs w:val="24"/>
          <w:lang w:val="en-US"/>
        </w:rPr>
        <w:t xml:space="preserve"> Banten </w:t>
      </w:r>
      <w:proofErr w:type="spellStart"/>
      <w:r w:rsidR="00E51645" w:rsidRPr="007720BC">
        <w:rPr>
          <w:rFonts w:ascii="Times New Roman" w:hAnsi="Times New Roman" w:cs="Times New Roman"/>
          <w:b w:val="0"/>
          <w:bCs w:val="0"/>
          <w:sz w:val="24"/>
          <w:szCs w:val="24"/>
          <w:lang w:val="en-US"/>
        </w:rPr>
        <w:t>berdasarkan</w:t>
      </w:r>
      <w:proofErr w:type="spellEnd"/>
      <w:r w:rsidR="00E51645" w:rsidRPr="007720BC">
        <w:rPr>
          <w:rFonts w:ascii="Times New Roman" w:hAnsi="Times New Roman" w:cs="Times New Roman"/>
          <w:b w:val="0"/>
          <w:bCs w:val="0"/>
          <w:sz w:val="24"/>
          <w:szCs w:val="24"/>
          <w:lang w:val="en-US"/>
        </w:rPr>
        <w:t xml:space="preserve"> data Badan </w:t>
      </w:r>
      <w:proofErr w:type="spellStart"/>
      <w:r w:rsidR="00E51645" w:rsidRPr="007720BC">
        <w:rPr>
          <w:rFonts w:ascii="Times New Roman" w:hAnsi="Times New Roman" w:cs="Times New Roman"/>
          <w:b w:val="0"/>
          <w:bCs w:val="0"/>
          <w:sz w:val="24"/>
          <w:szCs w:val="24"/>
          <w:lang w:val="en-US"/>
        </w:rPr>
        <w:t>Koordinasi</w:t>
      </w:r>
      <w:proofErr w:type="spellEnd"/>
      <w:r w:rsidR="00E51645" w:rsidRPr="007720BC">
        <w:rPr>
          <w:rFonts w:ascii="Times New Roman" w:hAnsi="Times New Roman" w:cs="Times New Roman"/>
          <w:b w:val="0"/>
          <w:bCs w:val="0"/>
          <w:sz w:val="24"/>
          <w:szCs w:val="24"/>
          <w:lang w:val="en-US"/>
        </w:rPr>
        <w:t xml:space="preserve"> dan </w:t>
      </w:r>
      <w:proofErr w:type="spellStart"/>
      <w:r w:rsidR="00E51645" w:rsidRPr="007720BC">
        <w:rPr>
          <w:rFonts w:ascii="Times New Roman" w:hAnsi="Times New Roman" w:cs="Times New Roman"/>
          <w:b w:val="0"/>
          <w:bCs w:val="0"/>
          <w:sz w:val="24"/>
          <w:szCs w:val="24"/>
          <w:lang w:val="en-US"/>
        </w:rPr>
        <w:t>Keluarga</w:t>
      </w:r>
      <w:proofErr w:type="spellEnd"/>
      <w:r w:rsidR="00E51645" w:rsidRPr="007720BC">
        <w:rPr>
          <w:rFonts w:ascii="Times New Roman" w:hAnsi="Times New Roman" w:cs="Times New Roman"/>
          <w:b w:val="0"/>
          <w:bCs w:val="0"/>
          <w:sz w:val="24"/>
          <w:szCs w:val="24"/>
          <w:lang w:val="en-US"/>
        </w:rPr>
        <w:t xml:space="preserve"> </w:t>
      </w:r>
      <w:proofErr w:type="spellStart"/>
      <w:r w:rsidR="00E51645" w:rsidRPr="007720BC">
        <w:rPr>
          <w:rFonts w:ascii="Times New Roman" w:hAnsi="Times New Roman" w:cs="Times New Roman"/>
          <w:b w:val="0"/>
          <w:bCs w:val="0"/>
          <w:sz w:val="24"/>
          <w:szCs w:val="24"/>
          <w:lang w:val="en-US"/>
        </w:rPr>
        <w:t>Berencana</w:t>
      </w:r>
      <w:proofErr w:type="spellEnd"/>
      <w:r w:rsidR="00E51645" w:rsidRPr="007720BC">
        <w:rPr>
          <w:rFonts w:ascii="Times New Roman" w:hAnsi="Times New Roman" w:cs="Times New Roman"/>
          <w:b w:val="0"/>
          <w:bCs w:val="0"/>
          <w:sz w:val="24"/>
          <w:szCs w:val="24"/>
          <w:lang w:val="en-US"/>
        </w:rPr>
        <w:t xml:space="preserve"> Nasional (BKKBN) </w:t>
      </w:r>
      <w:proofErr w:type="spellStart"/>
      <w:r w:rsidR="00E51645" w:rsidRPr="007720BC">
        <w:rPr>
          <w:rFonts w:ascii="Times New Roman" w:hAnsi="Times New Roman" w:cs="Times New Roman"/>
          <w:b w:val="0"/>
          <w:bCs w:val="0"/>
          <w:sz w:val="24"/>
          <w:szCs w:val="24"/>
          <w:lang w:val="en-US"/>
        </w:rPr>
        <w:t>sebagaimana</w:t>
      </w:r>
      <w:proofErr w:type="spellEnd"/>
      <w:r w:rsidR="00E51645" w:rsidRPr="007720BC">
        <w:rPr>
          <w:rFonts w:ascii="Times New Roman" w:hAnsi="Times New Roman" w:cs="Times New Roman"/>
          <w:b w:val="0"/>
          <w:bCs w:val="0"/>
          <w:sz w:val="24"/>
          <w:szCs w:val="24"/>
          <w:lang w:val="en-US"/>
        </w:rPr>
        <w:t xml:space="preserve"> </w:t>
      </w:r>
      <w:proofErr w:type="spellStart"/>
      <w:r w:rsidR="0035388D" w:rsidRPr="007720BC">
        <w:rPr>
          <w:rFonts w:ascii="Times New Roman" w:hAnsi="Times New Roman" w:cs="Times New Roman"/>
          <w:b w:val="0"/>
          <w:bCs w:val="0"/>
          <w:sz w:val="24"/>
          <w:szCs w:val="24"/>
          <w:lang w:val="en-US"/>
        </w:rPr>
        <w:t>disajikan</w:t>
      </w:r>
      <w:proofErr w:type="spellEnd"/>
      <w:r w:rsidR="0035388D" w:rsidRPr="007720BC">
        <w:rPr>
          <w:rFonts w:ascii="Times New Roman" w:hAnsi="Times New Roman" w:cs="Times New Roman"/>
          <w:b w:val="0"/>
          <w:bCs w:val="0"/>
          <w:sz w:val="24"/>
          <w:szCs w:val="24"/>
          <w:lang w:val="en-US"/>
        </w:rPr>
        <w:t xml:space="preserve"> pada </w:t>
      </w:r>
      <w:proofErr w:type="spellStart"/>
      <w:r w:rsidR="0035388D" w:rsidRPr="007720BC">
        <w:rPr>
          <w:rFonts w:ascii="Times New Roman" w:hAnsi="Times New Roman" w:cs="Times New Roman"/>
          <w:b w:val="0"/>
          <w:bCs w:val="0"/>
          <w:sz w:val="24"/>
          <w:szCs w:val="24"/>
          <w:lang w:val="en-US"/>
        </w:rPr>
        <w:t>tabel</w:t>
      </w:r>
      <w:proofErr w:type="spellEnd"/>
      <w:r w:rsidR="0035388D" w:rsidRPr="007720BC">
        <w:rPr>
          <w:rFonts w:ascii="Times New Roman" w:hAnsi="Times New Roman" w:cs="Times New Roman"/>
          <w:b w:val="0"/>
          <w:bCs w:val="0"/>
          <w:sz w:val="24"/>
          <w:szCs w:val="24"/>
          <w:lang w:val="en-US"/>
        </w:rPr>
        <w:t xml:space="preserve"> </w:t>
      </w:r>
      <w:proofErr w:type="spellStart"/>
      <w:r w:rsidR="00E51645" w:rsidRPr="007720BC">
        <w:rPr>
          <w:rFonts w:ascii="Times New Roman" w:hAnsi="Times New Roman" w:cs="Times New Roman"/>
          <w:b w:val="0"/>
          <w:bCs w:val="0"/>
          <w:sz w:val="24"/>
          <w:szCs w:val="24"/>
          <w:lang w:val="en-US"/>
        </w:rPr>
        <w:t>sebagai</w:t>
      </w:r>
      <w:proofErr w:type="spellEnd"/>
      <w:r w:rsidR="00E51645" w:rsidRPr="007720BC">
        <w:rPr>
          <w:rFonts w:ascii="Times New Roman" w:hAnsi="Times New Roman" w:cs="Times New Roman"/>
          <w:b w:val="0"/>
          <w:bCs w:val="0"/>
          <w:sz w:val="24"/>
          <w:szCs w:val="24"/>
          <w:lang w:val="en-US"/>
        </w:rPr>
        <w:t xml:space="preserve"> </w:t>
      </w:r>
      <w:proofErr w:type="spellStart"/>
      <w:r w:rsidR="0035388D" w:rsidRPr="007720BC">
        <w:rPr>
          <w:rFonts w:ascii="Times New Roman" w:hAnsi="Times New Roman" w:cs="Times New Roman"/>
          <w:b w:val="0"/>
          <w:bCs w:val="0"/>
          <w:sz w:val="24"/>
          <w:szCs w:val="24"/>
          <w:lang w:val="en-US"/>
        </w:rPr>
        <w:t>berikut</w:t>
      </w:r>
      <w:proofErr w:type="spellEnd"/>
      <w:r w:rsidR="0035388D" w:rsidRPr="007720BC">
        <w:rPr>
          <w:rFonts w:ascii="Times New Roman" w:hAnsi="Times New Roman" w:cs="Times New Roman"/>
          <w:b w:val="0"/>
          <w:bCs w:val="0"/>
          <w:sz w:val="24"/>
          <w:szCs w:val="24"/>
          <w:lang w:val="en-US"/>
        </w:rPr>
        <w:t xml:space="preserve">. </w:t>
      </w:r>
    </w:p>
    <w:p w14:paraId="56833EFD" w14:textId="77777777" w:rsidR="00521ED5" w:rsidRPr="007720BC" w:rsidRDefault="00521ED5" w:rsidP="00CB2900">
      <w:pPr>
        <w:pStyle w:val="Heading1"/>
        <w:ind w:left="0" w:right="0" w:firstLine="720"/>
        <w:contextualSpacing/>
        <w:jc w:val="both"/>
        <w:rPr>
          <w:rFonts w:ascii="Times New Roman" w:hAnsi="Times New Roman" w:cs="Times New Roman"/>
          <w:b w:val="0"/>
          <w:bCs w:val="0"/>
          <w:sz w:val="24"/>
          <w:szCs w:val="24"/>
          <w:lang w:val="en-US"/>
        </w:rPr>
      </w:pPr>
    </w:p>
    <w:p w14:paraId="2920B5F0" w14:textId="77777777" w:rsidR="00A17183" w:rsidRPr="007720BC" w:rsidRDefault="00787C0A" w:rsidP="00CB2900">
      <w:pPr>
        <w:pStyle w:val="BodyText"/>
        <w:contextualSpacing/>
        <w:jc w:val="center"/>
        <w:rPr>
          <w:b/>
          <w:bCs/>
          <w:sz w:val="20"/>
          <w:szCs w:val="20"/>
          <w:lang w:val="en-US"/>
        </w:rPr>
      </w:pPr>
      <w:r w:rsidRPr="007720BC">
        <w:rPr>
          <w:b/>
          <w:bCs/>
          <w:sz w:val="20"/>
          <w:szCs w:val="20"/>
          <w:lang w:val="en-US"/>
        </w:rPr>
        <w:t xml:space="preserve">Tabel 1. </w:t>
      </w:r>
    </w:p>
    <w:p w14:paraId="0CB274F3" w14:textId="5AB6928B" w:rsidR="00E265B9" w:rsidRPr="007720BC" w:rsidRDefault="00787C0A" w:rsidP="00CB2900">
      <w:pPr>
        <w:pStyle w:val="BodyText"/>
        <w:contextualSpacing/>
        <w:jc w:val="center"/>
        <w:rPr>
          <w:b/>
          <w:bCs/>
          <w:sz w:val="20"/>
          <w:szCs w:val="20"/>
          <w:lang w:val="en-US"/>
        </w:rPr>
      </w:pPr>
      <w:proofErr w:type="spellStart"/>
      <w:r w:rsidRPr="007720BC">
        <w:rPr>
          <w:b/>
          <w:bCs/>
          <w:sz w:val="20"/>
          <w:szCs w:val="20"/>
          <w:lang w:val="en-US"/>
        </w:rPr>
        <w:t>Jumlah</w:t>
      </w:r>
      <w:proofErr w:type="spellEnd"/>
      <w:r w:rsidRPr="007720BC">
        <w:rPr>
          <w:b/>
          <w:bCs/>
          <w:sz w:val="20"/>
          <w:szCs w:val="20"/>
          <w:lang w:val="en-US"/>
        </w:rPr>
        <w:t xml:space="preserve"> </w:t>
      </w:r>
      <w:proofErr w:type="spellStart"/>
      <w:r w:rsidRPr="007720BC">
        <w:rPr>
          <w:b/>
          <w:bCs/>
          <w:sz w:val="20"/>
          <w:szCs w:val="20"/>
          <w:lang w:val="en-US"/>
        </w:rPr>
        <w:t>Keluarga</w:t>
      </w:r>
      <w:proofErr w:type="spellEnd"/>
      <w:r w:rsidRPr="007720BC">
        <w:rPr>
          <w:b/>
          <w:bCs/>
          <w:sz w:val="20"/>
          <w:szCs w:val="20"/>
          <w:lang w:val="en-US"/>
        </w:rPr>
        <w:t xml:space="preserve"> </w:t>
      </w:r>
      <w:proofErr w:type="spellStart"/>
      <w:r w:rsidRPr="007720BC">
        <w:rPr>
          <w:b/>
          <w:bCs/>
          <w:sz w:val="20"/>
          <w:szCs w:val="20"/>
          <w:lang w:val="en-US"/>
        </w:rPr>
        <w:t>Sasaran</w:t>
      </w:r>
      <w:proofErr w:type="spellEnd"/>
      <w:r w:rsidRPr="007720BC">
        <w:rPr>
          <w:b/>
          <w:bCs/>
          <w:sz w:val="20"/>
          <w:szCs w:val="20"/>
          <w:lang w:val="en-US"/>
        </w:rPr>
        <w:t xml:space="preserve"> </w:t>
      </w:r>
      <w:proofErr w:type="spellStart"/>
      <w:r w:rsidRPr="007720BC">
        <w:rPr>
          <w:b/>
          <w:bCs/>
          <w:sz w:val="20"/>
          <w:szCs w:val="20"/>
          <w:lang w:val="en-US"/>
        </w:rPr>
        <w:t>menurut</w:t>
      </w:r>
      <w:proofErr w:type="spellEnd"/>
      <w:r w:rsidRPr="007720BC">
        <w:rPr>
          <w:b/>
          <w:bCs/>
          <w:sz w:val="20"/>
          <w:szCs w:val="20"/>
          <w:lang w:val="en-US"/>
        </w:rPr>
        <w:t xml:space="preserve"> </w:t>
      </w:r>
      <w:proofErr w:type="spellStart"/>
      <w:r w:rsidRPr="007720BC">
        <w:rPr>
          <w:b/>
          <w:bCs/>
          <w:sz w:val="20"/>
          <w:szCs w:val="20"/>
          <w:lang w:val="en-US"/>
        </w:rPr>
        <w:t>Kategori</w:t>
      </w:r>
      <w:proofErr w:type="spellEnd"/>
      <w:r w:rsidRPr="007720BC">
        <w:rPr>
          <w:b/>
          <w:bCs/>
          <w:sz w:val="20"/>
          <w:szCs w:val="20"/>
          <w:lang w:val="en-US"/>
        </w:rPr>
        <w:t xml:space="preserve"> di </w:t>
      </w:r>
      <w:proofErr w:type="spellStart"/>
      <w:r w:rsidR="00121428" w:rsidRPr="007720BC">
        <w:rPr>
          <w:b/>
          <w:bCs/>
          <w:sz w:val="20"/>
          <w:szCs w:val="20"/>
          <w:lang w:val="en-US"/>
        </w:rPr>
        <w:t>Provinsi</w:t>
      </w:r>
      <w:proofErr w:type="spellEnd"/>
      <w:r w:rsidR="00121428" w:rsidRPr="007720BC">
        <w:rPr>
          <w:b/>
          <w:bCs/>
          <w:sz w:val="20"/>
          <w:szCs w:val="20"/>
          <w:lang w:val="en-US"/>
        </w:rPr>
        <w:t xml:space="preserve"> Banten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7"/>
        <w:gridCol w:w="953"/>
        <w:gridCol w:w="1311"/>
        <w:gridCol w:w="966"/>
        <w:gridCol w:w="1311"/>
        <w:gridCol w:w="998"/>
        <w:gridCol w:w="1311"/>
      </w:tblGrid>
      <w:tr w:rsidR="007720BC" w:rsidRPr="007720BC" w14:paraId="3A6C428C" w14:textId="77777777" w:rsidTr="00580C55">
        <w:tc>
          <w:tcPr>
            <w:tcW w:w="1937" w:type="dxa"/>
            <w:tcBorders>
              <w:top w:val="single" w:sz="4" w:space="0" w:color="auto"/>
              <w:bottom w:val="single" w:sz="4" w:space="0" w:color="auto"/>
            </w:tcBorders>
          </w:tcPr>
          <w:p w14:paraId="588954F9" w14:textId="03AD198D" w:rsidR="00121428" w:rsidRPr="007720BC" w:rsidRDefault="00121428" w:rsidP="00CB2900">
            <w:pPr>
              <w:pStyle w:val="BodyText"/>
              <w:contextualSpacing/>
              <w:jc w:val="center"/>
              <w:rPr>
                <w:b/>
                <w:bCs/>
                <w:sz w:val="20"/>
                <w:szCs w:val="20"/>
                <w:lang w:val="en-US"/>
              </w:rPr>
            </w:pPr>
            <w:r w:rsidRPr="007720BC">
              <w:rPr>
                <w:b/>
                <w:bCs/>
                <w:sz w:val="20"/>
                <w:szCs w:val="20"/>
                <w:lang w:val="en-US"/>
              </w:rPr>
              <w:t xml:space="preserve">Nama </w:t>
            </w:r>
            <w:proofErr w:type="spellStart"/>
            <w:r w:rsidRPr="007720BC">
              <w:rPr>
                <w:b/>
                <w:bCs/>
                <w:sz w:val="20"/>
                <w:szCs w:val="20"/>
                <w:lang w:val="en-US"/>
              </w:rPr>
              <w:t>Kabupaten</w:t>
            </w:r>
            <w:proofErr w:type="spellEnd"/>
            <w:r w:rsidRPr="007720BC">
              <w:rPr>
                <w:b/>
                <w:bCs/>
                <w:sz w:val="20"/>
                <w:szCs w:val="20"/>
                <w:lang w:val="en-US"/>
              </w:rPr>
              <w:t>/Kota</w:t>
            </w:r>
          </w:p>
        </w:tc>
        <w:tc>
          <w:tcPr>
            <w:tcW w:w="953" w:type="dxa"/>
            <w:tcBorders>
              <w:top w:val="single" w:sz="4" w:space="0" w:color="auto"/>
              <w:bottom w:val="single" w:sz="4" w:space="0" w:color="auto"/>
            </w:tcBorders>
          </w:tcPr>
          <w:p w14:paraId="28698DE2" w14:textId="77B43CB1" w:rsidR="00121428" w:rsidRPr="007720BC" w:rsidRDefault="00121428" w:rsidP="00CB2900">
            <w:pPr>
              <w:pStyle w:val="BodyText"/>
              <w:contextualSpacing/>
              <w:jc w:val="center"/>
              <w:rPr>
                <w:b/>
                <w:bCs/>
                <w:sz w:val="20"/>
                <w:szCs w:val="20"/>
                <w:lang w:val="en-US"/>
              </w:rPr>
            </w:pPr>
            <w:r w:rsidRPr="007720BC">
              <w:rPr>
                <w:b/>
                <w:bCs/>
                <w:sz w:val="20"/>
                <w:szCs w:val="20"/>
                <w:lang w:val="en-US"/>
              </w:rPr>
              <w:t>Ibu Hamil (PK21)</w:t>
            </w:r>
          </w:p>
        </w:tc>
        <w:tc>
          <w:tcPr>
            <w:tcW w:w="1311" w:type="dxa"/>
            <w:tcBorders>
              <w:top w:val="single" w:sz="4" w:space="0" w:color="auto"/>
              <w:bottom w:val="single" w:sz="4" w:space="0" w:color="auto"/>
            </w:tcBorders>
          </w:tcPr>
          <w:p w14:paraId="7474DB22" w14:textId="31D3E98F" w:rsidR="00121428" w:rsidRPr="007720BC" w:rsidRDefault="00121428" w:rsidP="00CB2900">
            <w:pPr>
              <w:pStyle w:val="BodyText"/>
              <w:contextualSpacing/>
              <w:jc w:val="center"/>
              <w:rPr>
                <w:b/>
                <w:bCs/>
                <w:sz w:val="20"/>
                <w:szCs w:val="20"/>
                <w:lang w:val="en-US"/>
              </w:rPr>
            </w:pPr>
            <w:r w:rsidRPr="007720BC">
              <w:rPr>
                <w:b/>
                <w:bCs/>
                <w:sz w:val="20"/>
                <w:szCs w:val="20"/>
                <w:lang w:val="en-US"/>
              </w:rPr>
              <w:t>Ibu Hamil (</w:t>
            </w:r>
            <w:proofErr w:type="spellStart"/>
            <w:r w:rsidRPr="007720BC">
              <w:rPr>
                <w:b/>
                <w:bCs/>
                <w:sz w:val="20"/>
                <w:szCs w:val="20"/>
                <w:lang w:val="en-US"/>
              </w:rPr>
              <w:t>Verifikasi</w:t>
            </w:r>
            <w:proofErr w:type="spellEnd"/>
            <w:r w:rsidRPr="007720BC">
              <w:rPr>
                <w:b/>
                <w:bCs/>
                <w:sz w:val="20"/>
                <w:szCs w:val="20"/>
                <w:lang w:val="en-US"/>
              </w:rPr>
              <w:t xml:space="preserve"> </w:t>
            </w:r>
            <w:proofErr w:type="spellStart"/>
            <w:r w:rsidRPr="007720BC">
              <w:rPr>
                <w:b/>
                <w:bCs/>
                <w:sz w:val="20"/>
                <w:szCs w:val="20"/>
                <w:lang w:val="en-US"/>
              </w:rPr>
              <w:t>validasi</w:t>
            </w:r>
            <w:proofErr w:type="spellEnd"/>
            <w:r w:rsidRPr="007720BC">
              <w:rPr>
                <w:b/>
                <w:bCs/>
                <w:sz w:val="20"/>
                <w:szCs w:val="20"/>
                <w:lang w:val="en-US"/>
              </w:rPr>
              <w:t>)</w:t>
            </w:r>
          </w:p>
        </w:tc>
        <w:tc>
          <w:tcPr>
            <w:tcW w:w="966" w:type="dxa"/>
            <w:tcBorders>
              <w:top w:val="single" w:sz="4" w:space="0" w:color="auto"/>
              <w:bottom w:val="single" w:sz="4" w:space="0" w:color="auto"/>
            </w:tcBorders>
          </w:tcPr>
          <w:p w14:paraId="4207A4DB" w14:textId="1C42ADC8" w:rsidR="00121428" w:rsidRPr="007720BC" w:rsidRDefault="00121428" w:rsidP="00CB2900">
            <w:pPr>
              <w:pStyle w:val="BodyText"/>
              <w:contextualSpacing/>
              <w:jc w:val="center"/>
              <w:rPr>
                <w:b/>
                <w:bCs/>
                <w:sz w:val="20"/>
                <w:szCs w:val="20"/>
                <w:lang w:val="en-US"/>
              </w:rPr>
            </w:pPr>
            <w:proofErr w:type="spellStart"/>
            <w:r w:rsidRPr="007720BC">
              <w:rPr>
                <w:b/>
                <w:bCs/>
                <w:sz w:val="20"/>
                <w:szCs w:val="20"/>
                <w:lang w:val="en-US"/>
              </w:rPr>
              <w:t>Baduta</w:t>
            </w:r>
            <w:proofErr w:type="spellEnd"/>
            <w:r w:rsidRPr="007720BC">
              <w:rPr>
                <w:b/>
                <w:bCs/>
                <w:sz w:val="20"/>
                <w:szCs w:val="20"/>
                <w:lang w:val="en-US"/>
              </w:rPr>
              <w:t xml:space="preserve"> (PK21)</w:t>
            </w:r>
          </w:p>
        </w:tc>
        <w:tc>
          <w:tcPr>
            <w:tcW w:w="1311" w:type="dxa"/>
            <w:tcBorders>
              <w:top w:val="single" w:sz="4" w:space="0" w:color="auto"/>
              <w:bottom w:val="single" w:sz="4" w:space="0" w:color="auto"/>
            </w:tcBorders>
          </w:tcPr>
          <w:p w14:paraId="3A4C48FD" w14:textId="3B097126" w:rsidR="00121428" w:rsidRPr="007720BC" w:rsidRDefault="00121428" w:rsidP="00CB2900">
            <w:pPr>
              <w:pStyle w:val="BodyText"/>
              <w:contextualSpacing/>
              <w:jc w:val="center"/>
              <w:rPr>
                <w:b/>
                <w:bCs/>
                <w:sz w:val="20"/>
                <w:szCs w:val="20"/>
                <w:lang w:val="en-US"/>
              </w:rPr>
            </w:pPr>
            <w:proofErr w:type="spellStart"/>
            <w:r w:rsidRPr="007720BC">
              <w:rPr>
                <w:b/>
                <w:bCs/>
                <w:sz w:val="20"/>
                <w:szCs w:val="20"/>
                <w:lang w:val="en-US"/>
              </w:rPr>
              <w:t>Baduta</w:t>
            </w:r>
            <w:proofErr w:type="spellEnd"/>
            <w:r w:rsidRPr="007720BC">
              <w:rPr>
                <w:b/>
                <w:bCs/>
                <w:sz w:val="20"/>
                <w:szCs w:val="20"/>
                <w:lang w:val="en-US"/>
              </w:rPr>
              <w:t xml:space="preserve"> (</w:t>
            </w:r>
            <w:proofErr w:type="spellStart"/>
            <w:r w:rsidRPr="007720BC">
              <w:rPr>
                <w:b/>
                <w:bCs/>
                <w:sz w:val="20"/>
                <w:szCs w:val="20"/>
                <w:lang w:val="en-US"/>
              </w:rPr>
              <w:t>Verifikasi</w:t>
            </w:r>
            <w:proofErr w:type="spellEnd"/>
            <w:r w:rsidRPr="007720BC">
              <w:rPr>
                <w:b/>
                <w:bCs/>
                <w:sz w:val="20"/>
                <w:szCs w:val="20"/>
                <w:lang w:val="en-US"/>
              </w:rPr>
              <w:t xml:space="preserve"> </w:t>
            </w:r>
            <w:proofErr w:type="spellStart"/>
            <w:r w:rsidRPr="007720BC">
              <w:rPr>
                <w:b/>
                <w:bCs/>
                <w:sz w:val="20"/>
                <w:szCs w:val="20"/>
                <w:lang w:val="en-US"/>
              </w:rPr>
              <w:t>validasi</w:t>
            </w:r>
            <w:proofErr w:type="spellEnd"/>
            <w:r w:rsidRPr="007720BC">
              <w:rPr>
                <w:b/>
                <w:bCs/>
                <w:sz w:val="20"/>
                <w:szCs w:val="20"/>
                <w:lang w:val="en-US"/>
              </w:rPr>
              <w:t>)</w:t>
            </w:r>
          </w:p>
        </w:tc>
        <w:tc>
          <w:tcPr>
            <w:tcW w:w="998" w:type="dxa"/>
            <w:tcBorders>
              <w:top w:val="single" w:sz="4" w:space="0" w:color="auto"/>
              <w:bottom w:val="single" w:sz="4" w:space="0" w:color="auto"/>
            </w:tcBorders>
          </w:tcPr>
          <w:p w14:paraId="1B98ED2D" w14:textId="4DE5A571" w:rsidR="00121428" w:rsidRPr="007720BC" w:rsidRDefault="00121428" w:rsidP="00CB2900">
            <w:pPr>
              <w:pStyle w:val="BodyText"/>
              <w:contextualSpacing/>
              <w:jc w:val="center"/>
              <w:rPr>
                <w:b/>
                <w:bCs/>
                <w:sz w:val="20"/>
                <w:szCs w:val="20"/>
                <w:lang w:val="en-US"/>
              </w:rPr>
            </w:pPr>
            <w:r w:rsidRPr="007720BC">
              <w:rPr>
                <w:b/>
                <w:bCs/>
                <w:sz w:val="20"/>
                <w:szCs w:val="20"/>
                <w:lang w:val="en-US"/>
              </w:rPr>
              <w:t>Balita (PK21)</w:t>
            </w:r>
          </w:p>
        </w:tc>
        <w:tc>
          <w:tcPr>
            <w:tcW w:w="1311" w:type="dxa"/>
            <w:tcBorders>
              <w:top w:val="single" w:sz="4" w:space="0" w:color="auto"/>
              <w:bottom w:val="single" w:sz="4" w:space="0" w:color="auto"/>
            </w:tcBorders>
          </w:tcPr>
          <w:p w14:paraId="54CF93F7" w14:textId="5A127B54" w:rsidR="00121428" w:rsidRPr="007720BC" w:rsidRDefault="00121428" w:rsidP="00CB2900">
            <w:pPr>
              <w:pStyle w:val="BodyText"/>
              <w:contextualSpacing/>
              <w:jc w:val="center"/>
              <w:rPr>
                <w:b/>
                <w:bCs/>
                <w:sz w:val="20"/>
                <w:szCs w:val="20"/>
                <w:lang w:val="en-US"/>
              </w:rPr>
            </w:pPr>
            <w:r w:rsidRPr="007720BC">
              <w:rPr>
                <w:b/>
                <w:bCs/>
                <w:sz w:val="20"/>
                <w:szCs w:val="20"/>
                <w:lang w:val="en-US"/>
              </w:rPr>
              <w:t>Balita (</w:t>
            </w:r>
            <w:proofErr w:type="spellStart"/>
            <w:r w:rsidRPr="007720BC">
              <w:rPr>
                <w:b/>
                <w:bCs/>
                <w:sz w:val="20"/>
                <w:szCs w:val="20"/>
                <w:lang w:val="en-US"/>
              </w:rPr>
              <w:t>Verifikasi</w:t>
            </w:r>
            <w:proofErr w:type="spellEnd"/>
            <w:r w:rsidRPr="007720BC">
              <w:rPr>
                <w:b/>
                <w:bCs/>
                <w:sz w:val="20"/>
                <w:szCs w:val="20"/>
                <w:lang w:val="en-US"/>
              </w:rPr>
              <w:t xml:space="preserve"> </w:t>
            </w:r>
            <w:proofErr w:type="spellStart"/>
            <w:r w:rsidRPr="007720BC">
              <w:rPr>
                <w:b/>
                <w:bCs/>
                <w:sz w:val="20"/>
                <w:szCs w:val="20"/>
                <w:lang w:val="en-US"/>
              </w:rPr>
              <w:t>validasi</w:t>
            </w:r>
            <w:proofErr w:type="spellEnd"/>
            <w:r w:rsidRPr="007720BC">
              <w:rPr>
                <w:b/>
                <w:bCs/>
                <w:sz w:val="20"/>
                <w:szCs w:val="20"/>
                <w:lang w:val="en-US"/>
              </w:rPr>
              <w:t>)</w:t>
            </w:r>
          </w:p>
        </w:tc>
      </w:tr>
      <w:tr w:rsidR="007720BC" w:rsidRPr="007720BC" w14:paraId="0FA0FFF3" w14:textId="77777777" w:rsidTr="00580C55">
        <w:tc>
          <w:tcPr>
            <w:tcW w:w="1937" w:type="dxa"/>
            <w:tcBorders>
              <w:top w:val="single" w:sz="4" w:space="0" w:color="auto"/>
            </w:tcBorders>
          </w:tcPr>
          <w:p w14:paraId="05E2378E" w14:textId="5836B9C2" w:rsidR="00121428" w:rsidRPr="007720BC" w:rsidRDefault="00121428" w:rsidP="00CB2900">
            <w:pPr>
              <w:pStyle w:val="BodyText"/>
              <w:contextualSpacing/>
              <w:jc w:val="both"/>
              <w:rPr>
                <w:sz w:val="20"/>
                <w:szCs w:val="20"/>
                <w:lang w:val="en-US"/>
              </w:rPr>
            </w:pPr>
            <w:proofErr w:type="spellStart"/>
            <w:r w:rsidRPr="007720BC">
              <w:rPr>
                <w:sz w:val="20"/>
                <w:szCs w:val="20"/>
                <w:lang w:val="en-US"/>
              </w:rPr>
              <w:t>Kab</w:t>
            </w:r>
            <w:proofErr w:type="spellEnd"/>
            <w:r w:rsidRPr="007720BC">
              <w:rPr>
                <w:sz w:val="20"/>
                <w:szCs w:val="20"/>
                <w:lang w:val="en-US"/>
              </w:rPr>
              <w:t>. Tangerang</w:t>
            </w:r>
          </w:p>
        </w:tc>
        <w:tc>
          <w:tcPr>
            <w:tcW w:w="953" w:type="dxa"/>
            <w:tcBorders>
              <w:top w:val="single" w:sz="4" w:space="0" w:color="auto"/>
            </w:tcBorders>
          </w:tcPr>
          <w:p w14:paraId="0935F75E" w14:textId="4707887B" w:rsidR="00121428" w:rsidRPr="007720BC" w:rsidRDefault="00121428" w:rsidP="00CB2900">
            <w:pPr>
              <w:pStyle w:val="BodyText"/>
              <w:contextualSpacing/>
              <w:jc w:val="right"/>
              <w:rPr>
                <w:sz w:val="20"/>
                <w:szCs w:val="20"/>
                <w:lang w:val="en-US"/>
              </w:rPr>
            </w:pPr>
            <w:r w:rsidRPr="007720BC">
              <w:rPr>
                <w:sz w:val="20"/>
                <w:szCs w:val="20"/>
                <w:lang w:val="en-US"/>
              </w:rPr>
              <w:t>14.863</w:t>
            </w:r>
          </w:p>
        </w:tc>
        <w:tc>
          <w:tcPr>
            <w:tcW w:w="1311" w:type="dxa"/>
            <w:tcBorders>
              <w:top w:val="single" w:sz="4" w:space="0" w:color="auto"/>
            </w:tcBorders>
          </w:tcPr>
          <w:p w14:paraId="765F92B5" w14:textId="06F4E865" w:rsidR="00121428" w:rsidRPr="007720BC" w:rsidRDefault="00121428" w:rsidP="00CB2900">
            <w:pPr>
              <w:pStyle w:val="BodyText"/>
              <w:contextualSpacing/>
              <w:jc w:val="right"/>
              <w:rPr>
                <w:sz w:val="20"/>
                <w:szCs w:val="20"/>
                <w:lang w:val="en-US"/>
              </w:rPr>
            </w:pPr>
            <w:r w:rsidRPr="007720BC">
              <w:rPr>
                <w:sz w:val="20"/>
                <w:szCs w:val="20"/>
                <w:lang w:val="en-US"/>
              </w:rPr>
              <w:t>13.856</w:t>
            </w:r>
          </w:p>
        </w:tc>
        <w:tc>
          <w:tcPr>
            <w:tcW w:w="966" w:type="dxa"/>
            <w:tcBorders>
              <w:top w:val="single" w:sz="4" w:space="0" w:color="auto"/>
            </w:tcBorders>
          </w:tcPr>
          <w:p w14:paraId="4B8C277C" w14:textId="00F44016" w:rsidR="00121428" w:rsidRPr="007720BC" w:rsidRDefault="00121428" w:rsidP="00CB2900">
            <w:pPr>
              <w:pStyle w:val="BodyText"/>
              <w:contextualSpacing/>
              <w:jc w:val="right"/>
              <w:rPr>
                <w:sz w:val="20"/>
                <w:szCs w:val="20"/>
                <w:lang w:val="en-US"/>
              </w:rPr>
            </w:pPr>
            <w:r w:rsidRPr="007720BC">
              <w:rPr>
                <w:sz w:val="20"/>
                <w:szCs w:val="20"/>
                <w:lang w:val="en-US"/>
              </w:rPr>
              <w:t>53.831</w:t>
            </w:r>
          </w:p>
        </w:tc>
        <w:tc>
          <w:tcPr>
            <w:tcW w:w="1311" w:type="dxa"/>
            <w:tcBorders>
              <w:top w:val="single" w:sz="4" w:space="0" w:color="auto"/>
            </w:tcBorders>
          </w:tcPr>
          <w:p w14:paraId="5AD39218" w14:textId="242EF1C6" w:rsidR="00121428" w:rsidRPr="007720BC" w:rsidRDefault="00121428" w:rsidP="00CB2900">
            <w:pPr>
              <w:pStyle w:val="BodyText"/>
              <w:contextualSpacing/>
              <w:jc w:val="right"/>
              <w:rPr>
                <w:sz w:val="20"/>
                <w:szCs w:val="20"/>
                <w:lang w:val="en-US"/>
              </w:rPr>
            </w:pPr>
            <w:r w:rsidRPr="007720BC">
              <w:rPr>
                <w:sz w:val="20"/>
                <w:szCs w:val="20"/>
                <w:lang w:val="en-US"/>
              </w:rPr>
              <w:t>50.117</w:t>
            </w:r>
          </w:p>
        </w:tc>
        <w:tc>
          <w:tcPr>
            <w:tcW w:w="998" w:type="dxa"/>
            <w:tcBorders>
              <w:top w:val="single" w:sz="4" w:space="0" w:color="auto"/>
            </w:tcBorders>
          </w:tcPr>
          <w:p w14:paraId="01987897" w14:textId="7FABCFD3" w:rsidR="00121428" w:rsidRPr="007720BC" w:rsidRDefault="00121428" w:rsidP="00CB2900">
            <w:pPr>
              <w:pStyle w:val="BodyText"/>
              <w:contextualSpacing/>
              <w:jc w:val="right"/>
              <w:rPr>
                <w:sz w:val="20"/>
                <w:szCs w:val="20"/>
                <w:lang w:val="en-US"/>
              </w:rPr>
            </w:pPr>
            <w:r w:rsidRPr="007720BC">
              <w:rPr>
                <w:sz w:val="20"/>
                <w:szCs w:val="20"/>
                <w:lang w:val="en-US"/>
              </w:rPr>
              <w:t>118.092</w:t>
            </w:r>
          </w:p>
        </w:tc>
        <w:tc>
          <w:tcPr>
            <w:tcW w:w="1311" w:type="dxa"/>
            <w:tcBorders>
              <w:top w:val="single" w:sz="4" w:space="0" w:color="auto"/>
            </w:tcBorders>
          </w:tcPr>
          <w:p w14:paraId="5156F279" w14:textId="47100CEC" w:rsidR="00121428" w:rsidRPr="007720BC" w:rsidRDefault="00121428" w:rsidP="00CB2900">
            <w:pPr>
              <w:pStyle w:val="BodyText"/>
              <w:contextualSpacing/>
              <w:jc w:val="right"/>
              <w:rPr>
                <w:sz w:val="20"/>
                <w:szCs w:val="20"/>
                <w:lang w:val="en-US"/>
              </w:rPr>
            </w:pPr>
            <w:r w:rsidRPr="007720BC">
              <w:rPr>
                <w:sz w:val="20"/>
                <w:szCs w:val="20"/>
                <w:lang w:val="en-US"/>
              </w:rPr>
              <w:t>107.972</w:t>
            </w:r>
          </w:p>
        </w:tc>
      </w:tr>
      <w:tr w:rsidR="007720BC" w:rsidRPr="007720BC" w14:paraId="5AC4332D" w14:textId="77777777" w:rsidTr="00580C55">
        <w:tc>
          <w:tcPr>
            <w:tcW w:w="1937" w:type="dxa"/>
          </w:tcPr>
          <w:p w14:paraId="2BFE5431" w14:textId="6AE93ED2" w:rsidR="00121428" w:rsidRPr="007720BC" w:rsidRDefault="00121428" w:rsidP="00CB2900">
            <w:pPr>
              <w:pStyle w:val="BodyText"/>
              <w:contextualSpacing/>
              <w:jc w:val="both"/>
              <w:rPr>
                <w:sz w:val="20"/>
                <w:szCs w:val="20"/>
                <w:lang w:val="en-US"/>
              </w:rPr>
            </w:pPr>
            <w:proofErr w:type="spellStart"/>
            <w:r w:rsidRPr="007720BC">
              <w:rPr>
                <w:sz w:val="20"/>
                <w:szCs w:val="20"/>
                <w:lang w:val="en-US"/>
              </w:rPr>
              <w:t>Kab</w:t>
            </w:r>
            <w:proofErr w:type="spellEnd"/>
            <w:r w:rsidRPr="007720BC">
              <w:rPr>
                <w:sz w:val="20"/>
                <w:szCs w:val="20"/>
                <w:lang w:val="en-US"/>
              </w:rPr>
              <w:t xml:space="preserve">. </w:t>
            </w:r>
            <w:proofErr w:type="spellStart"/>
            <w:r w:rsidRPr="007720BC">
              <w:rPr>
                <w:sz w:val="20"/>
                <w:szCs w:val="20"/>
                <w:lang w:val="en-US"/>
              </w:rPr>
              <w:t>Serang</w:t>
            </w:r>
            <w:proofErr w:type="spellEnd"/>
          </w:p>
        </w:tc>
        <w:tc>
          <w:tcPr>
            <w:tcW w:w="953" w:type="dxa"/>
          </w:tcPr>
          <w:p w14:paraId="3683174B" w14:textId="5279F6CF" w:rsidR="00121428" w:rsidRPr="007720BC" w:rsidRDefault="00121428" w:rsidP="00CB2900">
            <w:pPr>
              <w:pStyle w:val="BodyText"/>
              <w:contextualSpacing/>
              <w:jc w:val="right"/>
              <w:rPr>
                <w:sz w:val="20"/>
                <w:szCs w:val="20"/>
                <w:lang w:val="en-US"/>
              </w:rPr>
            </w:pPr>
            <w:r w:rsidRPr="007720BC">
              <w:rPr>
                <w:sz w:val="20"/>
                <w:szCs w:val="20"/>
                <w:lang w:val="en-US"/>
              </w:rPr>
              <w:t>11.601</w:t>
            </w:r>
          </w:p>
        </w:tc>
        <w:tc>
          <w:tcPr>
            <w:tcW w:w="1311" w:type="dxa"/>
          </w:tcPr>
          <w:p w14:paraId="5E216306" w14:textId="77777777" w:rsidR="00121428" w:rsidRPr="007720BC" w:rsidRDefault="00121428" w:rsidP="00CB2900">
            <w:pPr>
              <w:pStyle w:val="BodyText"/>
              <w:contextualSpacing/>
              <w:jc w:val="right"/>
              <w:rPr>
                <w:sz w:val="20"/>
                <w:szCs w:val="20"/>
                <w:lang w:val="en-US"/>
              </w:rPr>
            </w:pPr>
            <w:r w:rsidRPr="007720BC">
              <w:rPr>
                <w:sz w:val="20"/>
                <w:szCs w:val="20"/>
                <w:lang w:val="en-US"/>
              </w:rPr>
              <w:t>10.670</w:t>
            </w:r>
          </w:p>
        </w:tc>
        <w:tc>
          <w:tcPr>
            <w:tcW w:w="966" w:type="dxa"/>
          </w:tcPr>
          <w:p w14:paraId="41E0C1A9" w14:textId="77777777" w:rsidR="00121428" w:rsidRPr="007720BC" w:rsidRDefault="00121428" w:rsidP="00CB2900">
            <w:pPr>
              <w:pStyle w:val="BodyText"/>
              <w:contextualSpacing/>
              <w:jc w:val="right"/>
              <w:rPr>
                <w:sz w:val="20"/>
                <w:szCs w:val="20"/>
                <w:lang w:val="en-US"/>
              </w:rPr>
            </w:pPr>
            <w:r w:rsidRPr="007720BC">
              <w:rPr>
                <w:sz w:val="20"/>
                <w:szCs w:val="20"/>
                <w:lang w:val="en-US"/>
              </w:rPr>
              <w:t>35.096</w:t>
            </w:r>
          </w:p>
        </w:tc>
        <w:tc>
          <w:tcPr>
            <w:tcW w:w="1311" w:type="dxa"/>
          </w:tcPr>
          <w:p w14:paraId="66723A1F" w14:textId="77777777" w:rsidR="00121428" w:rsidRPr="007720BC" w:rsidRDefault="00121428" w:rsidP="00CB2900">
            <w:pPr>
              <w:pStyle w:val="BodyText"/>
              <w:contextualSpacing/>
              <w:jc w:val="right"/>
              <w:rPr>
                <w:sz w:val="20"/>
                <w:szCs w:val="20"/>
                <w:lang w:val="en-US"/>
              </w:rPr>
            </w:pPr>
            <w:r w:rsidRPr="007720BC">
              <w:rPr>
                <w:sz w:val="20"/>
                <w:szCs w:val="20"/>
                <w:lang w:val="en-US"/>
              </w:rPr>
              <w:t>32.030</w:t>
            </w:r>
          </w:p>
        </w:tc>
        <w:tc>
          <w:tcPr>
            <w:tcW w:w="998" w:type="dxa"/>
          </w:tcPr>
          <w:p w14:paraId="472CAD46" w14:textId="77777777" w:rsidR="00121428" w:rsidRPr="007720BC" w:rsidRDefault="00121428" w:rsidP="00CB2900">
            <w:pPr>
              <w:pStyle w:val="BodyText"/>
              <w:contextualSpacing/>
              <w:jc w:val="right"/>
              <w:rPr>
                <w:sz w:val="20"/>
                <w:szCs w:val="20"/>
                <w:lang w:val="en-US"/>
              </w:rPr>
            </w:pPr>
            <w:r w:rsidRPr="007720BC">
              <w:rPr>
                <w:sz w:val="20"/>
                <w:szCs w:val="20"/>
                <w:lang w:val="en-US"/>
              </w:rPr>
              <w:t>70.024</w:t>
            </w:r>
          </w:p>
        </w:tc>
        <w:tc>
          <w:tcPr>
            <w:tcW w:w="1311" w:type="dxa"/>
          </w:tcPr>
          <w:p w14:paraId="1800337E" w14:textId="77777777" w:rsidR="00121428" w:rsidRPr="007720BC" w:rsidRDefault="00121428" w:rsidP="00CB2900">
            <w:pPr>
              <w:pStyle w:val="BodyText"/>
              <w:contextualSpacing/>
              <w:jc w:val="right"/>
              <w:rPr>
                <w:sz w:val="20"/>
                <w:szCs w:val="20"/>
                <w:lang w:val="en-US"/>
              </w:rPr>
            </w:pPr>
            <w:r w:rsidRPr="007720BC">
              <w:rPr>
                <w:sz w:val="20"/>
                <w:szCs w:val="20"/>
                <w:lang w:val="en-US"/>
              </w:rPr>
              <w:t>64.491</w:t>
            </w:r>
          </w:p>
        </w:tc>
      </w:tr>
      <w:tr w:rsidR="007720BC" w:rsidRPr="007720BC" w14:paraId="2EAD69B7" w14:textId="77777777" w:rsidTr="00580C55">
        <w:tc>
          <w:tcPr>
            <w:tcW w:w="1937" w:type="dxa"/>
          </w:tcPr>
          <w:p w14:paraId="6AF6ABF0" w14:textId="6B6A2ECB" w:rsidR="00121428" w:rsidRPr="007720BC" w:rsidRDefault="00121428" w:rsidP="00CB2900">
            <w:pPr>
              <w:pStyle w:val="BodyText"/>
              <w:contextualSpacing/>
              <w:jc w:val="both"/>
              <w:rPr>
                <w:sz w:val="20"/>
                <w:szCs w:val="20"/>
                <w:lang w:val="en-US"/>
              </w:rPr>
            </w:pPr>
            <w:r w:rsidRPr="007720BC">
              <w:rPr>
                <w:sz w:val="20"/>
                <w:szCs w:val="20"/>
                <w:lang w:val="en-US"/>
              </w:rPr>
              <w:t>Kota Tangerang</w:t>
            </w:r>
          </w:p>
        </w:tc>
        <w:tc>
          <w:tcPr>
            <w:tcW w:w="953" w:type="dxa"/>
          </w:tcPr>
          <w:p w14:paraId="0CA42474" w14:textId="44E5462B" w:rsidR="00121428" w:rsidRPr="007720BC" w:rsidRDefault="008C3F00" w:rsidP="00CB2900">
            <w:pPr>
              <w:pStyle w:val="BodyText"/>
              <w:contextualSpacing/>
              <w:jc w:val="right"/>
              <w:rPr>
                <w:sz w:val="20"/>
                <w:szCs w:val="20"/>
                <w:lang w:val="en-US"/>
              </w:rPr>
            </w:pPr>
            <w:r w:rsidRPr="007720BC">
              <w:rPr>
                <w:sz w:val="20"/>
                <w:szCs w:val="20"/>
                <w:lang w:val="en-US"/>
              </w:rPr>
              <w:t>7.942</w:t>
            </w:r>
          </w:p>
        </w:tc>
        <w:tc>
          <w:tcPr>
            <w:tcW w:w="1311" w:type="dxa"/>
          </w:tcPr>
          <w:p w14:paraId="1017347C" w14:textId="50A6F933" w:rsidR="00121428" w:rsidRPr="007720BC" w:rsidRDefault="008C3F00" w:rsidP="00CB2900">
            <w:pPr>
              <w:pStyle w:val="BodyText"/>
              <w:contextualSpacing/>
              <w:jc w:val="right"/>
              <w:rPr>
                <w:sz w:val="20"/>
                <w:szCs w:val="20"/>
                <w:lang w:val="en-US"/>
              </w:rPr>
            </w:pPr>
            <w:r w:rsidRPr="007720BC">
              <w:rPr>
                <w:sz w:val="20"/>
                <w:szCs w:val="20"/>
                <w:lang w:val="en-US"/>
              </w:rPr>
              <w:t>7.092</w:t>
            </w:r>
          </w:p>
        </w:tc>
        <w:tc>
          <w:tcPr>
            <w:tcW w:w="966" w:type="dxa"/>
          </w:tcPr>
          <w:p w14:paraId="65453151" w14:textId="31745A6D" w:rsidR="00121428" w:rsidRPr="007720BC" w:rsidRDefault="008C3F00" w:rsidP="00CB2900">
            <w:pPr>
              <w:pStyle w:val="BodyText"/>
              <w:contextualSpacing/>
              <w:jc w:val="right"/>
              <w:rPr>
                <w:sz w:val="20"/>
                <w:szCs w:val="20"/>
                <w:lang w:val="en-US"/>
              </w:rPr>
            </w:pPr>
            <w:r w:rsidRPr="007720BC">
              <w:rPr>
                <w:sz w:val="20"/>
                <w:szCs w:val="20"/>
                <w:lang w:val="en-US"/>
              </w:rPr>
              <w:t>30.943</w:t>
            </w:r>
          </w:p>
        </w:tc>
        <w:tc>
          <w:tcPr>
            <w:tcW w:w="1311" w:type="dxa"/>
          </w:tcPr>
          <w:p w14:paraId="2A81DA14" w14:textId="7301D836" w:rsidR="00121428" w:rsidRPr="007720BC" w:rsidRDefault="008C3F00" w:rsidP="00CB2900">
            <w:pPr>
              <w:pStyle w:val="BodyText"/>
              <w:contextualSpacing/>
              <w:jc w:val="right"/>
              <w:rPr>
                <w:sz w:val="20"/>
                <w:szCs w:val="20"/>
                <w:lang w:val="en-US"/>
              </w:rPr>
            </w:pPr>
            <w:r w:rsidRPr="007720BC">
              <w:rPr>
                <w:sz w:val="20"/>
                <w:szCs w:val="20"/>
                <w:lang w:val="en-US"/>
              </w:rPr>
              <w:t>28.251</w:t>
            </w:r>
          </w:p>
        </w:tc>
        <w:tc>
          <w:tcPr>
            <w:tcW w:w="998" w:type="dxa"/>
          </w:tcPr>
          <w:p w14:paraId="5297E916" w14:textId="0B690AC1" w:rsidR="00121428" w:rsidRPr="007720BC" w:rsidRDefault="008C3F00" w:rsidP="00CB2900">
            <w:pPr>
              <w:pStyle w:val="BodyText"/>
              <w:contextualSpacing/>
              <w:jc w:val="right"/>
              <w:rPr>
                <w:sz w:val="20"/>
                <w:szCs w:val="20"/>
                <w:lang w:val="en-US"/>
              </w:rPr>
            </w:pPr>
            <w:r w:rsidRPr="007720BC">
              <w:rPr>
                <w:sz w:val="20"/>
                <w:szCs w:val="20"/>
                <w:lang w:val="en-US"/>
              </w:rPr>
              <w:t>68.257</w:t>
            </w:r>
          </w:p>
        </w:tc>
        <w:tc>
          <w:tcPr>
            <w:tcW w:w="1311" w:type="dxa"/>
          </w:tcPr>
          <w:p w14:paraId="28D5D732" w14:textId="45FD951D" w:rsidR="00121428" w:rsidRPr="007720BC" w:rsidRDefault="008C3F00" w:rsidP="00CB2900">
            <w:pPr>
              <w:pStyle w:val="BodyText"/>
              <w:contextualSpacing/>
              <w:jc w:val="right"/>
              <w:rPr>
                <w:sz w:val="20"/>
                <w:szCs w:val="20"/>
                <w:lang w:val="en-US"/>
              </w:rPr>
            </w:pPr>
            <w:r w:rsidRPr="007720BC">
              <w:rPr>
                <w:sz w:val="20"/>
                <w:szCs w:val="20"/>
                <w:lang w:val="en-US"/>
              </w:rPr>
              <w:t>62.131</w:t>
            </w:r>
          </w:p>
        </w:tc>
      </w:tr>
      <w:tr w:rsidR="007720BC" w:rsidRPr="007720BC" w14:paraId="50ADDCCE" w14:textId="77777777" w:rsidTr="00580C55">
        <w:tc>
          <w:tcPr>
            <w:tcW w:w="1937" w:type="dxa"/>
          </w:tcPr>
          <w:p w14:paraId="63F7A025" w14:textId="36FCC316" w:rsidR="00121428" w:rsidRPr="007720BC" w:rsidRDefault="00121428" w:rsidP="00CB2900">
            <w:pPr>
              <w:pStyle w:val="BodyText"/>
              <w:contextualSpacing/>
              <w:jc w:val="both"/>
              <w:rPr>
                <w:sz w:val="20"/>
                <w:szCs w:val="20"/>
                <w:lang w:val="en-US"/>
              </w:rPr>
            </w:pPr>
            <w:proofErr w:type="spellStart"/>
            <w:r w:rsidRPr="007720BC">
              <w:rPr>
                <w:sz w:val="20"/>
                <w:szCs w:val="20"/>
                <w:lang w:val="en-US"/>
              </w:rPr>
              <w:t>Kab</w:t>
            </w:r>
            <w:proofErr w:type="spellEnd"/>
            <w:r w:rsidRPr="007720BC">
              <w:rPr>
                <w:sz w:val="20"/>
                <w:szCs w:val="20"/>
                <w:lang w:val="en-US"/>
              </w:rPr>
              <w:t>. Lebak</w:t>
            </w:r>
          </w:p>
        </w:tc>
        <w:tc>
          <w:tcPr>
            <w:tcW w:w="953" w:type="dxa"/>
          </w:tcPr>
          <w:p w14:paraId="2DC78D4D" w14:textId="24172C34" w:rsidR="00121428" w:rsidRPr="007720BC" w:rsidRDefault="008C3F00" w:rsidP="00CB2900">
            <w:pPr>
              <w:pStyle w:val="BodyText"/>
              <w:contextualSpacing/>
              <w:jc w:val="right"/>
              <w:rPr>
                <w:sz w:val="20"/>
                <w:szCs w:val="20"/>
                <w:lang w:val="en-US"/>
              </w:rPr>
            </w:pPr>
            <w:r w:rsidRPr="007720BC">
              <w:rPr>
                <w:sz w:val="20"/>
                <w:szCs w:val="20"/>
                <w:lang w:val="en-US"/>
              </w:rPr>
              <w:t>7.193</w:t>
            </w:r>
          </w:p>
        </w:tc>
        <w:tc>
          <w:tcPr>
            <w:tcW w:w="1311" w:type="dxa"/>
          </w:tcPr>
          <w:p w14:paraId="5B847EFD" w14:textId="142A1FE8" w:rsidR="00121428" w:rsidRPr="007720BC" w:rsidRDefault="008C3F00" w:rsidP="00CB2900">
            <w:pPr>
              <w:pStyle w:val="BodyText"/>
              <w:contextualSpacing/>
              <w:jc w:val="right"/>
              <w:rPr>
                <w:sz w:val="20"/>
                <w:szCs w:val="20"/>
                <w:lang w:val="en-US"/>
              </w:rPr>
            </w:pPr>
            <w:r w:rsidRPr="007720BC">
              <w:rPr>
                <w:sz w:val="20"/>
                <w:szCs w:val="20"/>
                <w:lang w:val="en-US"/>
              </w:rPr>
              <w:t>6.967</w:t>
            </w:r>
          </w:p>
        </w:tc>
        <w:tc>
          <w:tcPr>
            <w:tcW w:w="966" w:type="dxa"/>
          </w:tcPr>
          <w:p w14:paraId="05089CB6" w14:textId="190F063A" w:rsidR="00121428" w:rsidRPr="007720BC" w:rsidRDefault="008C3F00" w:rsidP="00CB2900">
            <w:pPr>
              <w:pStyle w:val="BodyText"/>
              <w:contextualSpacing/>
              <w:jc w:val="right"/>
              <w:rPr>
                <w:sz w:val="20"/>
                <w:szCs w:val="20"/>
                <w:lang w:val="en-US"/>
              </w:rPr>
            </w:pPr>
            <w:r w:rsidRPr="007720BC">
              <w:rPr>
                <w:sz w:val="20"/>
                <w:szCs w:val="20"/>
                <w:lang w:val="en-US"/>
              </w:rPr>
              <w:t>23.563</w:t>
            </w:r>
          </w:p>
        </w:tc>
        <w:tc>
          <w:tcPr>
            <w:tcW w:w="1311" w:type="dxa"/>
          </w:tcPr>
          <w:p w14:paraId="36709BB4" w14:textId="0B888B16" w:rsidR="00121428" w:rsidRPr="007720BC" w:rsidRDefault="008C3F00" w:rsidP="00CB2900">
            <w:pPr>
              <w:pStyle w:val="BodyText"/>
              <w:contextualSpacing/>
              <w:jc w:val="right"/>
              <w:rPr>
                <w:sz w:val="20"/>
                <w:szCs w:val="20"/>
                <w:lang w:val="en-US"/>
              </w:rPr>
            </w:pPr>
            <w:r w:rsidRPr="007720BC">
              <w:rPr>
                <w:sz w:val="20"/>
                <w:szCs w:val="20"/>
                <w:lang w:val="en-US"/>
              </w:rPr>
              <w:t>22.102</w:t>
            </w:r>
          </w:p>
        </w:tc>
        <w:tc>
          <w:tcPr>
            <w:tcW w:w="998" w:type="dxa"/>
          </w:tcPr>
          <w:p w14:paraId="19121AF7" w14:textId="5CABB912" w:rsidR="00121428" w:rsidRPr="007720BC" w:rsidRDefault="008C3F00" w:rsidP="00CB2900">
            <w:pPr>
              <w:pStyle w:val="BodyText"/>
              <w:contextualSpacing/>
              <w:jc w:val="right"/>
              <w:rPr>
                <w:sz w:val="20"/>
                <w:szCs w:val="20"/>
                <w:lang w:val="en-US"/>
              </w:rPr>
            </w:pPr>
            <w:r w:rsidRPr="007720BC">
              <w:rPr>
                <w:sz w:val="20"/>
                <w:szCs w:val="20"/>
                <w:lang w:val="en-US"/>
              </w:rPr>
              <w:t>53.011</w:t>
            </w:r>
          </w:p>
        </w:tc>
        <w:tc>
          <w:tcPr>
            <w:tcW w:w="1311" w:type="dxa"/>
          </w:tcPr>
          <w:p w14:paraId="66A12FA6" w14:textId="5EBD68B0" w:rsidR="00121428" w:rsidRPr="007720BC" w:rsidRDefault="008C3F00" w:rsidP="00CB2900">
            <w:pPr>
              <w:pStyle w:val="BodyText"/>
              <w:contextualSpacing/>
              <w:jc w:val="right"/>
              <w:rPr>
                <w:sz w:val="20"/>
                <w:szCs w:val="20"/>
                <w:lang w:val="en-US"/>
              </w:rPr>
            </w:pPr>
            <w:r w:rsidRPr="007720BC">
              <w:rPr>
                <w:sz w:val="20"/>
                <w:szCs w:val="20"/>
                <w:lang w:val="en-US"/>
              </w:rPr>
              <w:t>48.949</w:t>
            </w:r>
          </w:p>
        </w:tc>
      </w:tr>
      <w:tr w:rsidR="007720BC" w:rsidRPr="007720BC" w14:paraId="75DB30B5" w14:textId="77777777" w:rsidTr="00580C55">
        <w:tc>
          <w:tcPr>
            <w:tcW w:w="1937" w:type="dxa"/>
          </w:tcPr>
          <w:p w14:paraId="0059AA0E" w14:textId="1E475AAC" w:rsidR="00121428" w:rsidRPr="007720BC" w:rsidRDefault="00121428" w:rsidP="00CB2900">
            <w:pPr>
              <w:pStyle w:val="BodyText"/>
              <w:contextualSpacing/>
              <w:jc w:val="both"/>
              <w:rPr>
                <w:sz w:val="20"/>
                <w:szCs w:val="20"/>
                <w:lang w:val="en-US"/>
              </w:rPr>
            </w:pPr>
            <w:proofErr w:type="spellStart"/>
            <w:r w:rsidRPr="007720BC">
              <w:rPr>
                <w:sz w:val="20"/>
                <w:szCs w:val="20"/>
                <w:lang w:val="en-US"/>
              </w:rPr>
              <w:t>Kab</w:t>
            </w:r>
            <w:proofErr w:type="spellEnd"/>
            <w:r w:rsidRPr="007720BC">
              <w:rPr>
                <w:sz w:val="20"/>
                <w:szCs w:val="20"/>
                <w:lang w:val="en-US"/>
              </w:rPr>
              <w:t xml:space="preserve">. </w:t>
            </w:r>
            <w:proofErr w:type="spellStart"/>
            <w:r w:rsidRPr="007720BC">
              <w:rPr>
                <w:sz w:val="20"/>
                <w:szCs w:val="20"/>
                <w:lang w:val="en-US"/>
              </w:rPr>
              <w:t>Pandeglang</w:t>
            </w:r>
            <w:proofErr w:type="spellEnd"/>
          </w:p>
        </w:tc>
        <w:tc>
          <w:tcPr>
            <w:tcW w:w="953" w:type="dxa"/>
          </w:tcPr>
          <w:p w14:paraId="0ADD9D40" w14:textId="69ED6C9D" w:rsidR="00121428" w:rsidRPr="007720BC" w:rsidRDefault="00A1538B" w:rsidP="00CB2900">
            <w:pPr>
              <w:pStyle w:val="BodyText"/>
              <w:contextualSpacing/>
              <w:jc w:val="right"/>
              <w:rPr>
                <w:sz w:val="20"/>
                <w:szCs w:val="20"/>
                <w:lang w:val="en-US"/>
              </w:rPr>
            </w:pPr>
            <w:r w:rsidRPr="007720BC">
              <w:rPr>
                <w:sz w:val="20"/>
                <w:szCs w:val="20"/>
                <w:lang w:val="en-US"/>
              </w:rPr>
              <w:t>7.175</w:t>
            </w:r>
          </w:p>
        </w:tc>
        <w:tc>
          <w:tcPr>
            <w:tcW w:w="1311" w:type="dxa"/>
          </w:tcPr>
          <w:p w14:paraId="72E662A3" w14:textId="0ADBA3C9" w:rsidR="00121428" w:rsidRPr="007720BC" w:rsidRDefault="00A1538B" w:rsidP="00CB2900">
            <w:pPr>
              <w:pStyle w:val="BodyText"/>
              <w:contextualSpacing/>
              <w:jc w:val="right"/>
              <w:rPr>
                <w:sz w:val="20"/>
                <w:szCs w:val="20"/>
                <w:lang w:val="en-US"/>
              </w:rPr>
            </w:pPr>
            <w:r w:rsidRPr="007720BC">
              <w:rPr>
                <w:sz w:val="20"/>
                <w:szCs w:val="20"/>
                <w:lang w:val="en-US"/>
              </w:rPr>
              <w:t>6.842</w:t>
            </w:r>
          </w:p>
        </w:tc>
        <w:tc>
          <w:tcPr>
            <w:tcW w:w="966" w:type="dxa"/>
          </w:tcPr>
          <w:p w14:paraId="0B62ECE3" w14:textId="2AD08F53" w:rsidR="00121428" w:rsidRPr="007720BC" w:rsidRDefault="00A1538B" w:rsidP="00CB2900">
            <w:pPr>
              <w:pStyle w:val="BodyText"/>
              <w:contextualSpacing/>
              <w:jc w:val="right"/>
              <w:rPr>
                <w:sz w:val="20"/>
                <w:szCs w:val="20"/>
                <w:lang w:val="en-US"/>
              </w:rPr>
            </w:pPr>
            <w:r w:rsidRPr="007720BC">
              <w:rPr>
                <w:sz w:val="20"/>
                <w:szCs w:val="20"/>
                <w:lang w:val="en-US"/>
              </w:rPr>
              <w:t>23.495</w:t>
            </w:r>
          </w:p>
        </w:tc>
        <w:tc>
          <w:tcPr>
            <w:tcW w:w="1311" w:type="dxa"/>
          </w:tcPr>
          <w:p w14:paraId="6D267763" w14:textId="3D3164E8" w:rsidR="00121428" w:rsidRPr="007720BC" w:rsidRDefault="00A1538B" w:rsidP="00CB2900">
            <w:pPr>
              <w:pStyle w:val="BodyText"/>
              <w:contextualSpacing/>
              <w:jc w:val="right"/>
              <w:rPr>
                <w:sz w:val="20"/>
                <w:szCs w:val="20"/>
                <w:lang w:val="en-US"/>
              </w:rPr>
            </w:pPr>
            <w:r w:rsidRPr="007720BC">
              <w:rPr>
                <w:sz w:val="20"/>
                <w:szCs w:val="20"/>
                <w:lang w:val="en-US"/>
              </w:rPr>
              <w:t>22.526</w:t>
            </w:r>
          </w:p>
        </w:tc>
        <w:tc>
          <w:tcPr>
            <w:tcW w:w="998" w:type="dxa"/>
          </w:tcPr>
          <w:p w14:paraId="77BEF045" w14:textId="6684DCDB" w:rsidR="00121428" w:rsidRPr="007720BC" w:rsidRDefault="00A1538B" w:rsidP="00CB2900">
            <w:pPr>
              <w:pStyle w:val="BodyText"/>
              <w:contextualSpacing/>
              <w:jc w:val="right"/>
              <w:rPr>
                <w:sz w:val="20"/>
                <w:szCs w:val="20"/>
                <w:lang w:val="en-US"/>
              </w:rPr>
            </w:pPr>
            <w:r w:rsidRPr="007720BC">
              <w:rPr>
                <w:sz w:val="20"/>
                <w:szCs w:val="20"/>
                <w:lang w:val="en-US"/>
              </w:rPr>
              <w:t>48.864</w:t>
            </w:r>
          </w:p>
        </w:tc>
        <w:tc>
          <w:tcPr>
            <w:tcW w:w="1311" w:type="dxa"/>
          </w:tcPr>
          <w:p w14:paraId="73148910" w14:textId="5D1AD0B4" w:rsidR="00121428" w:rsidRPr="007720BC" w:rsidRDefault="00A1538B" w:rsidP="00CB2900">
            <w:pPr>
              <w:pStyle w:val="BodyText"/>
              <w:contextualSpacing/>
              <w:jc w:val="right"/>
              <w:rPr>
                <w:sz w:val="20"/>
                <w:szCs w:val="20"/>
                <w:lang w:val="en-US"/>
              </w:rPr>
            </w:pPr>
            <w:r w:rsidRPr="007720BC">
              <w:rPr>
                <w:sz w:val="20"/>
                <w:szCs w:val="20"/>
                <w:lang w:val="en-US"/>
              </w:rPr>
              <w:t>46.975</w:t>
            </w:r>
          </w:p>
        </w:tc>
      </w:tr>
      <w:tr w:rsidR="007720BC" w:rsidRPr="007720BC" w14:paraId="1AD567A8" w14:textId="77777777" w:rsidTr="00580C55">
        <w:tc>
          <w:tcPr>
            <w:tcW w:w="1937" w:type="dxa"/>
          </w:tcPr>
          <w:p w14:paraId="163D6FA7" w14:textId="03C4E333" w:rsidR="00121428" w:rsidRPr="007720BC" w:rsidRDefault="00121428" w:rsidP="00CB2900">
            <w:pPr>
              <w:pStyle w:val="BodyText"/>
              <w:contextualSpacing/>
              <w:jc w:val="both"/>
              <w:rPr>
                <w:sz w:val="20"/>
                <w:szCs w:val="20"/>
                <w:lang w:val="en-US"/>
              </w:rPr>
            </w:pPr>
            <w:r w:rsidRPr="007720BC">
              <w:rPr>
                <w:sz w:val="20"/>
                <w:szCs w:val="20"/>
                <w:lang w:val="en-US"/>
              </w:rPr>
              <w:t xml:space="preserve">Kota </w:t>
            </w:r>
            <w:proofErr w:type="spellStart"/>
            <w:r w:rsidRPr="007720BC">
              <w:rPr>
                <w:sz w:val="20"/>
                <w:szCs w:val="20"/>
                <w:lang w:val="en-US"/>
              </w:rPr>
              <w:t>Tangsel</w:t>
            </w:r>
            <w:proofErr w:type="spellEnd"/>
          </w:p>
        </w:tc>
        <w:tc>
          <w:tcPr>
            <w:tcW w:w="953" w:type="dxa"/>
          </w:tcPr>
          <w:p w14:paraId="4DF11071" w14:textId="6D4B9F7A" w:rsidR="00121428" w:rsidRPr="007720BC" w:rsidRDefault="00A1538B" w:rsidP="00CB2900">
            <w:pPr>
              <w:pStyle w:val="BodyText"/>
              <w:contextualSpacing/>
              <w:jc w:val="right"/>
              <w:rPr>
                <w:sz w:val="20"/>
                <w:szCs w:val="20"/>
                <w:lang w:val="en-US"/>
              </w:rPr>
            </w:pPr>
            <w:r w:rsidRPr="007720BC">
              <w:rPr>
                <w:sz w:val="20"/>
                <w:szCs w:val="20"/>
                <w:lang w:val="en-US"/>
              </w:rPr>
              <w:t>4.356</w:t>
            </w:r>
          </w:p>
        </w:tc>
        <w:tc>
          <w:tcPr>
            <w:tcW w:w="1311" w:type="dxa"/>
          </w:tcPr>
          <w:p w14:paraId="3410906D" w14:textId="333B9FAF" w:rsidR="00121428" w:rsidRPr="007720BC" w:rsidRDefault="00A1538B" w:rsidP="00CB2900">
            <w:pPr>
              <w:pStyle w:val="BodyText"/>
              <w:contextualSpacing/>
              <w:jc w:val="right"/>
              <w:rPr>
                <w:sz w:val="20"/>
                <w:szCs w:val="20"/>
                <w:lang w:val="en-US"/>
              </w:rPr>
            </w:pPr>
            <w:r w:rsidRPr="007720BC">
              <w:rPr>
                <w:sz w:val="20"/>
                <w:szCs w:val="20"/>
                <w:lang w:val="en-US"/>
              </w:rPr>
              <w:t>3.314</w:t>
            </w:r>
          </w:p>
        </w:tc>
        <w:tc>
          <w:tcPr>
            <w:tcW w:w="966" w:type="dxa"/>
          </w:tcPr>
          <w:p w14:paraId="7A81631C" w14:textId="1B3683F1" w:rsidR="00121428" w:rsidRPr="007720BC" w:rsidRDefault="00A1538B" w:rsidP="00CB2900">
            <w:pPr>
              <w:pStyle w:val="BodyText"/>
              <w:contextualSpacing/>
              <w:jc w:val="right"/>
              <w:rPr>
                <w:sz w:val="20"/>
                <w:szCs w:val="20"/>
                <w:lang w:val="en-US"/>
              </w:rPr>
            </w:pPr>
            <w:r w:rsidRPr="007720BC">
              <w:rPr>
                <w:sz w:val="20"/>
                <w:szCs w:val="20"/>
                <w:lang w:val="en-US"/>
              </w:rPr>
              <w:t>14.828</w:t>
            </w:r>
          </w:p>
        </w:tc>
        <w:tc>
          <w:tcPr>
            <w:tcW w:w="1311" w:type="dxa"/>
          </w:tcPr>
          <w:p w14:paraId="50C42E3E" w14:textId="2E82C442" w:rsidR="00121428" w:rsidRPr="007720BC" w:rsidRDefault="00A1538B" w:rsidP="00CB2900">
            <w:pPr>
              <w:pStyle w:val="BodyText"/>
              <w:contextualSpacing/>
              <w:jc w:val="right"/>
              <w:rPr>
                <w:sz w:val="20"/>
                <w:szCs w:val="20"/>
                <w:lang w:val="en-US"/>
              </w:rPr>
            </w:pPr>
            <w:r w:rsidRPr="007720BC">
              <w:rPr>
                <w:sz w:val="20"/>
                <w:szCs w:val="20"/>
                <w:lang w:val="en-US"/>
              </w:rPr>
              <w:t>11.466</w:t>
            </w:r>
          </w:p>
        </w:tc>
        <w:tc>
          <w:tcPr>
            <w:tcW w:w="998" w:type="dxa"/>
          </w:tcPr>
          <w:p w14:paraId="112EF125" w14:textId="10AC0F70" w:rsidR="00121428" w:rsidRPr="007720BC" w:rsidRDefault="00A1538B" w:rsidP="00CB2900">
            <w:pPr>
              <w:pStyle w:val="BodyText"/>
              <w:contextualSpacing/>
              <w:jc w:val="right"/>
              <w:rPr>
                <w:sz w:val="20"/>
                <w:szCs w:val="20"/>
                <w:lang w:val="en-US"/>
              </w:rPr>
            </w:pPr>
            <w:r w:rsidRPr="007720BC">
              <w:rPr>
                <w:sz w:val="20"/>
                <w:szCs w:val="20"/>
                <w:lang w:val="en-US"/>
              </w:rPr>
              <w:t>36.224</w:t>
            </w:r>
          </w:p>
        </w:tc>
        <w:tc>
          <w:tcPr>
            <w:tcW w:w="1311" w:type="dxa"/>
          </w:tcPr>
          <w:p w14:paraId="50E5CC24" w14:textId="3A1AB68A" w:rsidR="00121428" w:rsidRPr="007720BC" w:rsidRDefault="00A1538B" w:rsidP="00CB2900">
            <w:pPr>
              <w:pStyle w:val="BodyText"/>
              <w:contextualSpacing/>
              <w:jc w:val="right"/>
              <w:rPr>
                <w:sz w:val="20"/>
                <w:szCs w:val="20"/>
                <w:lang w:val="en-US"/>
              </w:rPr>
            </w:pPr>
            <w:r w:rsidRPr="007720BC">
              <w:rPr>
                <w:sz w:val="20"/>
                <w:szCs w:val="20"/>
                <w:lang w:val="en-US"/>
              </w:rPr>
              <w:t>27.255</w:t>
            </w:r>
          </w:p>
        </w:tc>
      </w:tr>
      <w:tr w:rsidR="007720BC" w:rsidRPr="007720BC" w14:paraId="2497D100" w14:textId="77777777" w:rsidTr="00580C55">
        <w:tc>
          <w:tcPr>
            <w:tcW w:w="1937" w:type="dxa"/>
          </w:tcPr>
          <w:p w14:paraId="1EE84475" w14:textId="4F6E118C" w:rsidR="00121428" w:rsidRPr="007720BC" w:rsidRDefault="00121428" w:rsidP="00CB2900">
            <w:pPr>
              <w:pStyle w:val="BodyText"/>
              <w:contextualSpacing/>
              <w:jc w:val="both"/>
              <w:rPr>
                <w:sz w:val="20"/>
                <w:szCs w:val="20"/>
                <w:lang w:val="en-US"/>
              </w:rPr>
            </w:pPr>
            <w:r w:rsidRPr="007720BC">
              <w:rPr>
                <w:sz w:val="20"/>
                <w:szCs w:val="20"/>
                <w:lang w:val="en-US"/>
              </w:rPr>
              <w:t xml:space="preserve">Kota </w:t>
            </w:r>
            <w:proofErr w:type="spellStart"/>
            <w:r w:rsidRPr="007720BC">
              <w:rPr>
                <w:sz w:val="20"/>
                <w:szCs w:val="20"/>
                <w:lang w:val="en-US"/>
              </w:rPr>
              <w:t>Serang</w:t>
            </w:r>
            <w:proofErr w:type="spellEnd"/>
          </w:p>
        </w:tc>
        <w:tc>
          <w:tcPr>
            <w:tcW w:w="953" w:type="dxa"/>
          </w:tcPr>
          <w:p w14:paraId="4F9703FC" w14:textId="490C25E0" w:rsidR="00121428" w:rsidRPr="007720BC" w:rsidRDefault="00A1538B" w:rsidP="00CB2900">
            <w:pPr>
              <w:pStyle w:val="BodyText"/>
              <w:contextualSpacing/>
              <w:jc w:val="right"/>
              <w:rPr>
                <w:sz w:val="20"/>
                <w:szCs w:val="20"/>
                <w:lang w:val="en-US"/>
              </w:rPr>
            </w:pPr>
            <w:r w:rsidRPr="007720BC">
              <w:rPr>
                <w:sz w:val="20"/>
                <w:szCs w:val="20"/>
                <w:lang w:val="en-US"/>
              </w:rPr>
              <w:t>4.199</w:t>
            </w:r>
          </w:p>
        </w:tc>
        <w:tc>
          <w:tcPr>
            <w:tcW w:w="1311" w:type="dxa"/>
          </w:tcPr>
          <w:p w14:paraId="6F80BF53" w14:textId="2A87DEF9" w:rsidR="00121428" w:rsidRPr="007720BC" w:rsidRDefault="00A1538B" w:rsidP="00CB2900">
            <w:pPr>
              <w:pStyle w:val="BodyText"/>
              <w:contextualSpacing/>
              <w:jc w:val="right"/>
              <w:rPr>
                <w:sz w:val="20"/>
                <w:szCs w:val="20"/>
                <w:lang w:val="en-US"/>
              </w:rPr>
            </w:pPr>
            <w:r w:rsidRPr="007720BC">
              <w:rPr>
                <w:sz w:val="20"/>
                <w:szCs w:val="20"/>
                <w:lang w:val="en-US"/>
              </w:rPr>
              <w:t>2,794</w:t>
            </w:r>
          </w:p>
        </w:tc>
        <w:tc>
          <w:tcPr>
            <w:tcW w:w="966" w:type="dxa"/>
          </w:tcPr>
          <w:p w14:paraId="3938B8C1" w14:textId="2EECF087" w:rsidR="00121428" w:rsidRPr="007720BC" w:rsidRDefault="00A1538B" w:rsidP="00CB2900">
            <w:pPr>
              <w:pStyle w:val="BodyText"/>
              <w:contextualSpacing/>
              <w:jc w:val="right"/>
              <w:rPr>
                <w:sz w:val="20"/>
                <w:szCs w:val="20"/>
                <w:lang w:val="en-US"/>
              </w:rPr>
            </w:pPr>
            <w:r w:rsidRPr="007720BC">
              <w:rPr>
                <w:sz w:val="20"/>
                <w:szCs w:val="20"/>
                <w:lang w:val="en-US"/>
              </w:rPr>
              <w:t>13.181</w:t>
            </w:r>
          </w:p>
        </w:tc>
        <w:tc>
          <w:tcPr>
            <w:tcW w:w="1311" w:type="dxa"/>
          </w:tcPr>
          <w:p w14:paraId="5014A9A4" w14:textId="155A372A" w:rsidR="00121428" w:rsidRPr="007720BC" w:rsidRDefault="00A1538B" w:rsidP="00CB2900">
            <w:pPr>
              <w:pStyle w:val="BodyText"/>
              <w:contextualSpacing/>
              <w:jc w:val="right"/>
              <w:rPr>
                <w:sz w:val="20"/>
                <w:szCs w:val="20"/>
                <w:lang w:val="en-US"/>
              </w:rPr>
            </w:pPr>
            <w:r w:rsidRPr="007720BC">
              <w:rPr>
                <w:sz w:val="20"/>
                <w:szCs w:val="20"/>
                <w:lang w:val="en-US"/>
              </w:rPr>
              <w:t>9.825</w:t>
            </w:r>
          </w:p>
        </w:tc>
        <w:tc>
          <w:tcPr>
            <w:tcW w:w="998" w:type="dxa"/>
          </w:tcPr>
          <w:p w14:paraId="43BCD723" w14:textId="0185A0EC" w:rsidR="00121428" w:rsidRPr="007720BC" w:rsidRDefault="00A1538B" w:rsidP="00CB2900">
            <w:pPr>
              <w:pStyle w:val="BodyText"/>
              <w:contextualSpacing/>
              <w:jc w:val="right"/>
              <w:rPr>
                <w:sz w:val="20"/>
                <w:szCs w:val="20"/>
                <w:lang w:val="en-US"/>
              </w:rPr>
            </w:pPr>
            <w:r w:rsidRPr="007720BC">
              <w:rPr>
                <w:sz w:val="20"/>
                <w:szCs w:val="20"/>
                <w:lang w:val="en-US"/>
              </w:rPr>
              <w:t>28.526</w:t>
            </w:r>
          </w:p>
        </w:tc>
        <w:tc>
          <w:tcPr>
            <w:tcW w:w="1311" w:type="dxa"/>
          </w:tcPr>
          <w:p w14:paraId="3E963C65" w14:textId="1974DA41" w:rsidR="00121428" w:rsidRPr="007720BC" w:rsidRDefault="00A1538B" w:rsidP="00CB2900">
            <w:pPr>
              <w:pStyle w:val="BodyText"/>
              <w:contextualSpacing/>
              <w:jc w:val="right"/>
              <w:rPr>
                <w:sz w:val="20"/>
                <w:szCs w:val="20"/>
                <w:lang w:val="en-US"/>
              </w:rPr>
            </w:pPr>
            <w:r w:rsidRPr="007720BC">
              <w:rPr>
                <w:sz w:val="20"/>
                <w:szCs w:val="20"/>
                <w:lang w:val="en-US"/>
              </w:rPr>
              <w:t>20.852</w:t>
            </w:r>
          </w:p>
        </w:tc>
      </w:tr>
      <w:tr w:rsidR="007720BC" w:rsidRPr="007720BC" w14:paraId="40F13053" w14:textId="77777777" w:rsidTr="00580C55">
        <w:tc>
          <w:tcPr>
            <w:tcW w:w="1937" w:type="dxa"/>
            <w:tcBorders>
              <w:bottom w:val="single" w:sz="4" w:space="0" w:color="auto"/>
            </w:tcBorders>
          </w:tcPr>
          <w:p w14:paraId="2726C267" w14:textId="0E322100" w:rsidR="00121428" w:rsidRPr="007720BC" w:rsidRDefault="00121428" w:rsidP="00CB2900">
            <w:pPr>
              <w:pStyle w:val="BodyText"/>
              <w:contextualSpacing/>
              <w:jc w:val="both"/>
              <w:rPr>
                <w:sz w:val="20"/>
                <w:szCs w:val="20"/>
                <w:lang w:val="en-US"/>
              </w:rPr>
            </w:pPr>
            <w:r w:rsidRPr="007720BC">
              <w:rPr>
                <w:sz w:val="20"/>
                <w:szCs w:val="20"/>
                <w:lang w:val="en-US"/>
              </w:rPr>
              <w:t xml:space="preserve">Kota </w:t>
            </w:r>
            <w:proofErr w:type="spellStart"/>
            <w:r w:rsidRPr="007720BC">
              <w:rPr>
                <w:sz w:val="20"/>
                <w:szCs w:val="20"/>
                <w:lang w:val="en-US"/>
              </w:rPr>
              <w:t>Cilegon</w:t>
            </w:r>
            <w:proofErr w:type="spellEnd"/>
          </w:p>
        </w:tc>
        <w:tc>
          <w:tcPr>
            <w:tcW w:w="953" w:type="dxa"/>
            <w:tcBorders>
              <w:bottom w:val="single" w:sz="4" w:space="0" w:color="auto"/>
            </w:tcBorders>
          </w:tcPr>
          <w:p w14:paraId="14FC9FAB" w14:textId="4851B1BC" w:rsidR="00121428" w:rsidRPr="007720BC" w:rsidRDefault="00A1538B" w:rsidP="00CB2900">
            <w:pPr>
              <w:pStyle w:val="BodyText"/>
              <w:contextualSpacing/>
              <w:jc w:val="right"/>
              <w:rPr>
                <w:sz w:val="20"/>
                <w:szCs w:val="20"/>
                <w:lang w:val="en-US"/>
              </w:rPr>
            </w:pPr>
            <w:r w:rsidRPr="007720BC">
              <w:rPr>
                <w:sz w:val="20"/>
                <w:szCs w:val="20"/>
                <w:lang w:val="en-US"/>
              </w:rPr>
              <w:t>3.920</w:t>
            </w:r>
          </w:p>
        </w:tc>
        <w:tc>
          <w:tcPr>
            <w:tcW w:w="1311" w:type="dxa"/>
            <w:tcBorders>
              <w:bottom w:val="single" w:sz="4" w:space="0" w:color="auto"/>
            </w:tcBorders>
          </w:tcPr>
          <w:p w14:paraId="3A862A14" w14:textId="14CEBDC1" w:rsidR="00121428" w:rsidRPr="007720BC" w:rsidRDefault="00A1538B" w:rsidP="00CB2900">
            <w:pPr>
              <w:pStyle w:val="BodyText"/>
              <w:contextualSpacing/>
              <w:jc w:val="right"/>
              <w:rPr>
                <w:sz w:val="20"/>
                <w:szCs w:val="20"/>
                <w:lang w:val="en-US"/>
              </w:rPr>
            </w:pPr>
            <w:r w:rsidRPr="007720BC">
              <w:rPr>
                <w:sz w:val="20"/>
                <w:szCs w:val="20"/>
                <w:lang w:val="en-US"/>
              </w:rPr>
              <w:t>3.094</w:t>
            </w:r>
          </w:p>
        </w:tc>
        <w:tc>
          <w:tcPr>
            <w:tcW w:w="966" w:type="dxa"/>
            <w:tcBorders>
              <w:bottom w:val="single" w:sz="4" w:space="0" w:color="auto"/>
            </w:tcBorders>
          </w:tcPr>
          <w:p w14:paraId="48091BA1" w14:textId="64D05DF1" w:rsidR="00121428" w:rsidRPr="007720BC" w:rsidRDefault="00A1538B" w:rsidP="00CB2900">
            <w:pPr>
              <w:pStyle w:val="BodyText"/>
              <w:contextualSpacing/>
              <w:jc w:val="right"/>
              <w:rPr>
                <w:sz w:val="20"/>
                <w:szCs w:val="20"/>
                <w:lang w:val="en-US"/>
              </w:rPr>
            </w:pPr>
            <w:r w:rsidRPr="007720BC">
              <w:rPr>
                <w:sz w:val="20"/>
                <w:szCs w:val="20"/>
                <w:lang w:val="en-US"/>
              </w:rPr>
              <w:t>11.471</w:t>
            </w:r>
          </w:p>
        </w:tc>
        <w:tc>
          <w:tcPr>
            <w:tcW w:w="1311" w:type="dxa"/>
            <w:tcBorders>
              <w:bottom w:val="single" w:sz="4" w:space="0" w:color="auto"/>
            </w:tcBorders>
          </w:tcPr>
          <w:p w14:paraId="2075CB94" w14:textId="5E786938" w:rsidR="00121428" w:rsidRPr="007720BC" w:rsidRDefault="00A1538B" w:rsidP="00CB2900">
            <w:pPr>
              <w:pStyle w:val="BodyText"/>
              <w:contextualSpacing/>
              <w:jc w:val="right"/>
              <w:rPr>
                <w:sz w:val="20"/>
                <w:szCs w:val="20"/>
                <w:lang w:val="en-US"/>
              </w:rPr>
            </w:pPr>
            <w:r w:rsidRPr="007720BC">
              <w:rPr>
                <w:sz w:val="20"/>
                <w:szCs w:val="20"/>
                <w:lang w:val="en-US"/>
              </w:rPr>
              <w:t>9.399</w:t>
            </w:r>
          </w:p>
        </w:tc>
        <w:tc>
          <w:tcPr>
            <w:tcW w:w="998" w:type="dxa"/>
            <w:tcBorders>
              <w:bottom w:val="single" w:sz="4" w:space="0" w:color="auto"/>
            </w:tcBorders>
          </w:tcPr>
          <w:p w14:paraId="620FA94E" w14:textId="2A148E31" w:rsidR="00121428" w:rsidRPr="007720BC" w:rsidRDefault="00A1538B" w:rsidP="00CB2900">
            <w:pPr>
              <w:pStyle w:val="BodyText"/>
              <w:contextualSpacing/>
              <w:jc w:val="right"/>
              <w:rPr>
                <w:sz w:val="20"/>
                <w:szCs w:val="20"/>
                <w:lang w:val="en-US"/>
              </w:rPr>
            </w:pPr>
            <w:r w:rsidRPr="007720BC">
              <w:rPr>
                <w:sz w:val="20"/>
                <w:szCs w:val="20"/>
                <w:lang w:val="en-US"/>
              </w:rPr>
              <w:t>20.816</w:t>
            </w:r>
          </w:p>
        </w:tc>
        <w:tc>
          <w:tcPr>
            <w:tcW w:w="1311" w:type="dxa"/>
            <w:tcBorders>
              <w:bottom w:val="single" w:sz="4" w:space="0" w:color="auto"/>
            </w:tcBorders>
          </w:tcPr>
          <w:p w14:paraId="0DDF0C8D" w14:textId="6A1E0B3B" w:rsidR="00121428" w:rsidRPr="007720BC" w:rsidRDefault="00A1538B" w:rsidP="00CB2900">
            <w:pPr>
              <w:pStyle w:val="BodyText"/>
              <w:contextualSpacing/>
              <w:jc w:val="right"/>
              <w:rPr>
                <w:sz w:val="20"/>
                <w:szCs w:val="20"/>
                <w:lang w:val="en-US"/>
              </w:rPr>
            </w:pPr>
            <w:r w:rsidRPr="007720BC">
              <w:rPr>
                <w:sz w:val="20"/>
                <w:szCs w:val="20"/>
                <w:lang w:val="en-US"/>
              </w:rPr>
              <w:t>16.950</w:t>
            </w:r>
          </w:p>
        </w:tc>
      </w:tr>
    </w:tbl>
    <w:p w14:paraId="76AE75E4" w14:textId="57D1E24D" w:rsidR="007017D5" w:rsidRPr="007720BC" w:rsidRDefault="007017D5" w:rsidP="00B61E88">
      <w:pPr>
        <w:pStyle w:val="BodyText"/>
        <w:contextualSpacing/>
        <w:jc w:val="center"/>
        <w:rPr>
          <w:sz w:val="20"/>
          <w:szCs w:val="20"/>
          <w:lang w:val="en-US"/>
        </w:rPr>
      </w:pPr>
      <w:proofErr w:type="spellStart"/>
      <w:r w:rsidRPr="007720BC">
        <w:rPr>
          <w:sz w:val="20"/>
          <w:szCs w:val="20"/>
          <w:lang w:val="en-US"/>
        </w:rPr>
        <w:t>Sumber</w:t>
      </w:r>
      <w:proofErr w:type="spellEnd"/>
      <w:r w:rsidRPr="007720BC">
        <w:rPr>
          <w:sz w:val="20"/>
          <w:szCs w:val="20"/>
          <w:lang w:val="en-US"/>
        </w:rPr>
        <w:t xml:space="preserve">: </w:t>
      </w:r>
      <w:proofErr w:type="spellStart"/>
      <w:r w:rsidR="00121428" w:rsidRPr="007720BC">
        <w:rPr>
          <w:sz w:val="20"/>
          <w:szCs w:val="20"/>
          <w:lang w:val="en-US"/>
        </w:rPr>
        <w:t>Direktorat</w:t>
      </w:r>
      <w:proofErr w:type="spellEnd"/>
      <w:r w:rsidR="00121428" w:rsidRPr="007720BC">
        <w:rPr>
          <w:sz w:val="20"/>
          <w:szCs w:val="20"/>
          <w:lang w:val="en-US"/>
        </w:rPr>
        <w:t xml:space="preserve"> </w:t>
      </w:r>
      <w:proofErr w:type="spellStart"/>
      <w:r w:rsidR="00121428" w:rsidRPr="007720BC">
        <w:rPr>
          <w:sz w:val="20"/>
          <w:szCs w:val="20"/>
          <w:lang w:val="en-US"/>
        </w:rPr>
        <w:t>Pelaporan</w:t>
      </w:r>
      <w:proofErr w:type="spellEnd"/>
      <w:r w:rsidR="00121428" w:rsidRPr="007720BC">
        <w:rPr>
          <w:sz w:val="20"/>
          <w:szCs w:val="20"/>
          <w:lang w:val="en-US"/>
        </w:rPr>
        <w:t xml:space="preserve"> dan </w:t>
      </w:r>
      <w:proofErr w:type="spellStart"/>
      <w:r w:rsidR="00121428" w:rsidRPr="007720BC">
        <w:rPr>
          <w:sz w:val="20"/>
          <w:szCs w:val="20"/>
          <w:lang w:val="en-US"/>
        </w:rPr>
        <w:t>Statistik</w:t>
      </w:r>
      <w:proofErr w:type="spellEnd"/>
      <w:r w:rsidR="00121428" w:rsidRPr="007720BC">
        <w:rPr>
          <w:sz w:val="20"/>
          <w:szCs w:val="20"/>
          <w:lang w:val="en-US"/>
        </w:rPr>
        <w:t xml:space="preserve">, </w:t>
      </w:r>
      <w:r w:rsidRPr="007720BC">
        <w:rPr>
          <w:sz w:val="20"/>
          <w:szCs w:val="20"/>
          <w:lang w:val="en-US"/>
        </w:rPr>
        <w:t>BKKBN, 2023</w:t>
      </w:r>
    </w:p>
    <w:p w14:paraId="383E84C7" w14:textId="77777777" w:rsidR="000D119C" w:rsidRPr="007720BC" w:rsidRDefault="000D119C" w:rsidP="00CB2900">
      <w:pPr>
        <w:pStyle w:val="BodyText"/>
        <w:contextualSpacing/>
        <w:jc w:val="both"/>
        <w:rPr>
          <w:sz w:val="20"/>
          <w:szCs w:val="20"/>
          <w:lang w:val="en-US"/>
        </w:rPr>
      </w:pPr>
    </w:p>
    <w:bookmarkEnd w:id="1"/>
    <w:p w14:paraId="3957A8D7" w14:textId="4393A13B" w:rsidR="00A440FC" w:rsidRPr="007720BC" w:rsidRDefault="0043174B" w:rsidP="00CB2900">
      <w:pPr>
        <w:pStyle w:val="Heading1"/>
        <w:ind w:left="0" w:right="0" w:firstLine="720"/>
        <w:contextualSpacing/>
        <w:jc w:val="both"/>
        <w:rPr>
          <w:rFonts w:ascii="Times New Roman" w:hAnsi="Times New Roman" w:cs="Times New Roman"/>
          <w:b w:val="0"/>
          <w:bCs w:val="0"/>
          <w:sz w:val="24"/>
          <w:szCs w:val="24"/>
          <w:lang w:val="en-US"/>
        </w:rPr>
      </w:pPr>
      <w:r w:rsidRPr="007720BC">
        <w:rPr>
          <w:rFonts w:ascii="Times New Roman" w:hAnsi="Times New Roman" w:cs="Times New Roman"/>
          <w:b w:val="0"/>
          <w:bCs w:val="0"/>
          <w:sz w:val="24"/>
          <w:szCs w:val="24"/>
          <w:lang w:val="en-ID" w:eastAsia="en-ID"/>
        </w:rPr>
        <w:t xml:space="preserve">Tabel 1 di </w:t>
      </w:r>
      <w:proofErr w:type="spellStart"/>
      <w:r w:rsidRPr="007720BC">
        <w:rPr>
          <w:rFonts w:ascii="Times New Roman" w:hAnsi="Times New Roman" w:cs="Times New Roman"/>
          <w:b w:val="0"/>
          <w:bCs w:val="0"/>
          <w:sz w:val="24"/>
          <w:szCs w:val="24"/>
          <w:lang w:val="en-ID" w:eastAsia="en-ID"/>
        </w:rPr>
        <w:t>atas</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menjelaskan</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bahwa</w:t>
      </w:r>
      <w:proofErr w:type="spellEnd"/>
      <w:r w:rsidR="00D806A2" w:rsidRPr="007720BC">
        <w:rPr>
          <w:rFonts w:ascii="Times New Roman" w:hAnsi="Times New Roman" w:cs="Times New Roman"/>
          <w:b w:val="0"/>
          <w:bCs w:val="0"/>
          <w:sz w:val="24"/>
          <w:szCs w:val="24"/>
          <w:lang w:val="en-ID" w:eastAsia="en-ID"/>
        </w:rPr>
        <w:t xml:space="preserve"> </w:t>
      </w:r>
      <w:proofErr w:type="spellStart"/>
      <w:r w:rsidR="00D806A2" w:rsidRPr="007720BC">
        <w:rPr>
          <w:rFonts w:ascii="Times New Roman" w:hAnsi="Times New Roman" w:cs="Times New Roman"/>
          <w:b w:val="0"/>
          <w:bCs w:val="0"/>
          <w:sz w:val="24"/>
          <w:szCs w:val="24"/>
          <w:lang w:val="en-ID" w:eastAsia="en-ID"/>
        </w:rPr>
        <w:t>berdasarkan</w:t>
      </w:r>
      <w:proofErr w:type="spellEnd"/>
      <w:r w:rsidR="00D806A2" w:rsidRPr="007720BC">
        <w:rPr>
          <w:rFonts w:ascii="Times New Roman" w:hAnsi="Times New Roman" w:cs="Times New Roman"/>
          <w:b w:val="0"/>
          <w:bCs w:val="0"/>
          <w:sz w:val="24"/>
          <w:szCs w:val="24"/>
          <w:lang w:val="en-ID" w:eastAsia="en-ID"/>
        </w:rPr>
        <w:t xml:space="preserve"> </w:t>
      </w:r>
      <w:proofErr w:type="spellStart"/>
      <w:r w:rsidR="00290E9C" w:rsidRPr="007720BC">
        <w:rPr>
          <w:rFonts w:ascii="Times New Roman" w:hAnsi="Times New Roman" w:cs="Times New Roman"/>
          <w:b w:val="0"/>
          <w:bCs w:val="0"/>
          <w:sz w:val="24"/>
          <w:szCs w:val="24"/>
          <w:lang w:val="en-ID" w:eastAsia="en-ID"/>
        </w:rPr>
        <w:t>jumlah</w:t>
      </w:r>
      <w:proofErr w:type="spellEnd"/>
      <w:r w:rsidR="00290E9C" w:rsidRPr="007720BC">
        <w:rPr>
          <w:rFonts w:ascii="Times New Roman" w:hAnsi="Times New Roman" w:cs="Times New Roman"/>
          <w:b w:val="0"/>
          <w:bCs w:val="0"/>
          <w:sz w:val="24"/>
          <w:szCs w:val="24"/>
          <w:lang w:val="en-ID" w:eastAsia="en-ID"/>
        </w:rPr>
        <w:t xml:space="preserve"> </w:t>
      </w:r>
      <w:proofErr w:type="spellStart"/>
      <w:r w:rsidR="00290E9C" w:rsidRPr="007720BC">
        <w:rPr>
          <w:rFonts w:ascii="Times New Roman" w:hAnsi="Times New Roman" w:cs="Times New Roman"/>
          <w:b w:val="0"/>
          <w:bCs w:val="0"/>
          <w:sz w:val="24"/>
          <w:szCs w:val="24"/>
          <w:lang w:val="en-US"/>
        </w:rPr>
        <w:t>keluarga</w:t>
      </w:r>
      <w:proofErr w:type="spellEnd"/>
      <w:r w:rsidR="00290E9C" w:rsidRPr="007720BC">
        <w:rPr>
          <w:rFonts w:ascii="Times New Roman" w:hAnsi="Times New Roman" w:cs="Times New Roman"/>
          <w:b w:val="0"/>
          <w:bCs w:val="0"/>
          <w:sz w:val="24"/>
          <w:szCs w:val="24"/>
          <w:lang w:val="en-US"/>
        </w:rPr>
        <w:t xml:space="preserve"> </w:t>
      </w:r>
      <w:proofErr w:type="spellStart"/>
      <w:r w:rsidR="00290E9C" w:rsidRPr="007720BC">
        <w:rPr>
          <w:rFonts w:ascii="Times New Roman" w:hAnsi="Times New Roman" w:cs="Times New Roman"/>
          <w:b w:val="0"/>
          <w:bCs w:val="0"/>
          <w:sz w:val="24"/>
          <w:szCs w:val="24"/>
          <w:lang w:val="en-US"/>
        </w:rPr>
        <w:t>sasaran</w:t>
      </w:r>
      <w:proofErr w:type="spellEnd"/>
      <w:r w:rsidR="00290E9C" w:rsidRPr="007720BC">
        <w:rPr>
          <w:rFonts w:ascii="Times New Roman" w:hAnsi="Times New Roman" w:cs="Times New Roman"/>
          <w:b w:val="0"/>
          <w:bCs w:val="0"/>
          <w:sz w:val="24"/>
          <w:szCs w:val="24"/>
          <w:lang w:val="en-US"/>
        </w:rPr>
        <w:t xml:space="preserve"> </w:t>
      </w:r>
      <w:r w:rsidR="00521ED5" w:rsidRPr="007720BC">
        <w:rPr>
          <w:rFonts w:ascii="Times New Roman" w:hAnsi="Times New Roman" w:cs="Times New Roman"/>
          <w:b w:val="0"/>
          <w:bCs w:val="0"/>
          <w:sz w:val="24"/>
          <w:szCs w:val="24"/>
          <w:lang w:val="en-US"/>
        </w:rPr>
        <w:t xml:space="preserve">di </w:t>
      </w:r>
      <w:proofErr w:type="spellStart"/>
      <w:r w:rsidR="00521ED5" w:rsidRPr="007720BC">
        <w:rPr>
          <w:rFonts w:ascii="Times New Roman" w:hAnsi="Times New Roman" w:cs="Times New Roman"/>
          <w:b w:val="0"/>
          <w:bCs w:val="0"/>
          <w:sz w:val="24"/>
          <w:szCs w:val="24"/>
          <w:lang w:val="en-ID" w:eastAsia="en-ID"/>
        </w:rPr>
        <w:t>Kabupaten</w:t>
      </w:r>
      <w:proofErr w:type="spellEnd"/>
      <w:r w:rsidR="00521ED5" w:rsidRPr="007720BC">
        <w:rPr>
          <w:rFonts w:ascii="Times New Roman" w:hAnsi="Times New Roman" w:cs="Times New Roman"/>
          <w:b w:val="0"/>
          <w:bCs w:val="0"/>
          <w:sz w:val="24"/>
          <w:szCs w:val="24"/>
          <w:lang w:val="en-ID" w:eastAsia="en-ID"/>
        </w:rPr>
        <w:t xml:space="preserve"> </w:t>
      </w:r>
      <w:proofErr w:type="spellStart"/>
      <w:r w:rsidR="00521ED5" w:rsidRPr="007720BC">
        <w:rPr>
          <w:rFonts w:ascii="Times New Roman" w:hAnsi="Times New Roman" w:cs="Times New Roman"/>
          <w:b w:val="0"/>
          <w:bCs w:val="0"/>
          <w:sz w:val="24"/>
          <w:szCs w:val="24"/>
          <w:lang w:val="en-ID" w:eastAsia="en-ID"/>
        </w:rPr>
        <w:t>Serang</w:t>
      </w:r>
      <w:proofErr w:type="spellEnd"/>
      <w:r w:rsidR="00521ED5" w:rsidRPr="007720BC">
        <w:rPr>
          <w:rFonts w:ascii="Times New Roman" w:hAnsi="Times New Roman" w:cs="Times New Roman"/>
          <w:b w:val="0"/>
          <w:bCs w:val="0"/>
          <w:sz w:val="24"/>
          <w:szCs w:val="24"/>
          <w:lang w:val="en-ID" w:eastAsia="en-ID"/>
        </w:rPr>
        <w:t xml:space="preserve"> </w:t>
      </w:r>
      <w:proofErr w:type="spellStart"/>
      <w:r w:rsidR="00290E9C" w:rsidRPr="007720BC">
        <w:rPr>
          <w:rFonts w:ascii="Times New Roman" w:hAnsi="Times New Roman" w:cs="Times New Roman"/>
          <w:b w:val="0"/>
          <w:bCs w:val="0"/>
          <w:sz w:val="24"/>
          <w:szCs w:val="24"/>
          <w:lang w:val="en-US"/>
        </w:rPr>
        <w:t>menurut</w:t>
      </w:r>
      <w:proofErr w:type="spellEnd"/>
      <w:r w:rsidR="00290E9C" w:rsidRPr="007720BC">
        <w:rPr>
          <w:rFonts w:ascii="Times New Roman" w:hAnsi="Times New Roman" w:cs="Times New Roman"/>
          <w:b w:val="0"/>
          <w:bCs w:val="0"/>
          <w:sz w:val="24"/>
          <w:szCs w:val="24"/>
          <w:lang w:val="en-US"/>
        </w:rPr>
        <w:t xml:space="preserve"> </w:t>
      </w:r>
      <w:proofErr w:type="spellStart"/>
      <w:r w:rsidR="00290E9C" w:rsidRPr="007720BC">
        <w:rPr>
          <w:rFonts w:ascii="Times New Roman" w:hAnsi="Times New Roman" w:cs="Times New Roman"/>
          <w:b w:val="0"/>
          <w:bCs w:val="0"/>
          <w:sz w:val="24"/>
          <w:szCs w:val="24"/>
          <w:lang w:val="en-US"/>
        </w:rPr>
        <w:t>kategor</w:t>
      </w:r>
      <w:r w:rsidR="00D806A2" w:rsidRPr="007720BC">
        <w:rPr>
          <w:rFonts w:ascii="Times New Roman" w:hAnsi="Times New Roman" w:cs="Times New Roman"/>
          <w:b w:val="0"/>
          <w:bCs w:val="0"/>
          <w:sz w:val="24"/>
          <w:szCs w:val="24"/>
          <w:lang w:val="en-US"/>
        </w:rPr>
        <w:t>i</w:t>
      </w:r>
      <w:proofErr w:type="spellEnd"/>
      <w:r w:rsidR="00D806A2" w:rsidRPr="007720BC">
        <w:rPr>
          <w:rFonts w:ascii="Times New Roman" w:hAnsi="Times New Roman" w:cs="Times New Roman"/>
          <w:b w:val="0"/>
          <w:bCs w:val="0"/>
          <w:sz w:val="24"/>
          <w:szCs w:val="24"/>
          <w:lang w:val="en-US"/>
        </w:rPr>
        <w:t xml:space="preserve"> </w:t>
      </w:r>
      <w:proofErr w:type="spellStart"/>
      <w:r w:rsidR="000A23ED" w:rsidRPr="007720BC">
        <w:rPr>
          <w:rFonts w:ascii="Times New Roman" w:hAnsi="Times New Roman" w:cs="Times New Roman"/>
          <w:b w:val="0"/>
          <w:bCs w:val="0"/>
          <w:sz w:val="24"/>
          <w:szCs w:val="24"/>
          <w:lang w:val="en-US"/>
        </w:rPr>
        <w:t>hasil</w:t>
      </w:r>
      <w:proofErr w:type="spellEnd"/>
      <w:r w:rsidR="000A23ED" w:rsidRPr="007720BC">
        <w:rPr>
          <w:rFonts w:ascii="Times New Roman" w:hAnsi="Times New Roman" w:cs="Times New Roman"/>
          <w:b w:val="0"/>
          <w:bCs w:val="0"/>
          <w:sz w:val="24"/>
          <w:szCs w:val="24"/>
          <w:lang w:val="en-US"/>
        </w:rPr>
        <w:t xml:space="preserve"> </w:t>
      </w:r>
      <w:proofErr w:type="spellStart"/>
      <w:r w:rsidR="000A23ED" w:rsidRPr="007720BC">
        <w:rPr>
          <w:rFonts w:ascii="Times New Roman" w:hAnsi="Times New Roman" w:cs="Times New Roman"/>
          <w:b w:val="0"/>
          <w:bCs w:val="0"/>
          <w:sz w:val="24"/>
          <w:szCs w:val="24"/>
          <w:lang w:val="en-US"/>
        </w:rPr>
        <w:t>verifikasi</w:t>
      </w:r>
      <w:proofErr w:type="spellEnd"/>
      <w:r w:rsidR="000A23ED" w:rsidRPr="007720BC">
        <w:rPr>
          <w:rFonts w:ascii="Times New Roman" w:hAnsi="Times New Roman" w:cs="Times New Roman"/>
          <w:b w:val="0"/>
          <w:bCs w:val="0"/>
          <w:sz w:val="24"/>
          <w:szCs w:val="24"/>
          <w:lang w:val="en-US"/>
        </w:rPr>
        <w:t xml:space="preserve"> dan </w:t>
      </w:r>
      <w:proofErr w:type="spellStart"/>
      <w:r w:rsidR="000A23ED" w:rsidRPr="007720BC">
        <w:rPr>
          <w:rFonts w:ascii="Times New Roman" w:hAnsi="Times New Roman" w:cs="Times New Roman"/>
          <w:b w:val="0"/>
          <w:bCs w:val="0"/>
          <w:sz w:val="24"/>
          <w:szCs w:val="24"/>
          <w:lang w:val="en-US"/>
        </w:rPr>
        <w:t>validasi</w:t>
      </w:r>
      <w:proofErr w:type="spellEnd"/>
      <w:r w:rsidR="000A23ED" w:rsidRPr="007720BC">
        <w:rPr>
          <w:rFonts w:ascii="Times New Roman" w:hAnsi="Times New Roman" w:cs="Times New Roman"/>
          <w:b w:val="0"/>
          <w:bCs w:val="0"/>
          <w:sz w:val="24"/>
          <w:szCs w:val="24"/>
          <w:lang w:val="en-US"/>
        </w:rPr>
        <w:t xml:space="preserve"> </w:t>
      </w:r>
      <w:proofErr w:type="spellStart"/>
      <w:r w:rsidR="00D806A2" w:rsidRPr="007720BC">
        <w:rPr>
          <w:rFonts w:ascii="Times New Roman" w:hAnsi="Times New Roman" w:cs="Times New Roman"/>
          <w:b w:val="0"/>
          <w:bCs w:val="0"/>
          <w:sz w:val="24"/>
          <w:szCs w:val="24"/>
          <w:lang w:val="en-US"/>
        </w:rPr>
        <w:t>berada</w:t>
      </w:r>
      <w:proofErr w:type="spellEnd"/>
      <w:r w:rsidR="00D806A2" w:rsidRPr="007720BC">
        <w:rPr>
          <w:rFonts w:ascii="Times New Roman" w:hAnsi="Times New Roman" w:cs="Times New Roman"/>
          <w:b w:val="0"/>
          <w:bCs w:val="0"/>
          <w:sz w:val="24"/>
          <w:szCs w:val="24"/>
          <w:lang w:val="en-US"/>
        </w:rPr>
        <w:t xml:space="preserve"> di </w:t>
      </w:r>
      <w:proofErr w:type="spellStart"/>
      <w:r w:rsidR="00D806A2" w:rsidRPr="007720BC">
        <w:rPr>
          <w:rFonts w:ascii="Times New Roman" w:hAnsi="Times New Roman" w:cs="Times New Roman"/>
          <w:b w:val="0"/>
          <w:bCs w:val="0"/>
          <w:sz w:val="24"/>
          <w:szCs w:val="24"/>
          <w:lang w:val="en-US"/>
        </w:rPr>
        <w:t>urutan</w:t>
      </w:r>
      <w:proofErr w:type="spellEnd"/>
      <w:r w:rsidR="00D806A2" w:rsidRPr="007720BC">
        <w:rPr>
          <w:rFonts w:ascii="Times New Roman" w:hAnsi="Times New Roman" w:cs="Times New Roman"/>
          <w:b w:val="0"/>
          <w:bCs w:val="0"/>
          <w:sz w:val="24"/>
          <w:szCs w:val="24"/>
          <w:lang w:val="en-US"/>
        </w:rPr>
        <w:t xml:space="preserve"> </w:t>
      </w:r>
      <w:proofErr w:type="spellStart"/>
      <w:r w:rsidR="00D806A2" w:rsidRPr="007720BC">
        <w:rPr>
          <w:rFonts w:ascii="Times New Roman" w:hAnsi="Times New Roman" w:cs="Times New Roman"/>
          <w:b w:val="0"/>
          <w:bCs w:val="0"/>
          <w:sz w:val="24"/>
          <w:szCs w:val="24"/>
          <w:lang w:val="en-US"/>
        </w:rPr>
        <w:t>kedua</w:t>
      </w:r>
      <w:proofErr w:type="spellEnd"/>
      <w:r w:rsidR="00D806A2" w:rsidRPr="007720BC">
        <w:rPr>
          <w:rFonts w:ascii="Times New Roman" w:hAnsi="Times New Roman" w:cs="Times New Roman"/>
          <w:b w:val="0"/>
          <w:bCs w:val="0"/>
          <w:sz w:val="24"/>
          <w:szCs w:val="24"/>
          <w:lang w:val="en-US"/>
        </w:rPr>
        <w:t xml:space="preserve"> </w:t>
      </w:r>
      <w:proofErr w:type="spellStart"/>
      <w:r w:rsidR="00D806A2" w:rsidRPr="007720BC">
        <w:rPr>
          <w:rFonts w:ascii="Times New Roman" w:hAnsi="Times New Roman" w:cs="Times New Roman"/>
          <w:b w:val="0"/>
          <w:bCs w:val="0"/>
          <w:sz w:val="24"/>
          <w:szCs w:val="24"/>
          <w:lang w:val="en-US"/>
        </w:rPr>
        <w:t>tertinggi</w:t>
      </w:r>
      <w:proofErr w:type="spellEnd"/>
      <w:r w:rsidR="00D806A2" w:rsidRPr="007720BC">
        <w:rPr>
          <w:rFonts w:ascii="Times New Roman" w:hAnsi="Times New Roman" w:cs="Times New Roman"/>
          <w:b w:val="0"/>
          <w:bCs w:val="0"/>
          <w:sz w:val="24"/>
          <w:szCs w:val="24"/>
          <w:lang w:val="en-US"/>
        </w:rPr>
        <w:t xml:space="preserve"> </w:t>
      </w:r>
      <w:proofErr w:type="spellStart"/>
      <w:r w:rsidR="00D806A2" w:rsidRPr="007720BC">
        <w:rPr>
          <w:rFonts w:ascii="Times New Roman" w:hAnsi="Times New Roman" w:cs="Times New Roman"/>
          <w:b w:val="0"/>
          <w:bCs w:val="0"/>
          <w:sz w:val="24"/>
          <w:szCs w:val="24"/>
          <w:lang w:val="en-US"/>
        </w:rPr>
        <w:t>setelah</w:t>
      </w:r>
      <w:proofErr w:type="spellEnd"/>
      <w:r w:rsidR="00D806A2" w:rsidRPr="007720BC">
        <w:rPr>
          <w:rFonts w:ascii="Times New Roman" w:hAnsi="Times New Roman" w:cs="Times New Roman"/>
          <w:b w:val="0"/>
          <w:bCs w:val="0"/>
          <w:sz w:val="24"/>
          <w:szCs w:val="24"/>
          <w:lang w:val="en-US"/>
        </w:rPr>
        <w:t xml:space="preserve"> </w:t>
      </w:r>
      <w:proofErr w:type="spellStart"/>
      <w:r w:rsidR="00D806A2" w:rsidRPr="007720BC">
        <w:rPr>
          <w:rFonts w:ascii="Times New Roman" w:hAnsi="Times New Roman" w:cs="Times New Roman"/>
          <w:b w:val="0"/>
          <w:bCs w:val="0"/>
          <w:sz w:val="24"/>
          <w:szCs w:val="24"/>
          <w:lang w:val="en-US"/>
        </w:rPr>
        <w:t>Kabupaten</w:t>
      </w:r>
      <w:proofErr w:type="spellEnd"/>
      <w:r w:rsidR="00D806A2" w:rsidRPr="007720BC">
        <w:rPr>
          <w:rFonts w:ascii="Times New Roman" w:hAnsi="Times New Roman" w:cs="Times New Roman"/>
          <w:b w:val="0"/>
          <w:bCs w:val="0"/>
          <w:sz w:val="24"/>
          <w:szCs w:val="24"/>
          <w:lang w:val="en-US"/>
        </w:rPr>
        <w:t xml:space="preserve"> Tangerang</w:t>
      </w:r>
      <w:r w:rsidR="00A22EEB" w:rsidRPr="007720BC">
        <w:rPr>
          <w:rFonts w:ascii="Times New Roman" w:hAnsi="Times New Roman" w:cs="Times New Roman"/>
          <w:b w:val="0"/>
          <w:bCs w:val="0"/>
          <w:sz w:val="24"/>
          <w:szCs w:val="24"/>
          <w:lang w:val="en-US"/>
        </w:rPr>
        <w:t xml:space="preserve">. </w:t>
      </w:r>
      <w:r w:rsidR="00881E00" w:rsidRPr="007720BC">
        <w:rPr>
          <w:rFonts w:ascii="Times New Roman" w:hAnsi="Times New Roman" w:cs="Times New Roman"/>
          <w:b w:val="0"/>
          <w:bCs w:val="0"/>
          <w:sz w:val="24"/>
          <w:szCs w:val="24"/>
          <w:lang w:val="en-ID" w:eastAsia="en-ID"/>
        </w:rPr>
        <w:t xml:space="preserve">Oleh </w:t>
      </w:r>
      <w:proofErr w:type="spellStart"/>
      <w:r w:rsidR="00881E00" w:rsidRPr="007720BC">
        <w:rPr>
          <w:rFonts w:ascii="Times New Roman" w:hAnsi="Times New Roman" w:cs="Times New Roman"/>
          <w:b w:val="0"/>
          <w:bCs w:val="0"/>
          <w:sz w:val="24"/>
          <w:szCs w:val="24"/>
          <w:lang w:val="en-ID" w:eastAsia="en-ID"/>
        </w:rPr>
        <w:t>sebab</w:t>
      </w:r>
      <w:proofErr w:type="spellEnd"/>
      <w:r w:rsidR="00881E00" w:rsidRPr="007720BC">
        <w:rPr>
          <w:rFonts w:ascii="Times New Roman" w:hAnsi="Times New Roman" w:cs="Times New Roman"/>
          <w:b w:val="0"/>
          <w:bCs w:val="0"/>
          <w:sz w:val="24"/>
          <w:szCs w:val="24"/>
          <w:lang w:val="en-ID" w:eastAsia="en-ID"/>
        </w:rPr>
        <w:t xml:space="preserve"> </w:t>
      </w:r>
      <w:proofErr w:type="spellStart"/>
      <w:r w:rsidR="00881E00" w:rsidRPr="007720BC">
        <w:rPr>
          <w:rFonts w:ascii="Times New Roman" w:hAnsi="Times New Roman" w:cs="Times New Roman"/>
          <w:b w:val="0"/>
          <w:bCs w:val="0"/>
          <w:sz w:val="24"/>
          <w:szCs w:val="24"/>
          <w:lang w:val="en-ID" w:eastAsia="en-ID"/>
        </w:rPr>
        <w:t>itu</w:t>
      </w:r>
      <w:proofErr w:type="spellEnd"/>
      <w:r w:rsidR="00881E00" w:rsidRPr="007720BC">
        <w:rPr>
          <w:rFonts w:ascii="Times New Roman" w:hAnsi="Times New Roman" w:cs="Times New Roman"/>
          <w:b w:val="0"/>
          <w:bCs w:val="0"/>
          <w:sz w:val="24"/>
          <w:szCs w:val="24"/>
          <w:lang w:val="en-ID" w:eastAsia="en-ID"/>
        </w:rPr>
        <w:t xml:space="preserve"> </w:t>
      </w:r>
      <w:proofErr w:type="spellStart"/>
      <w:r w:rsidR="00881E00" w:rsidRPr="007720BC">
        <w:rPr>
          <w:rStyle w:val="hgkelc"/>
          <w:rFonts w:ascii="Times New Roman" w:hAnsi="Times New Roman" w:cs="Times New Roman"/>
          <w:b w:val="0"/>
          <w:bCs w:val="0"/>
          <w:sz w:val="24"/>
          <w:szCs w:val="24"/>
          <w:lang w:val="en-US"/>
        </w:rPr>
        <w:t>untuk</w:t>
      </w:r>
      <w:proofErr w:type="spellEnd"/>
      <w:r w:rsidR="00881E00" w:rsidRPr="007720BC">
        <w:rPr>
          <w:rStyle w:val="hgkelc"/>
          <w:rFonts w:ascii="Times New Roman" w:hAnsi="Times New Roman" w:cs="Times New Roman"/>
          <w:b w:val="0"/>
          <w:bCs w:val="0"/>
          <w:sz w:val="24"/>
          <w:szCs w:val="24"/>
          <w:lang w:val="en-US"/>
        </w:rPr>
        <w:t xml:space="preserve"> </w:t>
      </w:r>
      <w:proofErr w:type="spellStart"/>
      <w:r w:rsidR="00881E00" w:rsidRPr="007720BC">
        <w:rPr>
          <w:rStyle w:val="hgkelc"/>
          <w:rFonts w:ascii="Times New Roman" w:hAnsi="Times New Roman" w:cs="Times New Roman"/>
          <w:b w:val="0"/>
          <w:bCs w:val="0"/>
          <w:sz w:val="24"/>
          <w:szCs w:val="24"/>
          <w:lang w:val="en-US"/>
        </w:rPr>
        <w:t>mencapai</w:t>
      </w:r>
      <w:proofErr w:type="spellEnd"/>
      <w:r w:rsidR="00881E00" w:rsidRPr="007720BC">
        <w:rPr>
          <w:rStyle w:val="hgkelc"/>
          <w:rFonts w:ascii="Times New Roman" w:hAnsi="Times New Roman" w:cs="Times New Roman"/>
          <w:b w:val="0"/>
          <w:bCs w:val="0"/>
          <w:sz w:val="24"/>
          <w:szCs w:val="24"/>
          <w:lang w:val="en-US"/>
        </w:rPr>
        <w:t xml:space="preserve"> target </w:t>
      </w:r>
      <w:proofErr w:type="spellStart"/>
      <w:r w:rsidR="00881E00" w:rsidRPr="007720BC">
        <w:rPr>
          <w:rStyle w:val="hgkelc"/>
          <w:rFonts w:ascii="Times New Roman" w:hAnsi="Times New Roman" w:cs="Times New Roman"/>
          <w:b w:val="0"/>
          <w:bCs w:val="0"/>
          <w:sz w:val="24"/>
          <w:szCs w:val="24"/>
          <w:lang w:val="en-US"/>
        </w:rPr>
        <w:t>penurunan</w:t>
      </w:r>
      <w:proofErr w:type="spellEnd"/>
      <w:r w:rsidR="00881E00" w:rsidRPr="007720BC">
        <w:rPr>
          <w:rStyle w:val="hgkelc"/>
          <w:rFonts w:ascii="Times New Roman" w:hAnsi="Times New Roman" w:cs="Times New Roman"/>
          <w:b w:val="0"/>
          <w:bCs w:val="0"/>
          <w:sz w:val="24"/>
          <w:szCs w:val="24"/>
          <w:lang w:val="en-US"/>
        </w:rPr>
        <w:t xml:space="preserve"> stunting </w:t>
      </w:r>
      <w:proofErr w:type="spellStart"/>
      <w:r w:rsidR="00881E00" w:rsidRPr="007720BC">
        <w:rPr>
          <w:rStyle w:val="hgkelc"/>
          <w:rFonts w:ascii="Times New Roman" w:hAnsi="Times New Roman" w:cs="Times New Roman"/>
          <w:b w:val="0"/>
          <w:bCs w:val="0"/>
          <w:sz w:val="24"/>
          <w:szCs w:val="24"/>
          <w:lang w:val="en-US"/>
        </w:rPr>
        <w:t>nasional</w:t>
      </w:r>
      <w:proofErr w:type="spellEnd"/>
      <w:r w:rsidR="00881E00" w:rsidRPr="007720BC">
        <w:rPr>
          <w:rStyle w:val="hgkelc"/>
          <w:rFonts w:ascii="Times New Roman" w:hAnsi="Times New Roman" w:cs="Times New Roman"/>
          <w:b w:val="0"/>
          <w:bCs w:val="0"/>
          <w:sz w:val="24"/>
          <w:szCs w:val="24"/>
          <w:lang w:val="en-US"/>
        </w:rPr>
        <w:t xml:space="preserve"> 14% pada </w:t>
      </w:r>
      <w:proofErr w:type="spellStart"/>
      <w:r w:rsidR="00881E00" w:rsidRPr="007720BC">
        <w:rPr>
          <w:rStyle w:val="hgkelc"/>
          <w:rFonts w:ascii="Times New Roman" w:hAnsi="Times New Roman" w:cs="Times New Roman"/>
          <w:b w:val="0"/>
          <w:bCs w:val="0"/>
          <w:sz w:val="24"/>
          <w:szCs w:val="24"/>
          <w:lang w:val="en-US"/>
        </w:rPr>
        <w:t>tahun</w:t>
      </w:r>
      <w:proofErr w:type="spellEnd"/>
      <w:r w:rsidR="00881E00" w:rsidRPr="007720BC">
        <w:rPr>
          <w:rStyle w:val="hgkelc"/>
          <w:rFonts w:ascii="Times New Roman" w:hAnsi="Times New Roman" w:cs="Times New Roman"/>
          <w:b w:val="0"/>
          <w:bCs w:val="0"/>
          <w:sz w:val="24"/>
          <w:szCs w:val="24"/>
          <w:lang w:val="en-US"/>
        </w:rPr>
        <w:t xml:space="preserve"> 2024, </w:t>
      </w:r>
      <w:proofErr w:type="spellStart"/>
      <w:r w:rsidR="00881E00" w:rsidRPr="007720BC">
        <w:rPr>
          <w:rStyle w:val="hgkelc"/>
          <w:rFonts w:ascii="Times New Roman" w:hAnsi="Times New Roman" w:cs="Times New Roman"/>
          <w:b w:val="0"/>
          <w:bCs w:val="0"/>
          <w:sz w:val="24"/>
          <w:szCs w:val="24"/>
          <w:lang w:val="en-US"/>
        </w:rPr>
        <w:t>Pemerintah</w:t>
      </w:r>
      <w:proofErr w:type="spellEnd"/>
      <w:r w:rsidR="00881E00" w:rsidRPr="007720BC">
        <w:rPr>
          <w:rStyle w:val="hgkelc"/>
          <w:rFonts w:ascii="Times New Roman" w:hAnsi="Times New Roman" w:cs="Times New Roman"/>
          <w:b w:val="0"/>
          <w:bCs w:val="0"/>
          <w:sz w:val="24"/>
          <w:szCs w:val="24"/>
          <w:lang w:val="en-US"/>
        </w:rPr>
        <w:t xml:space="preserve"> </w:t>
      </w:r>
      <w:proofErr w:type="spellStart"/>
      <w:r w:rsidR="00881E00" w:rsidRPr="007720BC">
        <w:rPr>
          <w:rStyle w:val="hgkelc"/>
          <w:rFonts w:ascii="Times New Roman" w:hAnsi="Times New Roman" w:cs="Times New Roman"/>
          <w:b w:val="0"/>
          <w:bCs w:val="0"/>
          <w:sz w:val="24"/>
          <w:szCs w:val="24"/>
          <w:lang w:val="en-US"/>
        </w:rPr>
        <w:t>Kabupaten</w:t>
      </w:r>
      <w:proofErr w:type="spellEnd"/>
      <w:r w:rsidR="00881E00" w:rsidRPr="007720BC">
        <w:rPr>
          <w:rStyle w:val="hgkelc"/>
          <w:rFonts w:ascii="Times New Roman" w:hAnsi="Times New Roman" w:cs="Times New Roman"/>
          <w:b w:val="0"/>
          <w:bCs w:val="0"/>
          <w:sz w:val="24"/>
          <w:szCs w:val="24"/>
          <w:lang w:val="en-US"/>
        </w:rPr>
        <w:t xml:space="preserve"> </w:t>
      </w:r>
      <w:proofErr w:type="spellStart"/>
      <w:r w:rsidR="00881E00" w:rsidRPr="007720BC">
        <w:rPr>
          <w:rStyle w:val="hgkelc"/>
          <w:rFonts w:ascii="Times New Roman" w:hAnsi="Times New Roman" w:cs="Times New Roman"/>
          <w:b w:val="0"/>
          <w:bCs w:val="0"/>
          <w:sz w:val="24"/>
          <w:szCs w:val="24"/>
          <w:lang w:val="en-US"/>
        </w:rPr>
        <w:t>Serang</w:t>
      </w:r>
      <w:proofErr w:type="spellEnd"/>
      <w:r w:rsidR="00881E00" w:rsidRPr="007720BC">
        <w:rPr>
          <w:rStyle w:val="hgkelc"/>
          <w:rFonts w:ascii="Times New Roman" w:hAnsi="Times New Roman" w:cs="Times New Roman"/>
          <w:b w:val="0"/>
          <w:bCs w:val="0"/>
          <w:sz w:val="24"/>
          <w:szCs w:val="24"/>
          <w:lang w:val="en-US"/>
        </w:rPr>
        <w:t xml:space="preserve"> </w:t>
      </w:r>
      <w:proofErr w:type="spellStart"/>
      <w:r w:rsidR="00881E00" w:rsidRPr="007720BC">
        <w:rPr>
          <w:rStyle w:val="hgkelc"/>
          <w:rFonts w:ascii="Times New Roman" w:hAnsi="Times New Roman" w:cs="Times New Roman"/>
          <w:b w:val="0"/>
          <w:bCs w:val="0"/>
          <w:sz w:val="24"/>
          <w:szCs w:val="24"/>
          <w:lang w:val="en-US"/>
        </w:rPr>
        <w:t>harus</w:t>
      </w:r>
      <w:proofErr w:type="spellEnd"/>
      <w:r w:rsidR="00881E00" w:rsidRPr="007720BC">
        <w:rPr>
          <w:rStyle w:val="hgkelc"/>
          <w:rFonts w:ascii="Times New Roman" w:hAnsi="Times New Roman" w:cs="Times New Roman"/>
          <w:b w:val="0"/>
          <w:bCs w:val="0"/>
          <w:sz w:val="24"/>
          <w:szCs w:val="24"/>
          <w:lang w:val="en-US"/>
        </w:rPr>
        <w:t xml:space="preserve"> </w:t>
      </w:r>
      <w:proofErr w:type="spellStart"/>
      <w:r w:rsidR="00881E00" w:rsidRPr="007720BC">
        <w:rPr>
          <w:rStyle w:val="hgkelc"/>
          <w:rFonts w:ascii="Times New Roman" w:hAnsi="Times New Roman" w:cs="Times New Roman"/>
          <w:b w:val="0"/>
          <w:bCs w:val="0"/>
          <w:sz w:val="24"/>
          <w:szCs w:val="24"/>
          <w:lang w:val="en-US"/>
        </w:rPr>
        <w:t>melakukan</w:t>
      </w:r>
      <w:proofErr w:type="spellEnd"/>
      <w:r w:rsidR="00881E00" w:rsidRPr="007720BC">
        <w:rPr>
          <w:rStyle w:val="hgkelc"/>
          <w:rFonts w:ascii="Times New Roman" w:hAnsi="Times New Roman" w:cs="Times New Roman"/>
          <w:b w:val="0"/>
          <w:bCs w:val="0"/>
          <w:sz w:val="24"/>
          <w:szCs w:val="24"/>
          <w:lang w:val="en-US"/>
        </w:rPr>
        <w:t xml:space="preserve"> </w:t>
      </w:r>
      <w:proofErr w:type="spellStart"/>
      <w:r w:rsidR="00881E00" w:rsidRPr="007720BC">
        <w:rPr>
          <w:rStyle w:val="hgkelc"/>
          <w:rFonts w:ascii="Times New Roman" w:hAnsi="Times New Roman" w:cs="Times New Roman"/>
          <w:b w:val="0"/>
          <w:bCs w:val="0"/>
          <w:sz w:val="24"/>
          <w:szCs w:val="24"/>
          <w:lang w:val="en-US"/>
        </w:rPr>
        <w:t>upaya</w:t>
      </w:r>
      <w:proofErr w:type="spellEnd"/>
      <w:r w:rsidR="00881E00" w:rsidRPr="007720BC">
        <w:rPr>
          <w:rStyle w:val="hgkelc"/>
          <w:rFonts w:ascii="Times New Roman" w:hAnsi="Times New Roman" w:cs="Times New Roman"/>
          <w:b w:val="0"/>
          <w:bCs w:val="0"/>
          <w:sz w:val="24"/>
          <w:szCs w:val="24"/>
          <w:lang w:val="en-US"/>
        </w:rPr>
        <w:t xml:space="preserve"> </w:t>
      </w:r>
      <w:proofErr w:type="spellStart"/>
      <w:r w:rsidR="00881E00" w:rsidRPr="007720BC">
        <w:rPr>
          <w:rStyle w:val="hgkelc"/>
          <w:rFonts w:ascii="Times New Roman" w:hAnsi="Times New Roman" w:cs="Times New Roman"/>
          <w:b w:val="0"/>
          <w:bCs w:val="0"/>
          <w:sz w:val="24"/>
          <w:szCs w:val="24"/>
          <w:lang w:val="en-US"/>
        </w:rPr>
        <w:t>lebih</w:t>
      </w:r>
      <w:proofErr w:type="spellEnd"/>
      <w:r w:rsidR="00881E00" w:rsidRPr="007720BC">
        <w:rPr>
          <w:rStyle w:val="hgkelc"/>
          <w:rFonts w:ascii="Times New Roman" w:hAnsi="Times New Roman" w:cs="Times New Roman"/>
          <w:b w:val="0"/>
          <w:bCs w:val="0"/>
          <w:sz w:val="24"/>
          <w:szCs w:val="24"/>
          <w:lang w:val="en-US"/>
        </w:rPr>
        <w:t xml:space="preserve"> </w:t>
      </w:r>
      <w:proofErr w:type="spellStart"/>
      <w:r w:rsidR="00881E00" w:rsidRPr="007720BC">
        <w:rPr>
          <w:rStyle w:val="hgkelc"/>
          <w:rFonts w:ascii="Times New Roman" w:hAnsi="Times New Roman" w:cs="Times New Roman"/>
          <w:b w:val="0"/>
          <w:bCs w:val="0"/>
          <w:sz w:val="24"/>
          <w:szCs w:val="24"/>
          <w:lang w:val="en-US"/>
        </w:rPr>
        <w:t>keras</w:t>
      </w:r>
      <w:proofErr w:type="spellEnd"/>
      <w:r w:rsidR="00881E00" w:rsidRPr="007720BC">
        <w:rPr>
          <w:rStyle w:val="hgkelc"/>
          <w:rFonts w:ascii="Times New Roman" w:hAnsi="Times New Roman" w:cs="Times New Roman"/>
          <w:b w:val="0"/>
          <w:bCs w:val="0"/>
          <w:sz w:val="24"/>
          <w:szCs w:val="24"/>
          <w:lang w:val="en-US"/>
        </w:rPr>
        <w:t xml:space="preserve"> agar target </w:t>
      </w:r>
      <w:proofErr w:type="spellStart"/>
      <w:r w:rsidR="00881E00" w:rsidRPr="007720BC">
        <w:rPr>
          <w:rStyle w:val="hgkelc"/>
          <w:rFonts w:ascii="Times New Roman" w:hAnsi="Times New Roman" w:cs="Times New Roman"/>
          <w:b w:val="0"/>
          <w:bCs w:val="0"/>
          <w:sz w:val="24"/>
          <w:szCs w:val="24"/>
          <w:lang w:val="en-US"/>
        </w:rPr>
        <w:t>tersebut</w:t>
      </w:r>
      <w:proofErr w:type="spellEnd"/>
      <w:r w:rsidR="00881E00" w:rsidRPr="007720BC">
        <w:rPr>
          <w:rStyle w:val="hgkelc"/>
          <w:rFonts w:ascii="Times New Roman" w:hAnsi="Times New Roman" w:cs="Times New Roman"/>
          <w:b w:val="0"/>
          <w:bCs w:val="0"/>
          <w:sz w:val="24"/>
          <w:szCs w:val="24"/>
          <w:lang w:val="en-US"/>
        </w:rPr>
        <w:t xml:space="preserve"> </w:t>
      </w:r>
      <w:proofErr w:type="spellStart"/>
      <w:r w:rsidR="00881E00" w:rsidRPr="007720BC">
        <w:rPr>
          <w:rStyle w:val="hgkelc"/>
          <w:rFonts w:ascii="Times New Roman" w:hAnsi="Times New Roman" w:cs="Times New Roman"/>
          <w:b w:val="0"/>
          <w:bCs w:val="0"/>
          <w:sz w:val="24"/>
          <w:szCs w:val="24"/>
          <w:lang w:val="en-US"/>
        </w:rPr>
        <w:t>dapat</w:t>
      </w:r>
      <w:proofErr w:type="spellEnd"/>
      <w:r w:rsidR="00881E00" w:rsidRPr="007720BC">
        <w:rPr>
          <w:rStyle w:val="hgkelc"/>
          <w:rFonts w:ascii="Times New Roman" w:hAnsi="Times New Roman" w:cs="Times New Roman"/>
          <w:b w:val="0"/>
          <w:bCs w:val="0"/>
          <w:sz w:val="24"/>
          <w:szCs w:val="24"/>
          <w:lang w:val="en-US"/>
        </w:rPr>
        <w:t xml:space="preserve"> </w:t>
      </w:r>
      <w:proofErr w:type="spellStart"/>
      <w:r w:rsidR="00881E00" w:rsidRPr="007720BC">
        <w:rPr>
          <w:rStyle w:val="hgkelc"/>
          <w:rFonts w:ascii="Times New Roman" w:hAnsi="Times New Roman" w:cs="Times New Roman"/>
          <w:b w:val="0"/>
          <w:bCs w:val="0"/>
          <w:sz w:val="24"/>
          <w:szCs w:val="24"/>
          <w:lang w:val="en-US"/>
        </w:rPr>
        <w:t>dicapai</w:t>
      </w:r>
      <w:proofErr w:type="spellEnd"/>
      <w:r w:rsidR="00A440FC" w:rsidRPr="007720BC">
        <w:rPr>
          <w:rStyle w:val="hgkelc"/>
          <w:rFonts w:ascii="Times New Roman" w:hAnsi="Times New Roman" w:cs="Times New Roman"/>
          <w:b w:val="0"/>
          <w:bCs w:val="0"/>
          <w:sz w:val="24"/>
          <w:szCs w:val="24"/>
          <w:lang w:val="en-US"/>
        </w:rPr>
        <w:t xml:space="preserve"> dan s</w:t>
      </w:r>
      <w:r w:rsidR="00402D99" w:rsidRPr="007720BC">
        <w:rPr>
          <w:rFonts w:ascii="Times New Roman" w:hAnsi="Times New Roman" w:cs="Times New Roman"/>
          <w:b w:val="0"/>
          <w:bCs w:val="0"/>
          <w:sz w:val="24"/>
          <w:szCs w:val="24"/>
        </w:rPr>
        <w:t>alah satu bentuk intervensi</w:t>
      </w:r>
      <w:r w:rsidR="00402D99" w:rsidRPr="007720BC">
        <w:rPr>
          <w:rFonts w:ascii="Times New Roman" w:hAnsi="Times New Roman" w:cs="Times New Roman"/>
          <w:b w:val="0"/>
          <w:bCs w:val="0"/>
          <w:sz w:val="24"/>
          <w:szCs w:val="24"/>
          <w:lang w:val="en-US"/>
        </w:rPr>
        <w:t xml:space="preserve"> </w:t>
      </w:r>
      <w:proofErr w:type="spellStart"/>
      <w:r w:rsidR="00402D99" w:rsidRPr="007720BC">
        <w:rPr>
          <w:rFonts w:ascii="Times New Roman" w:hAnsi="Times New Roman" w:cs="Times New Roman"/>
          <w:b w:val="0"/>
          <w:bCs w:val="0"/>
          <w:sz w:val="24"/>
          <w:szCs w:val="24"/>
          <w:lang w:val="en-US"/>
        </w:rPr>
        <w:t>kebijakan</w:t>
      </w:r>
      <w:proofErr w:type="spellEnd"/>
      <w:r w:rsidR="00402D99" w:rsidRPr="007720BC">
        <w:rPr>
          <w:rFonts w:ascii="Times New Roman" w:hAnsi="Times New Roman" w:cs="Times New Roman"/>
          <w:b w:val="0"/>
          <w:bCs w:val="0"/>
          <w:sz w:val="24"/>
          <w:szCs w:val="24"/>
        </w:rPr>
        <w:t xml:space="preserve"> stunting</w:t>
      </w:r>
      <w:r w:rsidR="00402D99" w:rsidRPr="007720BC">
        <w:rPr>
          <w:rFonts w:ascii="Times New Roman" w:hAnsi="Times New Roman" w:cs="Times New Roman"/>
          <w:b w:val="0"/>
          <w:bCs w:val="0"/>
          <w:sz w:val="24"/>
          <w:szCs w:val="24"/>
          <w:lang w:val="en-US"/>
        </w:rPr>
        <w:t xml:space="preserve"> yang </w:t>
      </w:r>
      <w:proofErr w:type="spellStart"/>
      <w:r w:rsidR="00402D99" w:rsidRPr="007720BC">
        <w:rPr>
          <w:rFonts w:ascii="Times New Roman" w:hAnsi="Times New Roman" w:cs="Times New Roman"/>
          <w:b w:val="0"/>
          <w:bCs w:val="0"/>
          <w:sz w:val="24"/>
          <w:szCs w:val="24"/>
          <w:lang w:val="en-US"/>
        </w:rPr>
        <w:t>dilakukan</w:t>
      </w:r>
      <w:proofErr w:type="spellEnd"/>
      <w:r w:rsidR="00402D99" w:rsidRPr="007720BC">
        <w:rPr>
          <w:rFonts w:ascii="Times New Roman" w:hAnsi="Times New Roman" w:cs="Times New Roman"/>
          <w:b w:val="0"/>
          <w:bCs w:val="0"/>
          <w:sz w:val="24"/>
          <w:szCs w:val="24"/>
          <w:lang w:val="en-US"/>
        </w:rPr>
        <w:t xml:space="preserve"> oleh </w:t>
      </w:r>
      <w:proofErr w:type="spellStart"/>
      <w:r w:rsidR="00402D99" w:rsidRPr="007720BC">
        <w:rPr>
          <w:rFonts w:ascii="Times New Roman" w:hAnsi="Times New Roman" w:cs="Times New Roman"/>
          <w:b w:val="0"/>
          <w:bCs w:val="0"/>
          <w:sz w:val="24"/>
          <w:szCs w:val="24"/>
          <w:lang w:val="en-US"/>
        </w:rPr>
        <w:t>pemerintah</w:t>
      </w:r>
      <w:proofErr w:type="spellEnd"/>
      <w:r w:rsidR="00402D99" w:rsidRPr="007720BC">
        <w:rPr>
          <w:rFonts w:ascii="Times New Roman" w:hAnsi="Times New Roman" w:cs="Times New Roman"/>
          <w:b w:val="0"/>
          <w:bCs w:val="0"/>
          <w:sz w:val="24"/>
          <w:szCs w:val="24"/>
        </w:rPr>
        <w:t xml:space="preserve"> </w:t>
      </w:r>
      <w:proofErr w:type="spellStart"/>
      <w:r w:rsidR="00A440FC" w:rsidRPr="007720BC">
        <w:rPr>
          <w:rFonts w:ascii="Times New Roman" w:hAnsi="Times New Roman" w:cs="Times New Roman"/>
          <w:b w:val="0"/>
          <w:bCs w:val="0"/>
          <w:sz w:val="24"/>
          <w:szCs w:val="24"/>
          <w:lang w:val="en-US"/>
        </w:rPr>
        <w:t>Kabupaten</w:t>
      </w:r>
      <w:proofErr w:type="spellEnd"/>
      <w:r w:rsidR="00A440FC" w:rsidRPr="007720BC">
        <w:rPr>
          <w:rFonts w:ascii="Times New Roman" w:hAnsi="Times New Roman" w:cs="Times New Roman"/>
          <w:b w:val="0"/>
          <w:bCs w:val="0"/>
          <w:sz w:val="24"/>
          <w:szCs w:val="24"/>
          <w:lang w:val="en-US"/>
        </w:rPr>
        <w:t xml:space="preserve"> </w:t>
      </w:r>
      <w:proofErr w:type="spellStart"/>
      <w:r w:rsidR="00A440FC" w:rsidRPr="007720BC">
        <w:rPr>
          <w:rFonts w:ascii="Times New Roman" w:hAnsi="Times New Roman" w:cs="Times New Roman"/>
          <w:b w:val="0"/>
          <w:bCs w:val="0"/>
          <w:sz w:val="24"/>
          <w:szCs w:val="24"/>
          <w:lang w:val="en-US"/>
        </w:rPr>
        <w:t>Serang</w:t>
      </w:r>
      <w:proofErr w:type="spellEnd"/>
      <w:r w:rsidR="00A440FC" w:rsidRPr="007720BC">
        <w:rPr>
          <w:rFonts w:ascii="Times New Roman" w:hAnsi="Times New Roman" w:cs="Times New Roman"/>
          <w:b w:val="0"/>
          <w:bCs w:val="0"/>
          <w:sz w:val="24"/>
          <w:szCs w:val="24"/>
          <w:lang w:val="en-US"/>
        </w:rPr>
        <w:t xml:space="preserve"> </w:t>
      </w:r>
      <w:proofErr w:type="spellStart"/>
      <w:r w:rsidR="00264FD9" w:rsidRPr="007720BC">
        <w:rPr>
          <w:rFonts w:ascii="Times New Roman" w:hAnsi="Times New Roman" w:cs="Times New Roman"/>
          <w:b w:val="0"/>
          <w:bCs w:val="0"/>
          <w:sz w:val="24"/>
          <w:szCs w:val="24"/>
          <w:lang w:val="en-US"/>
        </w:rPr>
        <w:t>adalah</w:t>
      </w:r>
      <w:proofErr w:type="spellEnd"/>
      <w:r w:rsidR="00264FD9" w:rsidRPr="007720BC">
        <w:rPr>
          <w:rFonts w:ascii="Times New Roman" w:hAnsi="Times New Roman" w:cs="Times New Roman"/>
          <w:b w:val="0"/>
          <w:bCs w:val="0"/>
          <w:sz w:val="24"/>
          <w:szCs w:val="24"/>
          <w:lang w:val="en-US"/>
        </w:rPr>
        <w:t xml:space="preserve"> </w:t>
      </w:r>
      <w:proofErr w:type="spellStart"/>
      <w:r w:rsidR="000A23ED" w:rsidRPr="007720BC">
        <w:rPr>
          <w:rFonts w:ascii="Times New Roman" w:hAnsi="Times New Roman" w:cs="Times New Roman"/>
          <w:b w:val="0"/>
          <w:bCs w:val="0"/>
          <w:sz w:val="24"/>
          <w:szCs w:val="24"/>
          <w:lang w:val="en-US"/>
        </w:rPr>
        <w:t>mengimplementasikan</w:t>
      </w:r>
      <w:proofErr w:type="spellEnd"/>
      <w:r w:rsidR="000A23ED" w:rsidRPr="007720BC">
        <w:rPr>
          <w:rFonts w:ascii="Times New Roman" w:hAnsi="Times New Roman" w:cs="Times New Roman"/>
          <w:b w:val="0"/>
          <w:bCs w:val="0"/>
          <w:sz w:val="24"/>
          <w:szCs w:val="24"/>
          <w:lang w:val="en-US"/>
        </w:rPr>
        <w:t xml:space="preserve"> </w:t>
      </w:r>
      <w:r w:rsidR="000A23ED" w:rsidRPr="007720BC">
        <w:rPr>
          <w:rFonts w:ascii="Times New Roman" w:hAnsi="Times New Roman" w:cs="Times New Roman"/>
          <w:b w:val="0"/>
          <w:bCs w:val="0"/>
          <w:sz w:val="24"/>
          <w:szCs w:val="24"/>
        </w:rPr>
        <w:t>Kampung K</w:t>
      </w:r>
      <w:proofErr w:type="spellStart"/>
      <w:r w:rsidR="000A23ED" w:rsidRPr="007720BC">
        <w:rPr>
          <w:rFonts w:ascii="Times New Roman" w:hAnsi="Times New Roman" w:cs="Times New Roman"/>
          <w:b w:val="0"/>
          <w:bCs w:val="0"/>
          <w:sz w:val="24"/>
          <w:szCs w:val="24"/>
          <w:lang w:val="en-US"/>
        </w:rPr>
        <w:t>eluarga</w:t>
      </w:r>
      <w:proofErr w:type="spellEnd"/>
      <w:r w:rsidR="000A23ED" w:rsidRPr="007720BC">
        <w:rPr>
          <w:rFonts w:ascii="Times New Roman" w:hAnsi="Times New Roman" w:cs="Times New Roman"/>
          <w:b w:val="0"/>
          <w:bCs w:val="0"/>
          <w:sz w:val="24"/>
          <w:szCs w:val="24"/>
          <w:lang w:val="en-US"/>
        </w:rPr>
        <w:t xml:space="preserve"> </w:t>
      </w:r>
      <w:proofErr w:type="spellStart"/>
      <w:r w:rsidR="000A23ED" w:rsidRPr="007720BC">
        <w:rPr>
          <w:rFonts w:ascii="Times New Roman" w:hAnsi="Times New Roman" w:cs="Times New Roman"/>
          <w:b w:val="0"/>
          <w:bCs w:val="0"/>
          <w:sz w:val="24"/>
          <w:szCs w:val="24"/>
          <w:lang w:val="en-US"/>
        </w:rPr>
        <w:t>Berkualitas</w:t>
      </w:r>
      <w:proofErr w:type="spellEnd"/>
      <w:r w:rsidR="000A23ED" w:rsidRPr="007720BC">
        <w:rPr>
          <w:rFonts w:ascii="Times New Roman" w:hAnsi="Times New Roman" w:cs="Times New Roman"/>
          <w:b w:val="0"/>
          <w:bCs w:val="0"/>
          <w:sz w:val="24"/>
          <w:szCs w:val="24"/>
          <w:lang w:val="en-US"/>
        </w:rPr>
        <w:t xml:space="preserve"> (KB) </w:t>
      </w:r>
      <w:proofErr w:type="spellStart"/>
      <w:r w:rsidR="000A23ED" w:rsidRPr="007720BC">
        <w:rPr>
          <w:rFonts w:ascii="Times New Roman" w:hAnsi="Times New Roman" w:cs="Times New Roman"/>
          <w:b w:val="0"/>
          <w:bCs w:val="0"/>
          <w:sz w:val="24"/>
          <w:szCs w:val="24"/>
          <w:lang w:val="en-US"/>
        </w:rPr>
        <w:t>Sebagaimana</w:t>
      </w:r>
      <w:proofErr w:type="spellEnd"/>
      <w:r w:rsidR="000A23ED" w:rsidRPr="007720BC">
        <w:rPr>
          <w:rFonts w:ascii="Times New Roman" w:hAnsi="Times New Roman" w:cs="Times New Roman"/>
          <w:b w:val="0"/>
          <w:bCs w:val="0"/>
          <w:sz w:val="24"/>
          <w:szCs w:val="24"/>
          <w:lang w:val="en-US"/>
        </w:rPr>
        <w:t xml:space="preserve"> </w:t>
      </w:r>
      <w:proofErr w:type="spellStart"/>
      <w:r w:rsidR="000A23ED" w:rsidRPr="007720BC">
        <w:rPr>
          <w:rFonts w:ascii="Times New Roman" w:hAnsi="Times New Roman" w:cs="Times New Roman"/>
          <w:b w:val="0"/>
          <w:bCs w:val="0"/>
          <w:sz w:val="24"/>
          <w:szCs w:val="24"/>
          <w:lang w:val="en-US"/>
        </w:rPr>
        <w:t>diamanatkan</w:t>
      </w:r>
      <w:proofErr w:type="spellEnd"/>
      <w:r w:rsidR="000A23ED" w:rsidRPr="007720BC">
        <w:rPr>
          <w:rFonts w:ascii="Times New Roman" w:hAnsi="Times New Roman" w:cs="Times New Roman"/>
          <w:b w:val="0"/>
          <w:bCs w:val="0"/>
          <w:sz w:val="24"/>
          <w:szCs w:val="24"/>
          <w:lang w:val="en-US"/>
        </w:rPr>
        <w:t xml:space="preserve"> </w:t>
      </w:r>
      <w:proofErr w:type="spellStart"/>
      <w:r w:rsidR="000A23ED" w:rsidRPr="007720BC">
        <w:rPr>
          <w:rFonts w:ascii="Times New Roman" w:hAnsi="Times New Roman" w:cs="Times New Roman"/>
          <w:b w:val="0"/>
          <w:bCs w:val="0"/>
          <w:sz w:val="24"/>
          <w:szCs w:val="24"/>
          <w:lang w:val="en-US"/>
        </w:rPr>
        <w:t>dalam</w:t>
      </w:r>
      <w:proofErr w:type="spellEnd"/>
      <w:r w:rsidR="000A23ED" w:rsidRPr="007720BC">
        <w:rPr>
          <w:rFonts w:ascii="Times New Roman" w:hAnsi="Times New Roman" w:cs="Times New Roman"/>
          <w:b w:val="0"/>
          <w:bCs w:val="0"/>
          <w:sz w:val="24"/>
          <w:szCs w:val="24"/>
          <w:lang w:val="en-US"/>
        </w:rPr>
        <w:t xml:space="preserve"> </w:t>
      </w:r>
      <w:proofErr w:type="spellStart"/>
      <w:r w:rsidR="000A23ED" w:rsidRPr="007720BC">
        <w:rPr>
          <w:rFonts w:ascii="Times New Roman" w:hAnsi="Times New Roman" w:cs="Times New Roman"/>
          <w:b w:val="0"/>
          <w:bCs w:val="0"/>
          <w:sz w:val="24"/>
          <w:szCs w:val="24"/>
          <w:lang w:val="en-US"/>
        </w:rPr>
        <w:t>Instruksi</w:t>
      </w:r>
      <w:proofErr w:type="spellEnd"/>
      <w:r w:rsidR="000A23ED" w:rsidRPr="007720BC">
        <w:rPr>
          <w:rFonts w:ascii="Times New Roman" w:hAnsi="Times New Roman" w:cs="Times New Roman"/>
          <w:b w:val="0"/>
          <w:bCs w:val="0"/>
          <w:sz w:val="24"/>
          <w:szCs w:val="24"/>
          <w:lang w:val="en-US"/>
        </w:rPr>
        <w:t xml:space="preserve"> </w:t>
      </w:r>
      <w:proofErr w:type="spellStart"/>
      <w:r w:rsidR="000A23ED" w:rsidRPr="007720BC">
        <w:rPr>
          <w:rFonts w:ascii="Times New Roman" w:hAnsi="Times New Roman" w:cs="Times New Roman"/>
          <w:b w:val="0"/>
          <w:bCs w:val="0"/>
          <w:sz w:val="24"/>
          <w:szCs w:val="24"/>
          <w:lang w:val="en-US"/>
        </w:rPr>
        <w:t>Presiden</w:t>
      </w:r>
      <w:proofErr w:type="spellEnd"/>
      <w:r w:rsidR="000A23ED" w:rsidRPr="007720BC">
        <w:rPr>
          <w:rFonts w:ascii="Times New Roman" w:hAnsi="Times New Roman" w:cs="Times New Roman"/>
          <w:b w:val="0"/>
          <w:bCs w:val="0"/>
          <w:sz w:val="24"/>
          <w:szCs w:val="24"/>
          <w:lang w:val="en-US"/>
        </w:rPr>
        <w:t xml:space="preserve"> RI </w:t>
      </w:r>
      <w:proofErr w:type="spellStart"/>
      <w:r w:rsidR="000A23ED" w:rsidRPr="007720BC">
        <w:rPr>
          <w:rFonts w:ascii="Times New Roman" w:hAnsi="Times New Roman" w:cs="Times New Roman"/>
          <w:b w:val="0"/>
          <w:bCs w:val="0"/>
          <w:sz w:val="24"/>
          <w:szCs w:val="24"/>
          <w:lang w:val="en-US"/>
        </w:rPr>
        <w:t>Nomor</w:t>
      </w:r>
      <w:proofErr w:type="spellEnd"/>
      <w:r w:rsidR="000A23ED" w:rsidRPr="007720BC">
        <w:rPr>
          <w:rFonts w:ascii="Times New Roman" w:hAnsi="Times New Roman" w:cs="Times New Roman"/>
          <w:b w:val="0"/>
          <w:bCs w:val="0"/>
          <w:sz w:val="24"/>
          <w:szCs w:val="24"/>
          <w:lang w:val="en-US"/>
        </w:rPr>
        <w:t xml:space="preserve"> 3 </w:t>
      </w:r>
      <w:proofErr w:type="spellStart"/>
      <w:r w:rsidR="000A23ED" w:rsidRPr="007720BC">
        <w:rPr>
          <w:rFonts w:ascii="Times New Roman" w:hAnsi="Times New Roman" w:cs="Times New Roman"/>
          <w:b w:val="0"/>
          <w:bCs w:val="0"/>
          <w:sz w:val="24"/>
          <w:szCs w:val="24"/>
          <w:lang w:val="en-US"/>
        </w:rPr>
        <w:t>Tahun</w:t>
      </w:r>
      <w:proofErr w:type="spellEnd"/>
      <w:r w:rsidR="000A23ED" w:rsidRPr="007720BC">
        <w:rPr>
          <w:rFonts w:ascii="Times New Roman" w:hAnsi="Times New Roman" w:cs="Times New Roman"/>
          <w:b w:val="0"/>
          <w:bCs w:val="0"/>
          <w:sz w:val="24"/>
          <w:szCs w:val="24"/>
          <w:lang w:val="en-US"/>
        </w:rPr>
        <w:t xml:space="preserve"> 2022 </w:t>
      </w:r>
      <w:proofErr w:type="spellStart"/>
      <w:r w:rsidR="000A23ED" w:rsidRPr="007720BC">
        <w:rPr>
          <w:rFonts w:ascii="Times New Roman" w:hAnsi="Times New Roman" w:cs="Times New Roman"/>
          <w:b w:val="0"/>
          <w:bCs w:val="0"/>
          <w:sz w:val="24"/>
          <w:szCs w:val="24"/>
          <w:lang w:val="en-US"/>
        </w:rPr>
        <w:t>tentang</w:t>
      </w:r>
      <w:proofErr w:type="spellEnd"/>
      <w:r w:rsidR="000A23ED" w:rsidRPr="007720BC">
        <w:rPr>
          <w:rFonts w:ascii="Times New Roman" w:hAnsi="Times New Roman" w:cs="Times New Roman"/>
          <w:b w:val="0"/>
          <w:bCs w:val="0"/>
          <w:sz w:val="24"/>
          <w:szCs w:val="24"/>
          <w:lang w:val="en-US"/>
        </w:rPr>
        <w:t xml:space="preserve"> </w:t>
      </w:r>
      <w:proofErr w:type="spellStart"/>
      <w:r w:rsidR="000A23ED" w:rsidRPr="007720BC">
        <w:rPr>
          <w:rFonts w:ascii="Times New Roman" w:hAnsi="Times New Roman" w:cs="Times New Roman"/>
          <w:b w:val="0"/>
          <w:bCs w:val="0"/>
          <w:sz w:val="24"/>
          <w:szCs w:val="24"/>
          <w:lang w:val="en-US"/>
        </w:rPr>
        <w:t>Optimalisasi</w:t>
      </w:r>
      <w:proofErr w:type="spellEnd"/>
      <w:r w:rsidR="000A23ED" w:rsidRPr="007720BC">
        <w:rPr>
          <w:rFonts w:ascii="Times New Roman" w:hAnsi="Times New Roman" w:cs="Times New Roman"/>
          <w:b w:val="0"/>
          <w:bCs w:val="0"/>
          <w:sz w:val="24"/>
          <w:szCs w:val="24"/>
          <w:lang w:val="en-US"/>
        </w:rPr>
        <w:t xml:space="preserve"> </w:t>
      </w:r>
      <w:proofErr w:type="spellStart"/>
      <w:r w:rsidR="000A23ED" w:rsidRPr="007720BC">
        <w:rPr>
          <w:rFonts w:ascii="Times New Roman" w:hAnsi="Times New Roman" w:cs="Times New Roman"/>
          <w:b w:val="0"/>
          <w:bCs w:val="0"/>
          <w:sz w:val="24"/>
          <w:szCs w:val="24"/>
          <w:lang w:val="en-US"/>
        </w:rPr>
        <w:t>Penyelenggaraan</w:t>
      </w:r>
      <w:proofErr w:type="spellEnd"/>
      <w:r w:rsidR="000A23ED" w:rsidRPr="007720BC">
        <w:rPr>
          <w:rFonts w:ascii="Times New Roman" w:hAnsi="Times New Roman" w:cs="Times New Roman"/>
          <w:b w:val="0"/>
          <w:bCs w:val="0"/>
          <w:sz w:val="24"/>
          <w:szCs w:val="24"/>
          <w:lang w:val="en-US"/>
        </w:rPr>
        <w:t xml:space="preserve"> Kampung KB </w:t>
      </w:r>
      <w:proofErr w:type="spellStart"/>
      <w:r w:rsidR="000A23ED" w:rsidRPr="007720BC">
        <w:rPr>
          <w:rFonts w:ascii="Times New Roman" w:hAnsi="Times New Roman" w:cs="Times New Roman"/>
          <w:b w:val="0"/>
          <w:bCs w:val="0"/>
          <w:sz w:val="24"/>
          <w:szCs w:val="24"/>
          <w:lang w:val="en-US"/>
        </w:rPr>
        <w:t>melalui</w:t>
      </w:r>
      <w:proofErr w:type="spellEnd"/>
      <w:r w:rsidR="000A23ED" w:rsidRPr="007720BC">
        <w:rPr>
          <w:rFonts w:ascii="Times New Roman" w:hAnsi="Times New Roman" w:cs="Times New Roman"/>
          <w:b w:val="0"/>
          <w:bCs w:val="0"/>
          <w:sz w:val="24"/>
          <w:szCs w:val="24"/>
          <w:lang w:val="en-US"/>
        </w:rPr>
        <w:t xml:space="preserve"> </w:t>
      </w:r>
      <w:r w:rsidR="00A440FC" w:rsidRPr="007720BC">
        <w:rPr>
          <w:rFonts w:ascii="Times New Roman" w:hAnsi="Times New Roman" w:cs="Times New Roman"/>
          <w:b w:val="0"/>
          <w:bCs w:val="0"/>
          <w:sz w:val="24"/>
          <w:szCs w:val="24"/>
          <w:lang w:val="en-US"/>
        </w:rPr>
        <w:t>program</w:t>
      </w:r>
      <w:r w:rsidR="00A440FC" w:rsidRPr="007720BC">
        <w:rPr>
          <w:rFonts w:ascii="Times New Roman" w:hAnsi="Times New Roman" w:cs="Times New Roman"/>
          <w:b w:val="0"/>
          <w:bCs w:val="0"/>
          <w:sz w:val="24"/>
          <w:szCs w:val="24"/>
        </w:rPr>
        <w:t xml:space="preserve"> Dapur Sehat Atasi Stunting (Dashat)</w:t>
      </w:r>
      <w:r w:rsidR="000A23ED" w:rsidRPr="007720BC">
        <w:rPr>
          <w:rFonts w:ascii="Times New Roman" w:hAnsi="Times New Roman" w:cs="Times New Roman"/>
          <w:b w:val="0"/>
          <w:bCs w:val="0"/>
          <w:sz w:val="24"/>
          <w:szCs w:val="24"/>
          <w:lang w:val="en-US"/>
        </w:rPr>
        <w:t>.</w:t>
      </w:r>
    </w:p>
    <w:p w14:paraId="74940D29" w14:textId="70B7F1A3" w:rsidR="00A02911" w:rsidRPr="007720BC" w:rsidRDefault="00A440FC" w:rsidP="00CB2900">
      <w:pPr>
        <w:pStyle w:val="Heading1"/>
        <w:ind w:left="0" w:right="0" w:firstLine="720"/>
        <w:contextualSpacing/>
        <w:jc w:val="both"/>
        <w:rPr>
          <w:rFonts w:ascii="Times New Roman" w:hAnsi="Times New Roman" w:cs="Times New Roman"/>
          <w:b w:val="0"/>
          <w:bCs w:val="0"/>
          <w:sz w:val="24"/>
          <w:szCs w:val="24"/>
          <w:lang w:val="en-US"/>
        </w:rPr>
      </w:pPr>
      <w:r w:rsidRPr="007720BC">
        <w:rPr>
          <w:rFonts w:ascii="Times New Roman" w:hAnsi="Times New Roman" w:cs="Times New Roman"/>
          <w:b w:val="0"/>
          <w:bCs w:val="0"/>
          <w:sz w:val="24"/>
          <w:szCs w:val="24"/>
        </w:rPr>
        <w:t>Kampung KB didefinisikan sebagai </w:t>
      </w:r>
      <w:r w:rsidRPr="007720BC">
        <w:rPr>
          <w:rFonts w:ascii="Times New Roman" w:hAnsi="Times New Roman" w:cs="Times New Roman"/>
          <w:b w:val="0"/>
          <w:bCs w:val="0"/>
          <w:sz w:val="24"/>
          <w:szCs w:val="24"/>
          <w:lang w:val="ms-MY"/>
        </w:rPr>
        <w:t>satuan wilayah setingkat desa dimana terdapat integrasi dan konvergensi penyelenggaraan pemberdayaan dan penguatan institusi keluarga dalam seluruh dimensinya guna meningkatkan kualitas sumber daya manusia, keluarga dan masyarakat</w:t>
      </w:r>
      <w:r w:rsidR="00BF358C" w:rsidRPr="007720BC">
        <w:rPr>
          <w:rFonts w:ascii="Times New Roman" w:hAnsi="Times New Roman" w:cs="Times New Roman"/>
          <w:b w:val="0"/>
          <w:bCs w:val="0"/>
          <w:sz w:val="24"/>
          <w:szCs w:val="24"/>
          <w:lang w:val="ms-MY"/>
        </w:rPr>
        <w:t xml:space="preserve"> </w:t>
      </w:r>
      <w:r w:rsidR="00BF358C" w:rsidRPr="007720BC">
        <w:rPr>
          <w:rFonts w:ascii="Times New Roman" w:hAnsi="Times New Roman" w:cs="Times New Roman"/>
          <w:b w:val="0"/>
          <w:bCs w:val="0"/>
          <w:sz w:val="24"/>
          <w:szCs w:val="24"/>
          <w:lang w:val="ms-MY"/>
        </w:rPr>
        <w:fldChar w:fldCharType="begin" w:fldLock="1"/>
      </w:r>
      <w:r w:rsidR="00A8371F" w:rsidRPr="007720BC">
        <w:rPr>
          <w:rFonts w:ascii="Times New Roman" w:hAnsi="Times New Roman" w:cs="Times New Roman"/>
          <w:b w:val="0"/>
          <w:bCs w:val="0"/>
          <w:sz w:val="24"/>
          <w:szCs w:val="24"/>
          <w:lang w:val="ms-MY"/>
        </w:rPr>
        <w:instrText>ADDIN CSL_CITATION {"citationItems":[{"id":"ITEM-1","itemData":{"author":[{"dropping-particle":"","family":"BKKBN RI","given":"","non-dropping-particle":"","parse-names":false,"suffix":""}],"id":"ITEM-1","issued":{"date-parts":[["2023"]]},"title":"Kampung Keluarga Berkualtas","type":"article"},"uris":["http://www.mendeley.com/documents/?uuid=e2fa1d8b-eb35-4b28-bbf8-f66522ad3293"]}],"mendeley":{"formattedCitation":"(BKKBN RI 2023)","plainTextFormattedCitation":"(BKKBN RI 2023)","previouslyFormattedCitation":"(BKKBN RI 2023)"},"properties":{"noteIndex":0},"schema":"https://github.com/citation-style-language/schema/raw/master/csl-citation.json"}</w:instrText>
      </w:r>
      <w:r w:rsidR="00BF358C" w:rsidRPr="007720BC">
        <w:rPr>
          <w:rFonts w:ascii="Times New Roman" w:hAnsi="Times New Roman" w:cs="Times New Roman"/>
          <w:b w:val="0"/>
          <w:bCs w:val="0"/>
          <w:sz w:val="24"/>
          <w:szCs w:val="24"/>
          <w:lang w:val="ms-MY"/>
        </w:rPr>
        <w:fldChar w:fldCharType="separate"/>
      </w:r>
      <w:r w:rsidR="00BF358C" w:rsidRPr="007720BC">
        <w:rPr>
          <w:rFonts w:ascii="Times New Roman" w:hAnsi="Times New Roman" w:cs="Times New Roman"/>
          <w:b w:val="0"/>
          <w:bCs w:val="0"/>
          <w:noProof/>
          <w:sz w:val="24"/>
          <w:szCs w:val="24"/>
          <w:lang w:val="ms-MY"/>
        </w:rPr>
        <w:t>(BKKBN RI 2023)</w:t>
      </w:r>
      <w:r w:rsidR="00BF358C" w:rsidRPr="007720BC">
        <w:rPr>
          <w:rFonts w:ascii="Times New Roman" w:hAnsi="Times New Roman" w:cs="Times New Roman"/>
          <w:b w:val="0"/>
          <w:bCs w:val="0"/>
          <w:sz w:val="24"/>
          <w:szCs w:val="24"/>
          <w:lang w:val="ms-MY"/>
        </w:rPr>
        <w:fldChar w:fldCharType="end"/>
      </w:r>
      <w:r w:rsidR="00BF358C" w:rsidRPr="007720BC">
        <w:rPr>
          <w:rFonts w:ascii="Times New Roman" w:hAnsi="Times New Roman" w:cs="Times New Roman"/>
          <w:b w:val="0"/>
          <w:bCs w:val="0"/>
          <w:sz w:val="24"/>
          <w:szCs w:val="24"/>
          <w:lang w:val="ms-MY"/>
        </w:rPr>
        <w:t xml:space="preserve">. </w:t>
      </w:r>
      <w:proofErr w:type="spellStart"/>
      <w:r w:rsidR="000A23ED" w:rsidRPr="007720BC">
        <w:rPr>
          <w:rFonts w:ascii="Times New Roman" w:hAnsi="Times New Roman" w:cs="Times New Roman"/>
          <w:b w:val="0"/>
          <w:bCs w:val="0"/>
          <w:sz w:val="24"/>
          <w:szCs w:val="24"/>
          <w:lang w:val="en-US"/>
        </w:rPr>
        <w:t>B</w:t>
      </w:r>
      <w:r w:rsidR="00A02911" w:rsidRPr="007720BC">
        <w:rPr>
          <w:rFonts w:ascii="Times New Roman" w:hAnsi="Times New Roman" w:cs="Times New Roman"/>
          <w:b w:val="0"/>
          <w:bCs w:val="0"/>
          <w:sz w:val="24"/>
          <w:szCs w:val="24"/>
          <w:lang w:val="en-US"/>
        </w:rPr>
        <w:t>ahwa</w:t>
      </w:r>
      <w:proofErr w:type="spellEnd"/>
      <w:r w:rsidR="00A02911" w:rsidRPr="007720BC">
        <w:rPr>
          <w:rFonts w:ascii="Times New Roman" w:hAnsi="Times New Roman" w:cs="Times New Roman"/>
          <w:b w:val="0"/>
          <w:bCs w:val="0"/>
          <w:sz w:val="24"/>
          <w:szCs w:val="24"/>
          <w:lang w:val="en-US"/>
        </w:rPr>
        <w:t xml:space="preserve"> </w:t>
      </w:r>
      <w:r w:rsidR="00402D99" w:rsidRPr="007720BC">
        <w:rPr>
          <w:rFonts w:ascii="Times New Roman" w:hAnsi="Times New Roman" w:cs="Times New Roman"/>
          <w:b w:val="0"/>
          <w:bCs w:val="0"/>
          <w:sz w:val="24"/>
          <w:szCs w:val="24"/>
        </w:rPr>
        <w:t xml:space="preserve">Pemerintah Desa/Kelurahan </w:t>
      </w:r>
      <w:proofErr w:type="spellStart"/>
      <w:r w:rsidR="00A02911" w:rsidRPr="007720BC">
        <w:rPr>
          <w:rFonts w:ascii="Times New Roman" w:hAnsi="Times New Roman" w:cs="Times New Roman"/>
          <w:b w:val="0"/>
          <w:bCs w:val="0"/>
          <w:sz w:val="24"/>
          <w:szCs w:val="24"/>
          <w:lang w:val="en-US"/>
        </w:rPr>
        <w:t>dapat</w:t>
      </w:r>
      <w:proofErr w:type="spellEnd"/>
      <w:r w:rsidR="00A02911" w:rsidRPr="007720BC">
        <w:rPr>
          <w:rFonts w:ascii="Times New Roman" w:hAnsi="Times New Roman" w:cs="Times New Roman"/>
          <w:b w:val="0"/>
          <w:bCs w:val="0"/>
          <w:sz w:val="24"/>
          <w:szCs w:val="24"/>
          <w:lang w:val="en-US"/>
        </w:rPr>
        <w:t xml:space="preserve"> </w:t>
      </w:r>
      <w:proofErr w:type="spellStart"/>
      <w:r w:rsidR="00A02911" w:rsidRPr="007720BC">
        <w:rPr>
          <w:rFonts w:ascii="Times New Roman" w:hAnsi="Times New Roman" w:cs="Times New Roman"/>
          <w:b w:val="0"/>
          <w:bCs w:val="0"/>
          <w:sz w:val="24"/>
          <w:szCs w:val="24"/>
          <w:lang w:val="en-US"/>
        </w:rPr>
        <w:t>mengembangkan</w:t>
      </w:r>
      <w:proofErr w:type="spellEnd"/>
      <w:r w:rsidR="00A02911" w:rsidRPr="007720BC">
        <w:rPr>
          <w:rFonts w:ascii="Times New Roman" w:hAnsi="Times New Roman" w:cs="Times New Roman"/>
          <w:b w:val="0"/>
          <w:bCs w:val="0"/>
          <w:sz w:val="24"/>
          <w:szCs w:val="24"/>
          <w:lang w:val="en-US"/>
        </w:rPr>
        <w:t xml:space="preserve"> k</w:t>
      </w:r>
      <w:r w:rsidR="00402D99" w:rsidRPr="007720BC">
        <w:rPr>
          <w:rFonts w:ascii="Times New Roman" w:hAnsi="Times New Roman" w:cs="Times New Roman"/>
          <w:b w:val="0"/>
          <w:bCs w:val="0"/>
          <w:sz w:val="24"/>
          <w:szCs w:val="24"/>
        </w:rPr>
        <w:t xml:space="preserve">elembagaan lokal yang sesuai dengan potensi dan kebutuhan penanganan stunting yang ada di tingkat desa </w:t>
      </w:r>
      <w:r w:rsidR="00A02911" w:rsidRPr="007720BC">
        <w:rPr>
          <w:rFonts w:ascii="Times New Roman" w:hAnsi="Times New Roman" w:cs="Times New Roman"/>
          <w:b w:val="0"/>
          <w:bCs w:val="0"/>
          <w:sz w:val="24"/>
          <w:szCs w:val="24"/>
          <w:lang w:val="en-US"/>
        </w:rPr>
        <w:t xml:space="preserve">dan </w:t>
      </w:r>
      <w:proofErr w:type="spellStart"/>
      <w:r w:rsidR="00A02911" w:rsidRPr="007720BC">
        <w:rPr>
          <w:rFonts w:ascii="Times New Roman" w:hAnsi="Times New Roman" w:cs="Times New Roman"/>
          <w:b w:val="0"/>
          <w:bCs w:val="0"/>
          <w:sz w:val="24"/>
          <w:szCs w:val="24"/>
          <w:lang w:val="en-US"/>
        </w:rPr>
        <w:t>setidaknya</w:t>
      </w:r>
      <w:proofErr w:type="spellEnd"/>
      <w:r w:rsidR="00A02911" w:rsidRPr="007720BC">
        <w:rPr>
          <w:rFonts w:ascii="Times New Roman" w:hAnsi="Times New Roman" w:cs="Times New Roman"/>
          <w:b w:val="0"/>
          <w:bCs w:val="0"/>
          <w:sz w:val="24"/>
          <w:szCs w:val="24"/>
          <w:lang w:val="en-US"/>
        </w:rPr>
        <w:t xml:space="preserve"> </w:t>
      </w:r>
      <w:r w:rsidR="00402D99" w:rsidRPr="007720BC">
        <w:rPr>
          <w:rFonts w:ascii="Times New Roman" w:hAnsi="Times New Roman" w:cs="Times New Roman"/>
          <w:b w:val="0"/>
          <w:bCs w:val="0"/>
          <w:sz w:val="24"/>
          <w:szCs w:val="24"/>
        </w:rPr>
        <w:t xml:space="preserve">memiliki </w:t>
      </w:r>
      <w:r w:rsidR="00402D99" w:rsidRPr="007720BC">
        <w:rPr>
          <w:rFonts w:ascii="Times New Roman" w:hAnsi="Times New Roman" w:cs="Times New Roman"/>
          <w:b w:val="0"/>
          <w:bCs w:val="0"/>
          <w:sz w:val="24"/>
          <w:szCs w:val="24"/>
          <w:lang w:val="en-US"/>
        </w:rPr>
        <w:t xml:space="preserve">program </w:t>
      </w:r>
      <w:r w:rsidR="00A02911" w:rsidRPr="007720BC">
        <w:rPr>
          <w:rFonts w:ascii="Times New Roman" w:hAnsi="Times New Roman" w:cs="Times New Roman"/>
          <w:b w:val="0"/>
          <w:bCs w:val="0"/>
          <w:sz w:val="24"/>
          <w:szCs w:val="24"/>
        </w:rPr>
        <w:t xml:space="preserve">Dashat </w:t>
      </w:r>
      <w:r w:rsidR="00402D99" w:rsidRPr="007720BC">
        <w:rPr>
          <w:rFonts w:ascii="Times New Roman" w:hAnsi="Times New Roman" w:cs="Times New Roman"/>
          <w:b w:val="0"/>
          <w:bCs w:val="0"/>
          <w:sz w:val="24"/>
          <w:szCs w:val="24"/>
        </w:rPr>
        <w:t>di tingkat RW/Posyandu dalam upaya percepatan penurunan stunting</w:t>
      </w:r>
      <w:r w:rsidR="00402D99" w:rsidRPr="007720BC">
        <w:rPr>
          <w:rFonts w:ascii="Times New Roman" w:hAnsi="Times New Roman" w:cs="Times New Roman"/>
          <w:b w:val="0"/>
          <w:bCs w:val="0"/>
          <w:sz w:val="24"/>
          <w:szCs w:val="24"/>
          <w:lang w:val="en-US"/>
        </w:rPr>
        <w:t xml:space="preserve">. </w:t>
      </w:r>
      <w:r w:rsidRPr="007720BC">
        <w:rPr>
          <w:rFonts w:ascii="Times New Roman" w:hAnsi="Times New Roman" w:cs="Times New Roman"/>
          <w:b w:val="0"/>
          <w:bCs w:val="0"/>
          <w:sz w:val="24"/>
          <w:szCs w:val="24"/>
          <w:lang w:val="en-US"/>
        </w:rPr>
        <w:t xml:space="preserve">Adapun </w:t>
      </w:r>
      <w:proofErr w:type="spellStart"/>
      <w:r w:rsidRPr="007720BC">
        <w:rPr>
          <w:rFonts w:ascii="Times New Roman" w:hAnsi="Times New Roman" w:cs="Times New Roman"/>
          <w:b w:val="0"/>
          <w:bCs w:val="0"/>
          <w:sz w:val="24"/>
          <w:szCs w:val="24"/>
          <w:lang w:val="en-US"/>
        </w:rPr>
        <w:t>tujuan</w:t>
      </w:r>
      <w:proofErr w:type="spellEnd"/>
      <w:r w:rsidRPr="007720BC">
        <w:rPr>
          <w:rFonts w:ascii="Times New Roman" w:hAnsi="Times New Roman" w:cs="Times New Roman"/>
          <w:b w:val="0"/>
          <w:bCs w:val="0"/>
          <w:sz w:val="24"/>
          <w:szCs w:val="24"/>
          <w:lang w:val="en-US"/>
        </w:rPr>
        <w:t xml:space="preserve"> Kampung KB </w:t>
      </w:r>
      <w:proofErr w:type="spellStart"/>
      <w:r w:rsidRPr="007720BC">
        <w:rPr>
          <w:rFonts w:ascii="Times New Roman" w:hAnsi="Times New Roman" w:cs="Times New Roman"/>
          <w:b w:val="0"/>
          <w:bCs w:val="0"/>
          <w:sz w:val="24"/>
          <w:szCs w:val="24"/>
          <w:lang w:val="en-US"/>
        </w:rPr>
        <w:t>adalah</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untuk</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meningkatkan</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kualitas</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sumber</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daya</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manusia</w:t>
      </w:r>
      <w:proofErr w:type="spellEnd"/>
      <w:r w:rsidRPr="007720BC">
        <w:rPr>
          <w:rFonts w:ascii="Times New Roman" w:hAnsi="Times New Roman" w:cs="Times New Roman"/>
          <w:b w:val="0"/>
          <w:bCs w:val="0"/>
          <w:sz w:val="24"/>
          <w:szCs w:val="24"/>
          <w:lang w:val="en-US"/>
        </w:rPr>
        <w:t xml:space="preserve"> (SDM) dan </w:t>
      </w:r>
      <w:proofErr w:type="spellStart"/>
      <w:r w:rsidRPr="007720BC">
        <w:rPr>
          <w:rFonts w:ascii="Times New Roman" w:hAnsi="Times New Roman" w:cs="Times New Roman"/>
          <w:b w:val="0"/>
          <w:bCs w:val="0"/>
          <w:sz w:val="24"/>
          <w:szCs w:val="24"/>
          <w:lang w:val="en-US"/>
        </w:rPr>
        <w:t>memberdayakan</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serta</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memperkuat</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institusi</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keluarga</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melalui</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optimalisasi</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penyelenggaraan</w:t>
      </w:r>
      <w:proofErr w:type="spellEnd"/>
      <w:r w:rsidRPr="007720BC">
        <w:rPr>
          <w:rFonts w:ascii="Times New Roman" w:hAnsi="Times New Roman" w:cs="Times New Roman"/>
          <w:b w:val="0"/>
          <w:bCs w:val="0"/>
          <w:sz w:val="24"/>
          <w:szCs w:val="24"/>
          <w:lang w:val="en-US"/>
        </w:rPr>
        <w:t xml:space="preserve"> kampung </w:t>
      </w:r>
      <w:proofErr w:type="spellStart"/>
      <w:r w:rsidRPr="007720BC">
        <w:rPr>
          <w:rFonts w:ascii="Times New Roman" w:hAnsi="Times New Roman" w:cs="Times New Roman"/>
          <w:b w:val="0"/>
          <w:bCs w:val="0"/>
          <w:sz w:val="24"/>
          <w:szCs w:val="24"/>
          <w:lang w:val="en-US"/>
        </w:rPr>
        <w:t>keluarga</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berkualitas</w:t>
      </w:r>
      <w:proofErr w:type="spellEnd"/>
      <w:r w:rsidRPr="007720BC">
        <w:rPr>
          <w:rFonts w:ascii="Times New Roman" w:hAnsi="Times New Roman" w:cs="Times New Roman"/>
          <w:b w:val="0"/>
          <w:bCs w:val="0"/>
          <w:sz w:val="24"/>
          <w:szCs w:val="24"/>
          <w:lang w:val="en-US"/>
        </w:rPr>
        <w:t xml:space="preserve"> di </w:t>
      </w:r>
      <w:proofErr w:type="spellStart"/>
      <w:r w:rsidRPr="007720BC">
        <w:rPr>
          <w:rFonts w:ascii="Times New Roman" w:hAnsi="Times New Roman" w:cs="Times New Roman"/>
          <w:b w:val="0"/>
          <w:bCs w:val="0"/>
          <w:sz w:val="24"/>
          <w:szCs w:val="24"/>
          <w:lang w:val="en-US"/>
        </w:rPr>
        <w:t>setiap</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desa</w:t>
      </w:r>
      <w:proofErr w:type="spellEnd"/>
      <w:r w:rsidRPr="007720BC">
        <w:rPr>
          <w:rFonts w:ascii="Times New Roman" w:hAnsi="Times New Roman" w:cs="Times New Roman"/>
          <w:b w:val="0"/>
          <w:bCs w:val="0"/>
          <w:sz w:val="24"/>
          <w:szCs w:val="24"/>
          <w:lang w:val="en-US"/>
        </w:rPr>
        <w:t>/</w:t>
      </w:r>
      <w:proofErr w:type="spellStart"/>
      <w:r w:rsidRPr="007720BC">
        <w:rPr>
          <w:rFonts w:ascii="Times New Roman" w:hAnsi="Times New Roman" w:cs="Times New Roman"/>
          <w:b w:val="0"/>
          <w:bCs w:val="0"/>
          <w:sz w:val="24"/>
          <w:szCs w:val="24"/>
          <w:lang w:val="en-US"/>
        </w:rPr>
        <w:t>kelurahan</w:t>
      </w:r>
      <w:proofErr w:type="spellEnd"/>
      <w:r w:rsidRPr="007720BC">
        <w:rPr>
          <w:rFonts w:ascii="Times New Roman" w:hAnsi="Times New Roman" w:cs="Times New Roman"/>
          <w:b w:val="0"/>
          <w:bCs w:val="0"/>
          <w:sz w:val="24"/>
          <w:szCs w:val="24"/>
          <w:lang w:val="en-US"/>
        </w:rPr>
        <w:t>.</w:t>
      </w:r>
    </w:p>
    <w:p w14:paraId="328FB659" w14:textId="5AB05D19" w:rsidR="00EA1EDF" w:rsidRPr="007720BC" w:rsidRDefault="00A440FC" w:rsidP="00CB2900">
      <w:pPr>
        <w:pStyle w:val="Heading1"/>
        <w:ind w:left="0" w:right="0" w:firstLine="720"/>
        <w:contextualSpacing/>
        <w:jc w:val="both"/>
        <w:rPr>
          <w:rFonts w:ascii="Times New Roman" w:hAnsi="Times New Roman" w:cs="Times New Roman"/>
          <w:b w:val="0"/>
          <w:bCs w:val="0"/>
          <w:sz w:val="24"/>
          <w:szCs w:val="24"/>
          <w:lang w:val="en-US"/>
        </w:rPr>
      </w:pPr>
      <w:proofErr w:type="spellStart"/>
      <w:r w:rsidRPr="007720BC">
        <w:rPr>
          <w:rFonts w:ascii="Times New Roman" w:hAnsi="Times New Roman" w:cs="Times New Roman"/>
          <w:b w:val="0"/>
          <w:bCs w:val="0"/>
          <w:sz w:val="24"/>
          <w:szCs w:val="24"/>
          <w:lang w:val="en-US"/>
        </w:rPr>
        <w:t>Penerapan</w:t>
      </w:r>
      <w:proofErr w:type="spellEnd"/>
      <w:r w:rsidRPr="007720BC">
        <w:rPr>
          <w:rFonts w:ascii="Times New Roman" w:hAnsi="Times New Roman" w:cs="Times New Roman"/>
          <w:b w:val="0"/>
          <w:bCs w:val="0"/>
          <w:sz w:val="24"/>
          <w:szCs w:val="24"/>
          <w:lang w:val="en-US"/>
        </w:rPr>
        <w:t xml:space="preserve"> </w:t>
      </w:r>
      <w:r w:rsidR="00A02911" w:rsidRPr="007720BC">
        <w:rPr>
          <w:rFonts w:ascii="Times New Roman" w:hAnsi="Times New Roman" w:cs="Times New Roman"/>
          <w:b w:val="0"/>
          <w:bCs w:val="0"/>
          <w:sz w:val="24"/>
          <w:szCs w:val="24"/>
        </w:rPr>
        <w:t xml:space="preserve">Program Dapur Sehat Atasi Stunting (Dashat) </w:t>
      </w:r>
      <w:r w:rsidRPr="007720BC">
        <w:rPr>
          <w:rFonts w:ascii="Times New Roman" w:hAnsi="Times New Roman" w:cs="Times New Roman"/>
          <w:b w:val="0"/>
          <w:bCs w:val="0"/>
          <w:sz w:val="24"/>
          <w:szCs w:val="24"/>
          <w:lang w:val="en-US"/>
        </w:rPr>
        <w:t xml:space="preserve">di Kampung KB </w:t>
      </w:r>
      <w:proofErr w:type="spellStart"/>
      <w:r w:rsidRPr="007720BC">
        <w:rPr>
          <w:rFonts w:ascii="Times New Roman" w:hAnsi="Times New Roman" w:cs="Times New Roman"/>
          <w:b w:val="0"/>
          <w:bCs w:val="0"/>
          <w:sz w:val="24"/>
          <w:szCs w:val="24"/>
          <w:lang w:val="en-US"/>
        </w:rPr>
        <w:t>bertujuan</w:t>
      </w:r>
      <w:proofErr w:type="spellEnd"/>
      <w:r w:rsidRPr="007720BC">
        <w:rPr>
          <w:rFonts w:ascii="Times New Roman" w:hAnsi="Times New Roman" w:cs="Times New Roman"/>
          <w:b w:val="0"/>
          <w:bCs w:val="0"/>
          <w:sz w:val="24"/>
          <w:szCs w:val="24"/>
          <w:lang w:val="en-US"/>
        </w:rPr>
        <w:t xml:space="preserve"> </w:t>
      </w:r>
      <w:r w:rsidR="00264FD9" w:rsidRPr="007720BC">
        <w:rPr>
          <w:rFonts w:ascii="Times New Roman" w:hAnsi="Times New Roman" w:cs="Times New Roman"/>
          <w:b w:val="0"/>
          <w:bCs w:val="0"/>
          <w:sz w:val="24"/>
          <w:szCs w:val="24"/>
          <w:lang w:val="en-US"/>
        </w:rPr>
        <w:t>agar</w:t>
      </w:r>
      <w:r w:rsidRPr="007720BC">
        <w:rPr>
          <w:rFonts w:ascii="Times New Roman" w:hAnsi="Times New Roman" w:cs="Times New Roman"/>
          <w:b w:val="0"/>
          <w:bCs w:val="0"/>
          <w:sz w:val="24"/>
          <w:szCs w:val="24"/>
          <w:lang w:val="en-US"/>
        </w:rPr>
        <w:t xml:space="preserve"> </w:t>
      </w:r>
      <w:r w:rsidR="00A02911" w:rsidRPr="007720BC">
        <w:rPr>
          <w:rFonts w:ascii="Times New Roman" w:hAnsi="Times New Roman" w:cs="Times New Roman"/>
          <w:b w:val="0"/>
          <w:bCs w:val="0"/>
          <w:sz w:val="24"/>
          <w:szCs w:val="24"/>
        </w:rPr>
        <w:t>mampu mengubah pola</w:t>
      </w:r>
      <w:r w:rsidR="00EA1EDF" w:rsidRPr="007720BC">
        <w:rPr>
          <w:rFonts w:ascii="Times New Roman" w:hAnsi="Times New Roman" w:cs="Times New Roman"/>
          <w:b w:val="0"/>
          <w:bCs w:val="0"/>
          <w:sz w:val="24"/>
          <w:szCs w:val="24"/>
          <w:lang w:val="en-US"/>
        </w:rPr>
        <w:t xml:space="preserve"> </w:t>
      </w:r>
      <w:r w:rsidR="00A02911" w:rsidRPr="007720BC">
        <w:rPr>
          <w:rFonts w:ascii="Times New Roman" w:hAnsi="Times New Roman" w:cs="Times New Roman"/>
          <w:b w:val="0"/>
          <w:bCs w:val="0"/>
          <w:sz w:val="24"/>
          <w:szCs w:val="24"/>
        </w:rPr>
        <w:t>perilaku masyarakat</w:t>
      </w:r>
      <w:r w:rsidR="00A02911" w:rsidRPr="007720BC">
        <w:rPr>
          <w:rFonts w:ascii="Times New Roman" w:hAnsi="Times New Roman" w:cs="Times New Roman"/>
          <w:b w:val="0"/>
          <w:bCs w:val="0"/>
          <w:sz w:val="24"/>
          <w:szCs w:val="24"/>
          <w:lang w:val="en-US"/>
        </w:rPr>
        <w:t xml:space="preserve"> </w:t>
      </w:r>
      <w:r w:rsidR="00A02911" w:rsidRPr="007720BC">
        <w:rPr>
          <w:rFonts w:ascii="Times New Roman" w:hAnsi="Times New Roman" w:cs="Times New Roman"/>
          <w:b w:val="0"/>
          <w:bCs w:val="0"/>
          <w:sz w:val="24"/>
          <w:szCs w:val="24"/>
        </w:rPr>
        <w:t>dalam penyiapan gizi seimbang yang dimulai dari keluarga</w:t>
      </w:r>
      <w:r w:rsidR="00A02911" w:rsidRPr="007720BC">
        <w:rPr>
          <w:rFonts w:ascii="Times New Roman" w:hAnsi="Times New Roman" w:cs="Times New Roman"/>
          <w:b w:val="0"/>
          <w:bCs w:val="0"/>
          <w:sz w:val="24"/>
          <w:szCs w:val="24"/>
          <w:lang w:val="en-US"/>
        </w:rPr>
        <w:t xml:space="preserve">. </w:t>
      </w:r>
      <w:r w:rsidR="00A02911" w:rsidRPr="007720BC">
        <w:rPr>
          <w:rFonts w:ascii="Times New Roman" w:hAnsi="Times New Roman" w:cs="Times New Roman"/>
          <w:b w:val="0"/>
          <w:bCs w:val="0"/>
          <w:sz w:val="24"/>
          <w:szCs w:val="24"/>
        </w:rPr>
        <w:t>Jadi,</w:t>
      </w:r>
      <w:r w:rsidR="00EA1EDF" w:rsidRPr="007720BC">
        <w:rPr>
          <w:rFonts w:ascii="Times New Roman" w:hAnsi="Times New Roman" w:cs="Times New Roman"/>
          <w:b w:val="0"/>
          <w:bCs w:val="0"/>
          <w:sz w:val="24"/>
          <w:szCs w:val="24"/>
          <w:lang w:val="en-US"/>
        </w:rPr>
        <w:t xml:space="preserve"> </w:t>
      </w:r>
      <w:r w:rsidR="00A02911" w:rsidRPr="007720BC">
        <w:rPr>
          <w:rFonts w:ascii="Times New Roman" w:hAnsi="Times New Roman" w:cs="Times New Roman"/>
          <w:b w:val="0"/>
          <w:bCs w:val="0"/>
          <w:sz w:val="24"/>
          <w:szCs w:val="24"/>
        </w:rPr>
        <w:t>seluruh keluarga yang mem</w:t>
      </w:r>
      <w:r w:rsidR="00A02911" w:rsidRPr="007720BC">
        <w:rPr>
          <w:rFonts w:ascii="Times New Roman" w:hAnsi="Times New Roman" w:cs="Times New Roman"/>
          <w:b w:val="0"/>
          <w:bCs w:val="0"/>
          <w:sz w:val="24"/>
          <w:szCs w:val="24"/>
          <w:lang w:val="en-US"/>
        </w:rPr>
        <w:t>p</w:t>
      </w:r>
      <w:r w:rsidR="00A02911" w:rsidRPr="007720BC">
        <w:rPr>
          <w:rFonts w:ascii="Times New Roman" w:hAnsi="Times New Roman" w:cs="Times New Roman"/>
          <w:b w:val="0"/>
          <w:bCs w:val="0"/>
          <w:sz w:val="24"/>
          <w:szCs w:val="24"/>
        </w:rPr>
        <w:t xml:space="preserve">unyai risiko stunting, seperti ibu hamil, ibu menyusui, </w:t>
      </w:r>
      <w:r w:rsidRPr="007720BC">
        <w:rPr>
          <w:rFonts w:ascii="Times New Roman" w:hAnsi="Times New Roman" w:cs="Times New Roman"/>
          <w:b w:val="0"/>
          <w:bCs w:val="0"/>
          <w:sz w:val="24"/>
          <w:szCs w:val="24"/>
          <w:lang w:val="en-US"/>
        </w:rPr>
        <w:t>B</w:t>
      </w:r>
      <w:r w:rsidR="00A02911" w:rsidRPr="007720BC">
        <w:rPr>
          <w:rFonts w:ascii="Times New Roman" w:hAnsi="Times New Roman" w:cs="Times New Roman"/>
          <w:b w:val="0"/>
          <w:bCs w:val="0"/>
          <w:sz w:val="24"/>
          <w:szCs w:val="24"/>
        </w:rPr>
        <w:t>aduta</w:t>
      </w:r>
      <w:r w:rsidR="00EA1EDF" w:rsidRPr="007720BC">
        <w:rPr>
          <w:rFonts w:ascii="Times New Roman" w:hAnsi="Times New Roman" w:cs="Times New Roman"/>
          <w:b w:val="0"/>
          <w:bCs w:val="0"/>
          <w:sz w:val="24"/>
          <w:szCs w:val="24"/>
          <w:lang w:val="en-US"/>
        </w:rPr>
        <w:t xml:space="preserve"> </w:t>
      </w:r>
      <w:r w:rsidR="00A02911" w:rsidRPr="007720BC">
        <w:rPr>
          <w:rFonts w:ascii="Times New Roman" w:hAnsi="Times New Roman" w:cs="Times New Roman"/>
          <w:b w:val="0"/>
          <w:bCs w:val="0"/>
          <w:sz w:val="24"/>
          <w:szCs w:val="24"/>
        </w:rPr>
        <w:t xml:space="preserve">(balita di bawah dua tahun), </w:t>
      </w:r>
      <w:r w:rsidR="00AC2A93" w:rsidRPr="007720BC">
        <w:rPr>
          <w:rFonts w:ascii="Times New Roman" w:hAnsi="Times New Roman" w:cs="Times New Roman"/>
          <w:b w:val="0"/>
          <w:bCs w:val="0"/>
          <w:sz w:val="24"/>
          <w:szCs w:val="24"/>
          <w:lang w:val="en-US"/>
        </w:rPr>
        <w:t>B</w:t>
      </w:r>
      <w:r w:rsidR="00A02911" w:rsidRPr="007720BC">
        <w:rPr>
          <w:rFonts w:ascii="Times New Roman" w:hAnsi="Times New Roman" w:cs="Times New Roman"/>
          <w:b w:val="0"/>
          <w:bCs w:val="0"/>
          <w:sz w:val="24"/>
          <w:szCs w:val="24"/>
        </w:rPr>
        <w:t>alita stunting, terutama dari keluarga kurang mampu</w:t>
      </w:r>
      <w:r w:rsidR="00A02911" w:rsidRPr="007720BC">
        <w:rPr>
          <w:rFonts w:ascii="Times New Roman" w:hAnsi="Times New Roman" w:cs="Times New Roman"/>
          <w:b w:val="0"/>
          <w:bCs w:val="0"/>
          <w:sz w:val="24"/>
          <w:szCs w:val="24"/>
          <w:lang w:val="en-US"/>
        </w:rPr>
        <w:t xml:space="preserve"> </w:t>
      </w:r>
      <w:r w:rsidR="00A02911" w:rsidRPr="007720BC">
        <w:rPr>
          <w:rFonts w:ascii="Times New Roman" w:hAnsi="Times New Roman" w:cs="Times New Roman"/>
          <w:b w:val="0"/>
          <w:bCs w:val="0"/>
          <w:sz w:val="24"/>
          <w:szCs w:val="24"/>
        </w:rPr>
        <w:t>terpenuhi</w:t>
      </w:r>
      <w:r w:rsidR="00EA1EDF" w:rsidRPr="007720BC">
        <w:rPr>
          <w:rFonts w:ascii="Times New Roman" w:hAnsi="Times New Roman" w:cs="Times New Roman"/>
          <w:b w:val="0"/>
          <w:bCs w:val="0"/>
          <w:sz w:val="24"/>
          <w:szCs w:val="24"/>
          <w:lang w:val="en-US"/>
        </w:rPr>
        <w:t xml:space="preserve"> </w:t>
      </w:r>
      <w:r w:rsidR="00A02911" w:rsidRPr="007720BC">
        <w:rPr>
          <w:rFonts w:ascii="Times New Roman" w:hAnsi="Times New Roman" w:cs="Times New Roman"/>
          <w:b w:val="0"/>
          <w:bCs w:val="0"/>
          <w:sz w:val="24"/>
          <w:szCs w:val="24"/>
        </w:rPr>
        <w:t>gizinya melalui pemanfaatan sumber daya lokal, termasuk bahan pangan lokal yang dapa</w:t>
      </w:r>
      <w:r w:rsidR="00A02911" w:rsidRPr="007720BC">
        <w:rPr>
          <w:rFonts w:ascii="Times New Roman" w:hAnsi="Times New Roman" w:cs="Times New Roman"/>
          <w:b w:val="0"/>
          <w:bCs w:val="0"/>
          <w:sz w:val="24"/>
          <w:szCs w:val="24"/>
          <w:lang w:val="en-US"/>
        </w:rPr>
        <w:t>t</w:t>
      </w:r>
      <w:r w:rsidR="00EA1EDF" w:rsidRPr="007720BC">
        <w:rPr>
          <w:rFonts w:ascii="Times New Roman" w:hAnsi="Times New Roman" w:cs="Times New Roman"/>
          <w:b w:val="0"/>
          <w:bCs w:val="0"/>
          <w:sz w:val="24"/>
          <w:szCs w:val="24"/>
          <w:lang w:val="en-US"/>
        </w:rPr>
        <w:t xml:space="preserve"> </w:t>
      </w:r>
      <w:r w:rsidR="00A02911" w:rsidRPr="007720BC">
        <w:rPr>
          <w:rFonts w:ascii="Times New Roman" w:hAnsi="Times New Roman" w:cs="Times New Roman"/>
          <w:b w:val="0"/>
          <w:bCs w:val="0"/>
          <w:sz w:val="24"/>
          <w:szCs w:val="24"/>
        </w:rPr>
        <w:t xml:space="preserve">dipadukan dengan sumber daya dari mitra lainnya. </w:t>
      </w:r>
      <w:r w:rsidR="00EA1EDF" w:rsidRPr="007720BC">
        <w:rPr>
          <w:rFonts w:ascii="Times New Roman" w:hAnsi="Times New Roman" w:cs="Times New Roman"/>
          <w:b w:val="0"/>
          <w:bCs w:val="0"/>
          <w:sz w:val="24"/>
          <w:szCs w:val="24"/>
          <w:lang w:val="en-US"/>
        </w:rPr>
        <w:t xml:space="preserve"> </w:t>
      </w:r>
    </w:p>
    <w:p w14:paraId="663A902B" w14:textId="29248388" w:rsidR="00C76E11" w:rsidRPr="007720BC" w:rsidRDefault="009969CF" w:rsidP="00C76E11">
      <w:pPr>
        <w:pStyle w:val="Heading1"/>
        <w:ind w:left="0" w:right="0" w:firstLine="720"/>
        <w:contextualSpacing/>
        <w:jc w:val="both"/>
        <w:rPr>
          <w:rFonts w:ascii="Times New Roman" w:hAnsi="Times New Roman" w:cs="Times New Roman"/>
          <w:b w:val="0"/>
          <w:bCs w:val="0"/>
          <w:sz w:val="24"/>
          <w:szCs w:val="24"/>
          <w:lang w:val="en-US"/>
        </w:rPr>
      </w:pPr>
      <w:r w:rsidRPr="007720BC">
        <w:rPr>
          <w:rFonts w:ascii="Times New Roman" w:hAnsi="Times New Roman" w:cs="Times New Roman"/>
          <w:b w:val="0"/>
          <w:bCs w:val="0"/>
          <w:sz w:val="24"/>
          <w:szCs w:val="24"/>
          <w:lang w:val="en-ID" w:eastAsia="en-ID"/>
        </w:rPr>
        <w:lastRenderedPageBreak/>
        <w:t xml:space="preserve">Desa </w:t>
      </w:r>
      <w:proofErr w:type="spellStart"/>
      <w:r w:rsidRPr="007720BC">
        <w:rPr>
          <w:rFonts w:ascii="Times New Roman" w:hAnsi="Times New Roman" w:cs="Times New Roman"/>
          <w:b w:val="0"/>
          <w:bCs w:val="0"/>
          <w:sz w:val="24"/>
          <w:szCs w:val="24"/>
          <w:lang w:val="en-ID" w:eastAsia="en-ID"/>
        </w:rPr>
        <w:t>Mongpok</w:t>
      </w:r>
      <w:proofErr w:type="spellEnd"/>
      <w:r w:rsidRPr="007720BC">
        <w:rPr>
          <w:rFonts w:ascii="Times New Roman" w:hAnsi="Times New Roman" w:cs="Times New Roman"/>
          <w:b w:val="0"/>
          <w:bCs w:val="0"/>
          <w:sz w:val="24"/>
          <w:szCs w:val="24"/>
          <w:lang w:val="en-ID" w:eastAsia="en-ID"/>
        </w:rPr>
        <w:t xml:space="preserve"> yang </w:t>
      </w:r>
      <w:proofErr w:type="spellStart"/>
      <w:r w:rsidRPr="007720BC">
        <w:rPr>
          <w:rFonts w:ascii="Times New Roman" w:hAnsi="Times New Roman" w:cs="Times New Roman"/>
          <w:b w:val="0"/>
          <w:bCs w:val="0"/>
          <w:sz w:val="24"/>
          <w:szCs w:val="24"/>
          <w:lang w:val="en-ID" w:eastAsia="en-ID"/>
        </w:rPr>
        <w:t>terletak</w:t>
      </w:r>
      <w:proofErr w:type="spellEnd"/>
      <w:r w:rsidRPr="007720BC">
        <w:rPr>
          <w:rFonts w:ascii="Times New Roman" w:hAnsi="Times New Roman" w:cs="Times New Roman"/>
          <w:b w:val="0"/>
          <w:bCs w:val="0"/>
          <w:sz w:val="24"/>
          <w:szCs w:val="24"/>
          <w:lang w:val="en-ID" w:eastAsia="en-ID"/>
        </w:rPr>
        <w:t xml:space="preserve"> di </w:t>
      </w:r>
      <w:proofErr w:type="spellStart"/>
      <w:r w:rsidRPr="007720BC">
        <w:rPr>
          <w:rFonts w:ascii="Times New Roman" w:hAnsi="Times New Roman" w:cs="Times New Roman"/>
          <w:b w:val="0"/>
          <w:bCs w:val="0"/>
          <w:sz w:val="24"/>
          <w:szCs w:val="24"/>
          <w:lang w:val="en-ID" w:eastAsia="en-ID"/>
        </w:rPr>
        <w:t>Kecamatan</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Cikeusal</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Kabupaten</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Serang</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merupakan</w:t>
      </w:r>
      <w:proofErr w:type="spellEnd"/>
      <w:r w:rsidRPr="007720BC">
        <w:rPr>
          <w:rFonts w:ascii="Times New Roman" w:hAnsi="Times New Roman" w:cs="Times New Roman"/>
          <w:b w:val="0"/>
          <w:bCs w:val="0"/>
          <w:sz w:val="24"/>
          <w:szCs w:val="24"/>
          <w:lang w:val="en-ID" w:eastAsia="en-ID"/>
        </w:rPr>
        <w:t xml:space="preserve"> salah </w:t>
      </w:r>
      <w:proofErr w:type="spellStart"/>
      <w:r w:rsidRPr="007720BC">
        <w:rPr>
          <w:rFonts w:ascii="Times New Roman" w:hAnsi="Times New Roman" w:cs="Times New Roman"/>
          <w:b w:val="0"/>
          <w:bCs w:val="0"/>
          <w:sz w:val="24"/>
          <w:szCs w:val="24"/>
          <w:lang w:val="en-ID" w:eastAsia="en-ID"/>
        </w:rPr>
        <w:t>satu</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ID" w:eastAsia="en-ID"/>
        </w:rPr>
        <w:t>desa</w:t>
      </w:r>
      <w:proofErr w:type="spellEnd"/>
      <w:r w:rsidRPr="007720BC">
        <w:rPr>
          <w:rFonts w:ascii="Times New Roman" w:hAnsi="Times New Roman" w:cs="Times New Roman"/>
          <w:b w:val="0"/>
          <w:bCs w:val="0"/>
          <w:sz w:val="24"/>
          <w:szCs w:val="24"/>
          <w:lang w:val="en-ID" w:eastAsia="en-ID"/>
        </w:rPr>
        <w:t xml:space="preserve"> </w:t>
      </w:r>
      <w:proofErr w:type="spellStart"/>
      <w:r w:rsidRPr="007720BC">
        <w:rPr>
          <w:rFonts w:ascii="Times New Roman" w:hAnsi="Times New Roman" w:cs="Times New Roman"/>
          <w:b w:val="0"/>
          <w:bCs w:val="0"/>
          <w:sz w:val="24"/>
          <w:szCs w:val="24"/>
          <w:lang w:val="en-US"/>
        </w:rPr>
        <w:t>dari</w:t>
      </w:r>
      <w:proofErr w:type="spellEnd"/>
      <w:r w:rsidRPr="007720BC">
        <w:rPr>
          <w:rFonts w:ascii="Times New Roman" w:hAnsi="Times New Roman" w:cs="Times New Roman"/>
          <w:b w:val="0"/>
          <w:bCs w:val="0"/>
          <w:sz w:val="24"/>
          <w:szCs w:val="24"/>
          <w:lang w:val="en-US"/>
        </w:rPr>
        <w:t xml:space="preserve"> 326 </w:t>
      </w:r>
      <w:proofErr w:type="spellStart"/>
      <w:r w:rsidRPr="007720BC">
        <w:rPr>
          <w:rFonts w:ascii="Times New Roman" w:hAnsi="Times New Roman" w:cs="Times New Roman"/>
          <w:b w:val="0"/>
          <w:bCs w:val="0"/>
          <w:sz w:val="24"/>
          <w:szCs w:val="24"/>
          <w:lang w:val="en-US"/>
        </w:rPr>
        <w:t>desa</w:t>
      </w:r>
      <w:proofErr w:type="spellEnd"/>
      <w:r w:rsidRPr="007720BC">
        <w:rPr>
          <w:rFonts w:ascii="Times New Roman" w:hAnsi="Times New Roman" w:cs="Times New Roman"/>
          <w:b w:val="0"/>
          <w:bCs w:val="0"/>
          <w:sz w:val="24"/>
          <w:szCs w:val="24"/>
          <w:lang w:val="en-US"/>
        </w:rPr>
        <w:t xml:space="preserve"> dan 29 </w:t>
      </w:r>
      <w:proofErr w:type="spellStart"/>
      <w:r w:rsidRPr="007720BC">
        <w:rPr>
          <w:rFonts w:ascii="Times New Roman" w:hAnsi="Times New Roman" w:cs="Times New Roman"/>
          <w:b w:val="0"/>
          <w:bCs w:val="0"/>
          <w:sz w:val="24"/>
          <w:szCs w:val="24"/>
          <w:lang w:val="en-US"/>
        </w:rPr>
        <w:t>Kecamatan</w:t>
      </w:r>
      <w:proofErr w:type="spellEnd"/>
      <w:r w:rsidRPr="007720BC">
        <w:rPr>
          <w:rFonts w:ascii="Times New Roman" w:hAnsi="Times New Roman" w:cs="Times New Roman"/>
          <w:b w:val="0"/>
          <w:bCs w:val="0"/>
          <w:sz w:val="24"/>
          <w:szCs w:val="24"/>
          <w:lang w:val="en-US"/>
        </w:rPr>
        <w:t xml:space="preserve"> di </w:t>
      </w:r>
      <w:proofErr w:type="spellStart"/>
      <w:r w:rsidRPr="007720BC">
        <w:rPr>
          <w:rFonts w:ascii="Times New Roman" w:hAnsi="Times New Roman" w:cs="Times New Roman"/>
          <w:b w:val="0"/>
          <w:bCs w:val="0"/>
          <w:sz w:val="24"/>
          <w:szCs w:val="24"/>
          <w:lang w:val="en-US"/>
        </w:rPr>
        <w:t>Kabupaten</w:t>
      </w:r>
      <w:proofErr w:type="spellEnd"/>
      <w:r w:rsidRPr="007720BC">
        <w:rPr>
          <w:rFonts w:ascii="Times New Roman" w:hAnsi="Times New Roman" w:cs="Times New Roman"/>
          <w:b w:val="0"/>
          <w:bCs w:val="0"/>
          <w:sz w:val="24"/>
          <w:szCs w:val="24"/>
          <w:lang w:val="en-US"/>
        </w:rPr>
        <w:t xml:space="preserve"> </w:t>
      </w:r>
      <w:r w:rsidRPr="007720BC">
        <w:rPr>
          <w:rFonts w:ascii="Times New Roman" w:hAnsi="Times New Roman" w:cs="Times New Roman"/>
          <w:b w:val="0"/>
          <w:bCs w:val="0"/>
          <w:sz w:val="24"/>
          <w:szCs w:val="24"/>
        </w:rPr>
        <w:t>Serang</w:t>
      </w:r>
      <w:r w:rsidRPr="007720BC">
        <w:rPr>
          <w:rFonts w:ascii="Times New Roman" w:hAnsi="Times New Roman" w:cs="Times New Roman"/>
          <w:b w:val="0"/>
          <w:bCs w:val="0"/>
          <w:sz w:val="24"/>
          <w:szCs w:val="24"/>
          <w:lang w:val="en-US"/>
        </w:rPr>
        <w:t xml:space="preserve"> yang </w:t>
      </w:r>
      <w:proofErr w:type="spellStart"/>
      <w:r w:rsidR="000A23ED" w:rsidRPr="007720BC">
        <w:rPr>
          <w:rFonts w:ascii="Times New Roman" w:hAnsi="Times New Roman" w:cs="Times New Roman"/>
          <w:b w:val="0"/>
          <w:bCs w:val="0"/>
          <w:sz w:val="24"/>
          <w:szCs w:val="24"/>
          <w:lang w:val="en-US"/>
        </w:rPr>
        <w:t>telah</w:t>
      </w:r>
      <w:proofErr w:type="spellEnd"/>
      <w:r w:rsidR="000A23ED" w:rsidRPr="007720BC">
        <w:rPr>
          <w:rFonts w:ascii="Times New Roman" w:hAnsi="Times New Roman" w:cs="Times New Roman"/>
          <w:b w:val="0"/>
          <w:bCs w:val="0"/>
          <w:sz w:val="24"/>
          <w:szCs w:val="24"/>
          <w:lang w:val="en-US"/>
        </w:rPr>
        <w:t xml:space="preserve"> </w:t>
      </w:r>
      <w:proofErr w:type="spellStart"/>
      <w:r w:rsidR="000A23ED" w:rsidRPr="007720BC">
        <w:rPr>
          <w:rFonts w:ascii="Times New Roman" w:hAnsi="Times New Roman" w:cs="Times New Roman"/>
          <w:b w:val="0"/>
          <w:bCs w:val="0"/>
          <w:sz w:val="24"/>
          <w:szCs w:val="24"/>
          <w:lang w:val="en-US"/>
        </w:rPr>
        <w:t>mengimplementasikan</w:t>
      </w:r>
      <w:proofErr w:type="spellEnd"/>
      <w:r w:rsidR="000A23ED" w:rsidRPr="007720BC">
        <w:rPr>
          <w:rFonts w:ascii="Times New Roman" w:hAnsi="Times New Roman" w:cs="Times New Roman"/>
          <w:b w:val="0"/>
          <w:bCs w:val="0"/>
          <w:sz w:val="24"/>
          <w:szCs w:val="24"/>
          <w:lang w:val="en-US"/>
        </w:rPr>
        <w:t xml:space="preserve"> K</w:t>
      </w:r>
      <w:r w:rsidRPr="007720BC">
        <w:rPr>
          <w:rFonts w:ascii="Times New Roman" w:hAnsi="Times New Roman" w:cs="Times New Roman"/>
          <w:b w:val="0"/>
          <w:bCs w:val="0"/>
          <w:sz w:val="24"/>
          <w:szCs w:val="24"/>
          <w:lang w:val="en-US"/>
        </w:rPr>
        <w:t xml:space="preserve">ampung </w:t>
      </w:r>
      <w:r w:rsidRPr="007720BC">
        <w:rPr>
          <w:rFonts w:ascii="Times New Roman" w:hAnsi="Times New Roman" w:cs="Times New Roman"/>
          <w:b w:val="0"/>
          <w:bCs w:val="0"/>
          <w:sz w:val="24"/>
          <w:szCs w:val="24"/>
        </w:rPr>
        <w:t>Keluarga Berkualitas (KB)</w:t>
      </w:r>
      <w:r w:rsidRPr="007720BC">
        <w:rPr>
          <w:rFonts w:ascii="Times New Roman" w:hAnsi="Times New Roman" w:cs="Times New Roman"/>
          <w:b w:val="0"/>
          <w:bCs w:val="0"/>
          <w:sz w:val="24"/>
          <w:szCs w:val="24"/>
          <w:lang w:val="en-US"/>
        </w:rPr>
        <w:t xml:space="preserve"> dan </w:t>
      </w:r>
      <w:proofErr w:type="spellStart"/>
      <w:r w:rsidRPr="007720BC">
        <w:rPr>
          <w:rFonts w:ascii="Times New Roman" w:hAnsi="Times New Roman" w:cs="Times New Roman"/>
          <w:b w:val="0"/>
          <w:bCs w:val="0"/>
          <w:sz w:val="24"/>
          <w:szCs w:val="24"/>
          <w:lang w:val="en-US"/>
        </w:rPr>
        <w:t>sejak</w:t>
      </w:r>
      <w:proofErr w:type="spellEnd"/>
      <w:r w:rsidRPr="007720BC">
        <w:rPr>
          <w:rFonts w:ascii="Times New Roman" w:hAnsi="Times New Roman" w:cs="Times New Roman"/>
          <w:b w:val="0"/>
          <w:bCs w:val="0"/>
          <w:sz w:val="24"/>
          <w:szCs w:val="24"/>
          <w:lang w:val="en-US"/>
        </w:rPr>
        <w:t xml:space="preserve"> </w:t>
      </w:r>
      <w:proofErr w:type="spellStart"/>
      <w:r w:rsidRPr="007720BC">
        <w:rPr>
          <w:rFonts w:ascii="Times New Roman" w:hAnsi="Times New Roman" w:cs="Times New Roman"/>
          <w:b w:val="0"/>
          <w:bCs w:val="0"/>
          <w:sz w:val="24"/>
          <w:szCs w:val="24"/>
          <w:lang w:val="en-US"/>
        </w:rPr>
        <w:t>tahun</w:t>
      </w:r>
      <w:proofErr w:type="spellEnd"/>
      <w:r w:rsidRPr="007720BC">
        <w:rPr>
          <w:rFonts w:ascii="Times New Roman" w:hAnsi="Times New Roman" w:cs="Times New Roman"/>
          <w:b w:val="0"/>
          <w:bCs w:val="0"/>
          <w:sz w:val="24"/>
          <w:szCs w:val="24"/>
          <w:lang w:val="en-US"/>
        </w:rPr>
        <w:t xml:space="preserve"> 2022 m</w:t>
      </w:r>
      <w:r w:rsidRPr="007720BC">
        <w:rPr>
          <w:rFonts w:ascii="Times New Roman" w:hAnsi="Times New Roman" w:cs="Times New Roman"/>
          <w:b w:val="0"/>
          <w:bCs w:val="0"/>
          <w:sz w:val="24"/>
          <w:szCs w:val="24"/>
        </w:rPr>
        <w:t xml:space="preserve">emfokuskan pada isu </w:t>
      </w:r>
      <w:proofErr w:type="spellStart"/>
      <w:r w:rsidR="000A23ED" w:rsidRPr="007720BC">
        <w:rPr>
          <w:rFonts w:ascii="Times New Roman" w:hAnsi="Times New Roman" w:cs="Times New Roman"/>
          <w:b w:val="0"/>
          <w:bCs w:val="0"/>
          <w:sz w:val="24"/>
          <w:szCs w:val="24"/>
          <w:lang w:val="en-US"/>
        </w:rPr>
        <w:t>percepatan</w:t>
      </w:r>
      <w:proofErr w:type="spellEnd"/>
      <w:r w:rsidR="000A23ED" w:rsidRPr="007720BC">
        <w:rPr>
          <w:rFonts w:ascii="Times New Roman" w:hAnsi="Times New Roman" w:cs="Times New Roman"/>
          <w:b w:val="0"/>
          <w:bCs w:val="0"/>
          <w:sz w:val="24"/>
          <w:szCs w:val="24"/>
          <w:lang w:val="en-US"/>
        </w:rPr>
        <w:t xml:space="preserve"> </w:t>
      </w:r>
      <w:proofErr w:type="spellStart"/>
      <w:r w:rsidR="000A23ED" w:rsidRPr="007720BC">
        <w:rPr>
          <w:rFonts w:ascii="Times New Roman" w:hAnsi="Times New Roman" w:cs="Times New Roman"/>
          <w:b w:val="0"/>
          <w:bCs w:val="0"/>
          <w:sz w:val="24"/>
          <w:szCs w:val="24"/>
          <w:lang w:val="en-US"/>
        </w:rPr>
        <w:t>penurunan</w:t>
      </w:r>
      <w:proofErr w:type="spellEnd"/>
      <w:r w:rsidRPr="007720BC">
        <w:rPr>
          <w:rFonts w:ascii="Times New Roman" w:hAnsi="Times New Roman" w:cs="Times New Roman"/>
          <w:b w:val="0"/>
          <w:bCs w:val="0"/>
          <w:sz w:val="24"/>
          <w:szCs w:val="24"/>
          <w:lang w:val="en-US"/>
        </w:rPr>
        <w:t xml:space="preserve"> stunting </w:t>
      </w:r>
      <w:proofErr w:type="spellStart"/>
      <w:r w:rsidRPr="007720BC">
        <w:rPr>
          <w:rFonts w:ascii="Times New Roman" w:hAnsi="Times New Roman" w:cs="Times New Roman"/>
          <w:b w:val="0"/>
          <w:bCs w:val="0"/>
          <w:sz w:val="24"/>
          <w:szCs w:val="24"/>
          <w:lang w:val="en-US"/>
        </w:rPr>
        <w:t>melalui</w:t>
      </w:r>
      <w:proofErr w:type="spellEnd"/>
      <w:r w:rsidRPr="007720BC">
        <w:rPr>
          <w:rFonts w:ascii="Times New Roman" w:hAnsi="Times New Roman" w:cs="Times New Roman"/>
          <w:b w:val="0"/>
          <w:bCs w:val="0"/>
          <w:sz w:val="24"/>
          <w:szCs w:val="24"/>
          <w:lang w:val="en-US"/>
        </w:rPr>
        <w:t xml:space="preserve"> Program </w:t>
      </w:r>
      <w:proofErr w:type="spellStart"/>
      <w:r w:rsidRPr="007720BC">
        <w:rPr>
          <w:rFonts w:ascii="Times New Roman" w:hAnsi="Times New Roman" w:cs="Times New Roman"/>
          <w:b w:val="0"/>
          <w:bCs w:val="0"/>
          <w:sz w:val="24"/>
          <w:szCs w:val="24"/>
          <w:lang w:val="en-US"/>
        </w:rPr>
        <w:t>Dashat</w:t>
      </w:r>
      <w:proofErr w:type="spellEnd"/>
      <w:r w:rsidRPr="007720BC">
        <w:rPr>
          <w:rFonts w:ascii="Times New Roman" w:hAnsi="Times New Roman" w:cs="Times New Roman"/>
          <w:b w:val="0"/>
          <w:bCs w:val="0"/>
          <w:sz w:val="24"/>
          <w:szCs w:val="24"/>
          <w:lang w:val="en-US"/>
        </w:rPr>
        <w:t xml:space="preserve">. </w:t>
      </w:r>
      <w:r w:rsidR="00C76E11" w:rsidRPr="007720BC">
        <w:rPr>
          <w:rFonts w:ascii="Times New Roman" w:hAnsi="Times New Roman" w:cs="Times New Roman"/>
          <w:b w:val="0"/>
          <w:bCs w:val="0"/>
          <w:sz w:val="24"/>
          <w:szCs w:val="24"/>
          <w:lang w:eastAsia="en-ID"/>
        </w:rPr>
        <w:t xml:space="preserve">Berikut ini adalah rekapitulasi kelompok sasaran Keluarga Resiko Stunting (KRS) di Kecamatan Cikeusal Kabupaten Serang </w:t>
      </w:r>
    </w:p>
    <w:p w14:paraId="6FB9B169" w14:textId="77777777" w:rsidR="00C76E11" w:rsidRPr="007720BC" w:rsidRDefault="00C76E11" w:rsidP="00C76E11">
      <w:pPr>
        <w:pStyle w:val="BodyText"/>
        <w:contextualSpacing/>
        <w:jc w:val="center"/>
        <w:rPr>
          <w:b/>
          <w:bCs/>
          <w:sz w:val="20"/>
          <w:szCs w:val="20"/>
          <w:lang w:val="en-US"/>
        </w:rPr>
      </w:pPr>
      <w:r w:rsidRPr="007720BC">
        <w:rPr>
          <w:b/>
          <w:bCs/>
          <w:sz w:val="20"/>
          <w:szCs w:val="20"/>
          <w:lang w:val="en-US"/>
        </w:rPr>
        <w:t xml:space="preserve">Tabel 2. </w:t>
      </w:r>
    </w:p>
    <w:p w14:paraId="41D809A6" w14:textId="77777777" w:rsidR="00C76E11" w:rsidRPr="007720BC" w:rsidRDefault="00C76E11" w:rsidP="00C76E11">
      <w:pPr>
        <w:pStyle w:val="BodyText"/>
        <w:contextualSpacing/>
        <w:jc w:val="center"/>
        <w:rPr>
          <w:b/>
          <w:bCs/>
          <w:sz w:val="20"/>
          <w:szCs w:val="20"/>
          <w:lang w:val="en-US"/>
        </w:rPr>
      </w:pPr>
      <w:proofErr w:type="spellStart"/>
      <w:r w:rsidRPr="007720BC">
        <w:rPr>
          <w:b/>
          <w:bCs/>
          <w:sz w:val="20"/>
          <w:szCs w:val="20"/>
          <w:lang w:val="en-US"/>
        </w:rPr>
        <w:t>Rekapitulasi</w:t>
      </w:r>
      <w:proofErr w:type="spellEnd"/>
      <w:r w:rsidRPr="007720BC">
        <w:rPr>
          <w:b/>
          <w:bCs/>
          <w:sz w:val="20"/>
          <w:szCs w:val="20"/>
          <w:lang w:val="en-US"/>
        </w:rPr>
        <w:t xml:space="preserve"> </w:t>
      </w:r>
      <w:proofErr w:type="spellStart"/>
      <w:r w:rsidRPr="007720BC">
        <w:rPr>
          <w:b/>
          <w:bCs/>
          <w:sz w:val="20"/>
          <w:szCs w:val="20"/>
          <w:lang w:val="en-US"/>
        </w:rPr>
        <w:t>Sasaran</w:t>
      </w:r>
      <w:proofErr w:type="spellEnd"/>
      <w:r w:rsidRPr="007720BC">
        <w:rPr>
          <w:b/>
          <w:bCs/>
          <w:sz w:val="20"/>
          <w:szCs w:val="20"/>
          <w:lang w:val="en-US"/>
        </w:rPr>
        <w:t xml:space="preserve"> </w:t>
      </w:r>
      <w:proofErr w:type="spellStart"/>
      <w:r w:rsidRPr="007720BC">
        <w:rPr>
          <w:b/>
          <w:bCs/>
          <w:sz w:val="20"/>
          <w:szCs w:val="20"/>
          <w:lang w:val="en-US"/>
        </w:rPr>
        <w:t>Keluarga</w:t>
      </w:r>
      <w:proofErr w:type="spellEnd"/>
      <w:r w:rsidRPr="007720BC">
        <w:rPr>
          <w:b/>
          <w:bCs/>
          <w:sz w:val="20"/>
          <w:szCs w:val="20"/>
          <w:lang w:val="en-US"/>
        </w:rPr>
        <w:t xml:space="preserve"> </w:t>
      </w:r>
      <w:proofErr w:type="spellStart"/>
      <w:r w:rsidRPr="007720BC">
        <w:rPr>
          <w:b/>
          <w:bCs/>
          <w:sz w:val="20"/>
          <w:szCs w:val="20"/>
          <w:lang w:val="en-US"/>
        </w:rPr>
        <w:t>Resiko</w:t>
      </w:r>
      <w:proofErr w:type="spellEnd"/>
      <w:r w:rsidRPr="007720BC">
        <w:rPr>
          <w:b/>
          <w:bCs/>
          <w:sz w:val="20"/>
          <w:szCs w:val="20"/>
          <w:lang w:val="en-US"/>
        </w:rPr>
        <w:t xml:space="preserve"> Stunting</w:t>
      </w:r>
    </w:p>
    <w:p w14:paraId="17F6EC90" w14:textId="77777777" w:rsidR="00C76E11" w:rsidRPr="007720BC" w:rsidRDefault="00C76E11" w:rsidP="00C76E11">
      <w:pPr>
        <w:pStyle w:val="BodyText"/>
        <w:contextualSpacing/>
        <w:jc w:val="center"/>
        <w:rPr>
          <w:b/>
          <w:bCs/>
          <w:sz w:val="20"/>
          <w:szCs w:val="20"/>
          <w:lang w:val="en-US"/>
        </w:rPr>
      </w:pPr>
      <w:r w:rsidRPr="007720BC">
        <w:rPr>
          <w:b/>
          <w:bCs/>
          <w:sz w:val="20"/>
          <w:szCs w:val="20"/>
          <w:lang w:val="en-US"/>
        </w:rPr>
        <w:t xml:space="preserve">(Hasil </w:t>
      </w:r>
      <w:proofErr w:type="spellStart"/>
      <w:r w:rsidRPr="007720BC">
        <w:rPr>
          <w:b/>
          <w:bCs/>
          <w:sz w:val="20"/>
          <w:szCs w:val="20"/>
          <w:lang w:val="en-US"/>
        </w:rPr>
        <w:t>Pemutakhiran</w:t>
      </w:r>
      <w:proofErr w:type="spellEnd"/>
      <w:r w:rsidRPr="007720BC">
        <w:rPr>
          <w:b/>
          <w:bCs/>
          <w:sz w:val="20"/>
          <w:szCs w:val="20"/>
          <w:lang w:val="en-US"/>
        </w:rPr>
        <w:t xml:space="preserve">, </w:t>
      </w:r>
      <w:proofErr w:type="spellStart"/>
      <w:r w:rsidRPr="007720BC">
        <w:rPr>
          <w:b/>
          <w:bCs/>
          <w:sz w:val="20"/>
          <w:szCs w:val="20"/>
          <w:lang w:val="en-US"/>
        </w:rPr>
        <w:t>Verifikasi</w:t>
      </w:r>
      <w:proofErr w:type="spellEnd"/>
      <w:r w:rsidRPr="007720BC">
        <w:rPr>
          <w:b/>
          <w:bCs/>
          <w:sz w:val="20"/>
          <w:szCs w:val="20"/>
          <w:lang w:val="en-US"/>
        </w:rPr>
        <w:t xml:space="preserve"> dan Validasi) </w:t>
      </w:r>
      <w:proofErr w:type="spellStart"/>
      <w:r w:rsidRPr="007720BC">
        <w:rPr>
          <w:b/>
          <w:bCs/>
          <w:sz w:val="20"/>
          <w:szCs w:val="20"/>
          <w:lang w:val="en-US"/>
        </w:rPr>
        <w:t>Tahun</w:t>
      </w:r>
      <w:proofErr w:type="spellEnd"/>
      <w:r w:rsidRPr="007720BC">
        <w:rPr>
          <w:b/>
          <w:bCs/>
          <w:sz w:val="20"/>
          <w:szCs w:val="20"/>
          <w:lang w:val="en-US"/>
        </w:rPr>
        <w:t xml:space="preserve"> 2022</w:t>
      </w:r>
    </w:p>
    <w:tbl>
      <w:tblPr>
        <w:tblStyle w:val="TableGrid"/>
        <w:tblW w:w="85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2"/>
        <w:gridCol w:w="2099"/>
        <w:gridCol w:w="2268"/>
        <w:gridCol w:w="1206"/>
        <w:gridCol w:w="1204"/>
      </w:tblGrid>
      <w:tr w:rsidR="007720BC" w:rsidRPr="007720BC" w14:paraId="0BC0EF5B" w14:textId="77777777" w:rsidTr="00472C6A">
        <w:tc>
          <w:tcPr>
            <w:tcW w:w="1762" w:type="dxa"/>
            <w:vMerge w:val="restart"/>
            <w:tcBorders>
              <w:top w:val="single" w:sz="4" w:space="0" w:color="auto"/>
            </w:tcBorders>
          </w:tcPr>
          <w:p w14:paraId="76DE202F" w14:textId="77777777" w:rsidR="00C76E11" w:rsidRPr="007720BC" w:rsidRDefault="00C76E11" w:rsidP="00472C6A">
            <w:pPr>
              <w:pStyle w:val="BodyText"/>
              <w:contextualSpacing/>
              <w:jc w:val="center"/>
              <w:rPr>
                <w:b/>
                <w:bCs/>
                <w:sz w:val="20"/>
                <w:szCs w:val="20"/>
                <w:lang w:val="en-US"/>
              </w:rPr>
            </w:pPr>
          </w:p>
          <w:p w14:paraId="42859D0A" w14:textId="77777777" w:rsidR="00C76E11" w:rsidRPr="007720BC" w:rsidRDefault="00C76E11" w:rsidP="00472C6A">
            <w:pPr>
              <w:pStyle w:val="BodyText"/>
              <w:contextualSpacing/>
              <w:jc w:val="center"/>
              <w:rPr>
                <w:b/>
                <w:bCs/>
                <w:sz w:val="20"/>
                <w:szCs w:val="20"/>
                <w:lang w:val="en-US"/>
              </w:rPr>
            </w:pPr>
          </w:p>
          <w:p w14:paraId="1AE66D1D" w14:textId="77777777" w:rsidR="00C76E11" w:rsidRPr="007720BC" w:rsidRDefault="00C76E11" w:rsidP="00472C6A">
            <w:pPr>
              <w:pStyle w:val="BodyText"/>
              <w:contextualSpacing/>
              <w:jc w:val="center"/>
              <w:rPr>
                <w:b/>
                <w:bCs/>
                <w:sz w:val="20"/>
                <w:szCs w:val="20"/>
                <w:lang w:val="en-US"/>
              </w:rPr>
            </w:pPr>
            <w:r w:rsidRPr="007720BC">
              <w:rPr>
                <w:b/>
                <w:bCs/>
                <w:sz w:val="20"/>
                <w:szCs w:val="20"/>
                <w:lang w:val="en-US"/>
              </w:rPr>
              <w:t>Nama Desa</w:t>
            </w:r>
          </w:p>
        </w:tc>
        <w:tc>
          <w:tcPr>
            <w:tcW w:w="6777" w:type="dxa"/>
            <w:gridSpan w:val="4"/>
            <w:tcBorders>
              <w:top w:val="single" w:sz="4" w:space="0" w:color="auto"/>
              <w:bottom w:val="single" w:sz="4" w:space="0" w:color="auto"/>
            </w:tcBorders>
          </w:tcPr>
          <w:p w14:paraId="14F4BB44" w14:textId="77777777" w:rsidR="00C76E11" w:rsidRPr="007720BC" w:rsidRDefault="00C76E11" w:rsidP="00472C6A">
            <w:pPr>
              <w:pStyle w:val="BodyText"/>
              <w:contextualSpacing/>
              <w:jc w:val="center"/>
              <w:rPr>
                <w:b/>
                <w:bCs/>
                <w:sz w:val="20"/>
                <w:szCs w:val="20"/>
                <w:lang w:val="en-US"/>
              </w:rPr>
            </w:pPr>
            <w:proofErr w:type="spellStart"/>
            <w:r w:rsidRPr="007720BC">
              <w:rPr>
                <w:b/>
                <w:bCs/>
                <w:sz w:val="20"/>
                <w:szCs w:val="20"/>
                <w:lang w:val="en-US"/>
              </w:rPr>
              <w:t>Sasaran</w:t>
            </w:r>
            <w:proofErr w:type="spellEnd"/>
            <w:r w:rsidRPr="007720BC">
              <w:rPr>
                <w:b/>
                <w:bCs/>
                <w:sz w:val="20"/>
                <w:szCs w:val="20"/>
                <w:lang w:val="en-US"/>
              </w:rPr>
              <w:t xml:space="preserve"> </w:t>
            </w:r>
            <w:proofErr w:type="spellStart"/>
            <w:r w:rsidRPr="007720BC">
              <w:rPr>
                <w:b/>
                <w:bCs/>
                <w:sz w:val="20"/>
                <w:szCs w:val="20"/>
                <w:lang w:val="en-US"/>
              </w:rPr>
              <w:t>Keluarga</w:t>
            </w:r>
            <w:proofErr w:type="spellEnd"/>
            <w:r w:rsidRPr="007720BC">
              <w:rPr>
                <w:b/>
                <w:bCs/>
                <w:sz w:val="20"/>
                <w:szCs w:val="20"/>
                <w:lang w:val="en-US"/>
              </w:rPr>
              <w:t xml:space="preserve"> </w:t>
            </w:r>
            <w:proofErr w:type="spellStart"/>
            <w:r w:rsidRPr="007720BC">
              <w:rPr>
                <w:b/>
                <w:bCs/>
                <w:sz w:val="20"/>
                <w:szCs w:val="20"/>
                <w:lang w:val="en-US"/>
              </w:rPr>
              <w:t>Resiko</w:t>
            </w:r>
            <w:proofErr w:type="spellEnd"/>
            <w:r w:rsidRPr="007720BC">
              <w:rPr>
                <w:b/>
                <w:bCs/>
                <w:sz w:val="20"/>
                <w:szCs w:val="20"/>
                <w:lang w:val="en-US"/>
              </w:rPr>
              <w:t xml:space="preserve"> Stunting</w:t>
            </w:r>
          </w:p>
        </w:tc>
      </w:tr>
      <w:tr w:rsidR="007720BC" w:rsidRPr="007720BC" w14:paraId="229D41D1" w14:textId="77777777" w:rsidTr="00472C6A">
        <w:tc>
          <w:tcPr>
            <w:tcW w:w="1762" w:type="dxa"/>
            <w:vMerge/>
            <w:tcBorders>
              <w:bottom w:val="single" w:sz="4" w:space="0" w:color="auto"/>
            </w:tcBorders>
          </w:tcPr>
          <w:p w14:paraId="03AB2CC3" w14:textId="77777777" w:rsidR="00C76E11" w:rsidRPr="007720BC" w:rsidRDefault="00C76E11" w:rsidP="00472C6A">
            <w:pPr>
              <w:pStyle w:val="BodyText"/>
              <w:contextualSpacing/>
              <w:jc w:val="center"/>
              <w:rPr>
                <w:b/>
                <w:bCs/>
                <w:sz w:val="20"/>
                <w:szCs w:val="20"/>
                <w:lang w:val="en-US"/>
              </w:rPr>
            </w:pPr>
          </w:p>
        </w:tc>
        <w:tc>
          <w:tcPr>
            <w:tcW w:w="4367" w:type="dxa"/>
            <w:gridSpan w:val="2"/>
            <w:tcBorders>
              <w:top w:val="single" w:sz="4" w:space="0" w:color="auto"/>
              <w:bottom w:val="single" w:sz="4" w:space="0" w:color="auto"/>
            </w:tcBorders>
          </w:tcPr>
          <w:p w14:paraId="58E0D8E1" w14:textId="77777777" w:rsidR="00C76E11" w:rsidRPr="007720BC" w:rsidRDefault="00C76E11" w:rsidP="00472C6A">
            <w:pPr>
              <w:pStyle w:val="BodyText"/>
              <w:contextualSpacing/>
              <w:jc w:val="center"/>
              <w:rPr>
                <w:b/>
                <w:bCs/>
                <w:sz w:val="20"/>
                <w:szCs w:val="20"/>
                <w:lang w:val="en-US"/>
              </w:rPr>
            </w:pPr>
            <w:r w:rsidRPr="007720BC">
              <w:rPr>
                <w:b/>
                <w:bCs/>
                <w:sz w:val="20"/>
                <w:szCs w:val="20"/>
                <w:lang w:val="en-US"/>
              </w:rPr>
              <w:t>Punya Anak</w:t>
            </w:r>
          </w:p>
        </w:tc>
        <w:tc>
          <w:tcPr>
            <w:tcW w:w="1206" w:type="dxa"/>
            <w:vMerge w:val="restart"/>
            <w:tcBorders>
              <w:top w:val="single" w:sz="4" w:space="0" w:color="auto"/>
              <w:bottom w:val="single" w:sz="4" w:space="0" w:color="auto"/>
            </w:tcBorders>
          </w:tcPr>
          <w:p w14:paraId="44ED17BD" w14:textId="77777777" w:rsidR="00C76E11" w:rsidRPr="007720BC" w:rsidRDefault="00C76E11" w:rsidP="00472C6A">
            <w:pPr>
              <w:pStyle w:val="BodyText"/>
              <w:contextualSpacing/>
              <w:jc w:val="center"/>
              <w:rPr>
                <w:b/>
                <w:bCs/>
                <w:sz w:val="20"/>
                <w:szCs w:val="20"/>
                <w:lang w:val="en-US"/>
              </w:rPr>
            </w:pPr>
          </w:p>
          <w:p w14:paraId="56B48BFE" w14:textId="77777777" w:rsidR="00C76E11" w:rsidRPr="007720BC" w:rsidRDefault="00C76E11" w:rsidP="00472C6A">
            <w:pPr>
              <w:pStyle w:val="BodyText"/>
              <w:contextualSpacing/>
              <w:jc w:val="center"/>
              <w:rPr>
                <w:b/>
                <w:bCs/>
                <w:sz w:val="20"/>
                <w:szCs w:val="20"/>
                <w:lang w:val="en-US"/>
              </w:rPr>
            </w:pPr>
            <w:proofErr w:type="spellStart"/>
            <w:r w:rsidRPr="007720BC">
              <w:rPr>
                <w:b/>
                <w:bCs/>
                <w:sz w:val="20"/>
                <w:szCs w:val="20"/>
                <w:lang w:val="en-US"/>
              </w:rPr>
              <w:t>Pasangan</w:t>
            </w:r>
            <w:proofErr w:type="spellEnd"/>
            <w:r w:rsidRPr="007720BC">
              <w:rPr>
                <w:b/>
                <w:bCs/>
                <w:sz w:val="20"/>
                <w:szCs w:val="20"/>
                <w:lang w:val="en-US"/>
              </w:rPr>
              <w:t xml:space="preserve"> </w:t>
            </w:r>
            <w:proofErr w:type="spellStart"/>
            <w:r w:rsidRPr="007720BC">
              <w:rPr>
                <w:b/>
                <w:bCs/>
                <w:sz w:val="20"/>
                <w:szCs w:val="20"/>
                <w:lang w:val="en-US"/>
              </w:rPr>
              <w:t>Usia</w:t>
            </w:r>
            <w:proofErr w:type="spellEnd"/>
            <w:r w:rsidRPr="007720BC">
              <w:rPr>
                <w:b/>
                <w:bCs/>
                <w:sz w:val="20"/>
                <w:szCs w:val="20"/>
                <w:lang w:val="en-US"/>
              </w:rPr>
              <w:t xml:space="preserve"> </w:t>
            </w:r>
            <w:proofErr w:type="spellStart"/>
            <w:r w:rsidRPr="007720BC">
              <w:rPr>
                <w:b/>
                <w:bCs/>
                <w:sz w:val="20"/>
                <w:szCs w:val="20"/>
                <w:lang w:val="en-US"/>
              </w:rPr>
              <w:t>Subur</w:t>
            </w:r>
            <w:proofErr w:type="spellEnd"/>
          </w:p>
        </w:tc>
        <w:tc>
          <w:tcPr>
            <w:tcW w:w="1204" w:type="dxa"/>
            <w:vMerge w:val="restart"/>
            <w:tcBorders>
              <w:top w:val="single" w:sz="4" w:space="0" w:color="auto"/>
              <w:bottom w:val="single" w:sz="4" w:space="0" w:color="auto"/>
            </w:tcBorders>
          </w:tcPr>
          <w:p w14:paraId="676B8369" w14:textId="77777777" w:rsidR="00C76E11" w:rsidRPr="007720BC" w:rsidRDefault="00C76E11" w:rsidP="00472C6A">
            <w:pPr>
              <w:pStyle w:val="BodyText"/>
              <w:contextualSpacing/>
              <w:jc w:val="center"/>
              <w:rPr>
                <w:b/>
                <w:bCs/>
                <w:sz w:val="20"/>
                <w:szCs w:val="20"/>
                <w:lang w:val="en-US"/>
              </w:rPr>
            </w:pPr>
            <w:proofErr w:type="spellStart"/>
            <w:r w:rsidRPr="007720BC">
              <w:rPr>
                <w:b/>
                <w:bCs/>
                <w:sz w:val="20"/>
                <w:szCs w:val="20"/>
                <w:lang w:val="en-US"/>
              </w:rPr>
              <w:t>Pasangan</w:t>
            </w:r>
            <w:proofErr w:type="spellEnd"/>
            <w:r w:rsidRPr="007720BC">
              <w:rPr>
                <w:b/>
                <w:bCs/>
                <w:sz w:val="20"/>
                <w:szCs w:val="20"/>
                <w:lang w:val="en-US"/>
              </w:rPr>
              <w:t xml:space="preserve"> </w:t>
            </w:r>
            <w:proofErr w:type="spellStart"/>
            <w:r w:rsidRPr="007720BC">
              <w:rPr>
                <w:b/>
                <w:bCs/>
                <w:sz w:val="20"/>
                <w:szCs w:val="20"/>
                <w:lang w:val="en-US"/>
              </w:rPr>
              <w:t>Usia</w:t>
            </w:r>
            <w:proofErr w:type="spellEnd"/>
            <w:r w:rsidRPr="007720BC">
              <w:rPr>
                <w:b/>
                <w:bCs/>
                <w:sz w:val="20"/>
                <w:szCs w:val="20"/>
                <w:lang w:val="en-US"/>
              </w:rPr>
              <w:t xml:space="preserve"> </w:t>
            </w:r>
            <w:proofErr w:type="spellStart"/>
            <w:r w:rsidRPr="007720BC">
              <w:rPr>
                <w:b/>
                <w:bCs/>
                <w:sz w:val="20"/>
                <w:szCs w:val="20"/>
                <w:lang w:val="en-US"/>
              </w:rPr>
              <w:t>Subur</w:t>
            </w:r>
            <w:proofErr w:type="spellEnd"/>
            <w:r w:rsidRPr="007720BC">
              <w:rPr>
                <w:b/>
                <w:bCs/>
                <w:sz w:val="20"/>
                <w:szCs w:val="20"/>
                <w:lang w:val="en-US"/>
              </w:rPr>
              <w:t xml:space="preserve"> Hamil</w:t>
            </w:r>
          </w:p>
        </w:tc>
      </w:tr>
      <w:tr w:rsidR="007720BC" w:rsidRPr="007720BC" w14:paraId="192DD7CC" w14:textId="77777777" w:rsidTr="00472C6A">
        <w:tc>
          <w:tcPr>
            <w:tcW w:w="1762" w:type="dxa"/>
            <w:vMerge/>
            <w:tcBorders>
              <w:top w:val="single" w:sz="4" w:space="0" w:color="auto"/>
              <w:bottom w:val="single" w:sz="4" w:space="0" w:color="auto"/>
            </w:tcBorders>
          </w:tcPr>
          <w:p w14:paraId="05F2AD45" w14:textId="77777777" w:rsidR="00C76E11" w:rsidRPr="007720BC" w:rsidRDefault="00C76E11" w:rsidP="00472C6A">
            <w:pPr>
              <w:pStyle w:val="BodyText"/>
              <w:contextualSpacing/>
              <w:jc w:val="both"/>
              <w:rPr>
                <w:sz w:val="20"/>
                <w:szCs w:val="20"/>
                <w:lang w:val="en-US"/>
              </w:rPr>
            </w:pPr>
          </w:p>
        </w:tc>
        <w:tc>
          <w:tcPr>
            <w:tcW w:w="2099" w:type="dxa"/>
            <w:tcBorders>
              <w:top w:val="single" w:sz="4" w:space="0" w:color="auto"/>
              <w:bottom w:val="single" w:sz="4" w:space="0" w:color="auto"/>
            </w:tcBorders>
          </w:tcPr>
          <w:p w14:paraId="49EDE856" w14:textId="77777777" w:rsidR="00C76E11" w:rsidRPr="007720BC" w:rsidRDefault="00C76E11" w:rsidP="00472C6A">
            <w:pPr>
              <w:pStyle w:val="BodyText"/>
              <w:contextualSpacing/>
              <w:jc w:val="center"/>
              <w:rPr>
                <w:b/>
                <w:bCs/>
                <w:sz w:val="20"/>
                <w:szCs w:val="20"/>
                <w:lang w:val="en-US"/>
              </w:rPr>
            </w:pPr>
            <w:r w:rsidRPr="007720BC">
              <w:rPr>
                <w:b/>
                <w:bCs/>
                <w:sz w:val="20"/>
                <w:szCs w:val="20"/>
                <w:lang w:val="en-US"/>
              </w:rPr>
              <w:t xml:space="preserve">Bayi Dua </w:t>
            </w:r>
            <w:proofErr w:type="spellStart"/>
            <w:r w:rsidRPr="007720BC">
              <w:rPr>
                <w:b/>
                <w:bCs/>
                <w:sz w:val="20"/>
                <w:szCs w:val="20"/>
                <w:lang w:val="en-US"/>
              </w:rPr>
              <w:t>Tahun</w:t>
            </w:r>
            <w:proofErr w:type="spellEnd"/>
            <w:r w:rsidRPr="007720BC">
              <w:rPr>
                <w:b/>
                <w:bCs/>
                <w:sz w:val="20"/>
                <w:szCs w:val="20"/>
                <w:lang w:val="en-US"/>
              </w:rPr>
              <w:t xml:space="preserve"> (0-23 Bulan)</w:t>
            </w:r>
          </w:p>
        </w:tc>
        <w:tc>
          <w:tcPr>
            <w:tcW w:w="2268" w:type="dxa"/>
            <w:tcBorders>
              <w:top w:val="single" w:sz="4" w:space="0" w:color="auto"/>
              <w:bottom w:val="single" w:sz="4" w:space="0" w:color="auto"/>
            </w:tcBorders>
          </w:tcPr>
          <w:p w14:paraId="46F714E4" w14:textId="77777777" w:rsidR="00C76E11" w:rsidRPr="007720BC" w:rsidRDefault="00C76E11" w:rsidP="00472C6A">
            <w:pPr>
              <w:pStyle w:val="BodyText"/>
              <w:contextualSpacing/>
              <w:jc w:val="center"/>
              <w:rPr>
                <w:b/>
                <w:bCs/>
                <w:sz w:val="20"/>
                <w:szCs w:val="20"/>
                <w:lang w:val="en-US"/>
              </w:rPr>
            </w:pPr>
            <w:r w:rsidRPr="007720BC">
              <w:rPr>
                <w:b/>
                <w:bCs/>
                <w:sz w:val="20"/>
                <w:szCs w:val="20"/>
                <w:lang w:val="en-US"/>
              </w:rPr>
              <w:t xml:space="preserve">Bayi Lima </w:t>
            </w:r>
            <w:proofErr w:type="spellStart"/>
            <w:r w:rsidRPr="007720BC">
              <w:rPr>
                <w:b/>
                <w:bCs/>
                <w:sz w:val="20"/>
                <w:szCs w:val="20"/>
                <w:lang w:val="en-US"/>
              </w:rPr>
              <w:t>Tahun</w:t>
            </w:r>
            <w:proofErr w:type="spellEnd"/>
            <w:r w:rsidRPr="007720BC">
              <w:rPr>
                <w:b/>
                <w:bCs/>
                <w:sz w:val="20"/>
                <w:szCs w:val="20"/>
                <w:lang w:val="en-US"/>
              </w:rPr>
              <w:t xml:space="preserve"> (24-50 Bulan)</w:t>
            </w:r>
          </w:p>
        </w:tc>
        <w:tc>
          <w:tcPr>
            <w:tcW w:w="1206" w:type="dxa"/>
            <w:vMerge/>
            <w:tcBorders>
              <w:top w:val="single" w:sz="4" w:space="0" w:color="auto"/>
              <w:bottom w:val="single" w:sz="4" w:space="0" w:color="auto"/>
            </w:tcBorders>
          </w:tcPr>
          <w:p w14:paraId="0FE94D04" w14:textId="77777777" w:rsidR="00C76E11" w:rsidRPr="007720BC" w:rsidRDefault="00C76E11" w:rsidP="00472C6A">
            <w:pPr>
              <w:pStyle w:val="BodyText"/>
              <w:contextualSpacing/>
              <w:jc w:val="center"/>
              <w:rPr>
                <w:b/>
                <w:bCs/>
                <w:sz w:val="20"/>
                <w:szCs w:val="20"/>
                <w:lang w:val="en-US"/>
              </w:rPr>
            </w:pPr>
          </w:p>
        </w:tc>
        <w:tc>
          <w:tcPr>
            <w:tcW w:w="1204" w:type="dxa"/>
            <w:vMerge/>
            <w:tcBorders>
              <w:top w:val="single" w:sz="4" w:space="0" w:color="auto"/>
              <w:bottom w:val="single" w:sz="4" w:space="0" w:color="auto"/>
            </w:tcBorders>
          </w:tcPr>
          <w:p w14:paraId="043C524C" w14:textId="77777777" w:rsidR="00C76E11" w:rsidRPr="007720BC" w:rsidRDefault="00C76E11" w:rsidP="00472C6A">
            <w:pPr>
              <w:pStyle w:val="BodyText"/>
              <w:contextualSpacing/>
              <w:jc w:val="center"/>
              <w:rPr>
                <w:b/>
                <w:bCs/>
                <w:sz w:val="20"/>
                <w:szCs w:val="20"/>
                <w:lang w:val="en-US"/>
              </w:rPr>
            </w:pPr>
          </w:p>
        </w:tc>
      </w:tr>
      <w:tr w:rsidR="007720BC" w:rsidRPr="007720BC" w14:paraId="4290D03E" w14:textId="77777777" w:rsidTr="00472C6A">
        <w:tc>
          <w:tcPr>
            <w:tcW w:w="1762" w:type="dxa"/>
            <w:tcBorders>
              <w:top w:val="single" w:sz="4" w:space="0" w:color="auto"/>
            </w:tcBorders>
          </w:tcPr>
          <w:p w14:paraId="0EBC6AB4" w14:textId="77777777" w:rsidR="00C76E11" w:rsidRPr="007720BC" w:rsidRDefault="00C76E11" w:rsidP="00472C6A">
            <w:pPr>
              <w:pStyle w:val="BodyText"/>
              <w:contextualSpacing/>
              <w:jc w:val="both"/>
              <w:rPr>
                <w:sz w:val="20"/>
                <w:szCs w:val="20"/>
                <w:lang w:val="en-US"/>
              </w:rPr>
            </w:pPr>
            <w:proofErr w:type="spellStart"/>
            <w:r w:rsidRPr="007720BC">
              <w:rPr>
                <w:sz w:val="20"/>
                <w:szCs w:val="20"/>
                <w:lang w:val="en-US"/>
              </w:rPr>
              <w:t>Cikeusal</w:t>
            </w:r>
            <w:proofErr w:type="spellEnd"/>
          </w:p>
        </w:tc>
        <w:tc>
          <w:tcPr>
            <w:tcW w:w="2099" w:type="dxa"/>
            <w:tcBorders>
              <w:top w:val="single" w:sz="4" w:space="0" w:color="auto"/>
            </w:tcBorders>
          </w:tcPr>
          <w:p w14:paraId="6D563AB4" w14:textId="77777777" w:rsidR="00C76E11" w:rsidRPr="007720BC" w:rsidRDefault="00C76E11" w:rsidP="00472C6A">
            <w:pPr>
              <w:pStyle w:val="BodyText"/>
              <w:contextualSpacing/>
              <w:jc w:val="center"/>
              <w:rPr>
                <w:sz w:val="20"/>
                <w:szCs w:val="20"/>
                <w:lang w:val="en-US"/>
              </w:rPr>
            </w:pPr>
            <w:r w:rsidRPr="007720BC">
              <w:rPr>
                <w:sz w:val="20"/>
                <w:szCs w:val="20"/>
                <w:lang w:val="en-US"/>
              </w:rPr>
              <w:t>110</w:t>
            </w:r>
          </w:p>
        </w:tc>
        <w:tc>
          <w:tcPr>
            <w:tcW w:w="2268" w:type="dxa"/>
            <w:tcBorders>
              <w:top w:val="single" w:sz="4" w:space="0" w:color="auto"/>
            </w:tcBorders>
          </w:tcPr>
          <w:p w14:paraId="2016F7E4" w14:textId="77777777" w:rsidR="00C76E11" w:rsidRPr="007720BC" w:rsidRDefault="00C76E11" w:rsidP="00472C6A">
            <w:pPr>
              <w:pStyle w:val="BodyText"/>
              <w:contextualSpacing/>
              <w:jc w:val="center"/>
              <w:rPr>
                <w:sz w:val="20"/>
                <w:szCs w:val="20"/>
                <w:lang w:val="en-US"/>
              </w:rPr>
            </w:pPr>
            <w:r w:rsidRPr="007720BC">
              <w:rPr>
                <w:sz w:val="20"/>
                <w:szCs w:val="20"/>
                <w:lang w:val="en-US"/>
              </w:rPr>
              <w:t>339</w:t>
            </w:r>
          </w:p>
        </w:tc>
        <w:tc>
          <w:tcPr>
            <w:tcW w:w="1206" w:type="dxa"/>
            <w:tcBorders>
              <w:top w:val="single" w:sz="4" w:space="0" w:color="auto"/>
            </w:tcBorders>
          </w:tcPr>
          <w:p w14:paraId="2C3099E8" w14:textId="77777777" w:rsidR="00C76E11" w:rsidRPr="007720BC" w:rsidRDefault="00C76E11" w:rsidP="00472C6A">
            <w:pPr>
              <w:pStyle w:val="BodyText"/>
              <w:contextualSpacing/>
              <w:jc w:val="center"/>
              <w:rPr>
                <w:sz w:val="20"/>
                <w:szCs w:val="20"/>
                <w:lang w:val="en-US"/>
              </w:rPr>
            </w:pPr>
            <w:r w:rsidRPr="007720BC">
              <w:rPr>
                <w:sz w:val="20"/>
                <w:szCs w:val="20"/>
                <w:lang w:val="en-US"/>
              </w:rPr>
              <w:t>446</w:t>
            </w:r>
          </w:p>
        </w:tc>
        <w:tc>
          <w:tcPr>
            <w:tcW w:w="1204" w:type="dxa"/>
            <w:tcBorders>
              <w:top w:val="single" w:sz="4" w:space="0" w:color="auto"/>
            </w:tcBorders>
          </w:tcPr>
          <w:p w14:paraId="5F8D15F9" w14:textId="77777777" w:rsidR="00C76E11" w:rsidRPr="007720BC" w:rsidRDefault="00C76E11" w:rsidP="00472C6A">
            <w:pPr>
              <w:pStyle w:val="BodyText"/>
              <w:contextualSpacing/>
              <w:jc w:val="center"/>
              <w:rPr>
                <w:sz w:val="20"/>
                <w:szCs w:val="20"/>
                <w:lang w:val="en-US"/>
              </w:rPr>
            </w:pPr>
            <w:r w:rsidRPr="007720BC">
              <w:rPr>
                <w:sz w:val="20"/>
                <w:szCs w:val="20"/>
                <w:lang w:val="en-US"/>
              </w:rPr>
              <w:t>49</w:t>
            </w:r>
          </w:p>
        </w:tc>
      </w:tr>
      <w:tr w:rsidR="007720BC" w:rsidRPr="007720BC" w14:paraId="3AFA2CDD" w14:textId="77777777" w:rsidTr="00472C6A">
        <w:tc>
          <w:tcPr>
            <w:tcW w:w="1762" w:type="dxa"/>
          </w:tcPr>
          <w:p w14:paraId="4891ABBF" w14:textId="77777777" w:rsidR="00C76E11" w:rsidRPr="007720BC" w:rsidRDefault="00C76E11" w:rsidP="00472C6A">
            <w:pPr>
              <w:pStyle w:val="BodyText"/>
              <w:contextualSpacing/>
              <w:jc w:val="both"/>
              <w:rPr>
                <w:sz w:val="20"/>
                <w:szCs w:val="20"/>
                <w:lang w:val="en-US"/>
              </w:rPr>
            </w:pPr>
            <w:proofErr w:type="spellStart"/>
            <w:r w:rsidRPr="007720BC">
              <w:rPr>
                <w:sz w:val="20"/>
                <w:szCs w:val="20"/>
                <w:lang w:val="en-US"/>
              </w:rPr>
              <w:t>Dahu</w:t>
            </w:r>
            <w:proofErr w:type="spellEnd"/>
          </w:p>
        </w:tc>
        <w:tc>
          <w:tcPr>
            <w:tcW w:w="2099" w:type="dxa"/>
          </w:tcPr>
          <w:p w14:paraId="17769455" w14:textId="77777777" w:rsidR="00C76E11" w:rsidRPr="007720BC" w:rsidRDefault="00C76E11" w:rsidP="00472C6A">
            <w:pPr>
              <w:pStyle w:val="BodyText"/>
              <w:contextualSpacing/>
              <w:jc w:val="center"/>
              <w:rPr>
                <w:sz w:val="20"/>
                <w:szCs w:val="20"/>
                <w:lang w:val="en-US"/>
              </w:rPr>
            </w:pPr>
            <w:r w:rsidRPr="007720BC">
              <w:rPr>
                <w:sz w:val="20"/>
                <w:szCs w:val="20"/>
                <w:lang w:val="en-US"/>
              </w:rPr>
              <w:t>150</w:t>
            </w:r>
          </w:p>
        </w:tc>
        <w:tc>
          <w:tcPr>
            <w:tcW w:w="2268" w:type="dxa"/>
          </w:tcPr>
          <w:p w14:paraId="3B254178" w14:textId="77777777" w:rsidR="00C76E11" w:rsidRPr="007720BC" w:rsidRDefault="00C76E11" w:rsidP="00472C6A">
            <w:pPr>
              <w:pStyle w:val="BodyText"/>
              <w:contextualSpacing/>
              <w:jc w:val="center"/>
              <w:rPr>
                <w:sz w:val="20"/>
                <w:szCs w:val="20"/>
                <w:lang w:val="en-US"/>
              </w:rPr>
            </w:pPr>
            <w:r w:rsidRPr="007720BC">
              <w:rPr>
                <w:sz w:val="20"/>
                <w:szCs w:val="20"/>
                <w:lang w:val="en-US"/>
              </w:rPr>
              <w:t>240</w:t>
            </w:r>
          </w:p>
        </w:tc>
        <w:tc>
          <w:tcPr>
            <w:tcW w:w="1206" w:type="dxa"/>
          </w:tcPr>
          <w:p w14:paraId="1F4D621A" w14:textId="77777777" w:rsidR="00C76E11" w:rsidRPr="007720BC" w:rsidRDefault="00C76E11" w:rsidP="00472C6A">
            <w:pPr>
              <w:pStyle w:val="BodyText"/>
              <w:contextualSpacing/>
              <w:jc w:val="center"/>
              <w:rPr>
                <w:sz w:val="20"/>
                <w:szCs w:val="20"/>
                <w:lang w:val="en-US"/>
              </w:rPr>
            </w:pPr>
            <w:r w:rsidRPr="007720BC">
              <w:rPr>
                <w:sz w:val="20"/>
                <w:szCs w:val="20"/>
                <w:lang w:val="en-US"/>
              </w:rPr>
              <w:t>382</w:t>
            </w:r>
          </w:p>
        </w:tc>
        <w:tc>
          <w:tcPr>
            <w:tcW w:w="1204" w:type="dxa"/>
          </w:tcPr>
          <w:p w14:paraId="76B93A30" w14:textId="77777777" w:rsidR="00C76E11" w:rsidRPr="007720BC" w:rsidRDefault="00C76E11" w:rsidP="00472C6A">
            <w:pPr>
              <w:pStyle w:val="BodyText"/>
              <w:contextualSpacing/>
              <w:jc w:val="center"/>
              <w:rPr>
                <w:sz w:val="20"/>
                <w:szCs w:val="20"/>
                <w:lang w:val="en-US"/>
              </w:rPr>
            </w:pPr>
            <w:r w:rsidRPr="007720BC">
              <w:rPr>
                <w:sz w:val="20"/>
                <w:szCs w:val="20"/>
                <w:lang w:val="en-US"/>
              </w:rPr>
              <w:t>36</w:t>
            </w:r>
          </w:p>
        </w:tc>
      </w:tr>
      <w:tr w:rsidR="007720BC" w:rsidRPr="007720BC" w14:paraId="392EF737" w14:textId="77777777" w:rsidTr="00472C6A">
        <w:tc>
          <w:tcPr>
            <w:tcW w:w="1762" w:type="dxa"/>
          </w:tcPr>
          <w:p w14:paraId="2A97E3A4" w14:textId="77777777" w:rsidR="00C76E11" w:rsidRPr="007720BC" w:rsidRDefault="00C76E11" w:rsidP="00472C6A">
            <w:pPr>
              <w:pStyle w:val="BodyText"/>
              <w:contextualSpacing/>
              <w:jc w:val="both"/>
              <w:rPr>
                <w:sz w:val="20"/>
                <w:szCs w:val="20"/>
                <w:lang w:val="en-US"/>
              </w:rPr>
            </w:pPr>
            <w:proofErr w:type="spellStart"/>
            <w:r w:rsidRPr="007720BC">
              <w:rPr>
                <w:sz w:val="20"/>
                <w:szCs w:val="20"/>
                <w:lang w:val="en-US"/>
              </w:rPr>
              <w:t>Katulisan</w:t>
            </w:r>
            <w:proofErr w:type="spellEnd"/>
          </w:p>
        </w:tc>
        <w:tc>
          <w:tcPr>
            <w:tcW w:w="2099" w:type="dxa"/>
          </w:tcPr>
          <w:p w14:paraId="2004DDC0" w14:textId="77777777" w:rsidR="00C76E11" w:rsidRPr="007720BC" w:rsidRDefault="00C76E11" w:rsidP="00472C6A">
            <w:pPr>
              <w:pStyle w:val="BodyText"/>
              <w:contextualSpacing/>
              <w:jc w:val="center"/>
              <w:rPr>
                <w:sz w:val="20"/>
                <w:szCs w:val="20"/>
                <w:lang w:val="en-US"/>
              </w:rPr>
            </w:pPr>
            <w:r w:rsidRPr="007720BC">
              <w:rPr>
                <w:sz w:val="20"/>
                <w:szCs w:val="20"/>
                <w:lang w:val="en-US"/>
              </w:rPr>
              <w:t>99</w:t>
            </w:r>
          </w:p>
        </w:tc>
        <w:tc>
          <w:tcPr>
            <w:tcW w:w="2268" w:type="dxa"/>
          </w:tcPr>
          <w:p w14:paraId="75BBDA0D" w14:textId="77777777" w:rsidR="00C76E11" w:rsidRPr="007720BC" w:rsidRDefault="00C76E11" w:rsidP="00472C6A">
            <w:pPr>
              <w:pStyle w:val="BodyText"/>
              <w:contextualSpacing/>
              <w:jc w:val="center"/>
              <w:rPr>
                <w:sz w:val="20"/>
                <w:szCs w:val="20"/>
                <w:lang w:val="en-US"/>
              </w:rPr>
            </w:pPr>
            <w:r w:rsidRPr="007720BC">
              <w:rPr>
                <w:sz w:val="20"/>
                <w:szCs w:val="20"/>
                <w:lang w:val="en-US"/>
              </w:rPr>
              <w:t>178</w:t>
            </w:r>
          </w:p>
        </w:tc>
        <w:tc>
          <w:tcPr>
            <w:tcW w:w="1206" w:type="dxa"/>
          </w:tcPr>
          <w:p w14:paraId="42A9139E" w14:textId="77777777" w:rsidR="00C76E11" w:rsidRPr="007720BC" w:rsidRDefault="00C76E11" w:rsidP="00472C6A">
            <w:pPr>
              <w:pStyle w:val="BodyText"/>
              <w:contextualSpacing/>
              <w:jc w:val="center"/>
              <w:rPr>
                <w:sz w:val="20"/>
                <w:szCs w:val="20"/>
                <w:lang w:val="en-US"/>
              </w:rPr>
            </w:pPr>
            <w:r w:rsidRPr="007720BC">
              <w:rPr>
                <w:sz w:val="20"/>
                <w:szCs w:val="20"/>
                <w:lang w:val="en-US"/>
              </w:rPr>
              <w:t>275</w:t>
            </w:r>
          </w:p>
        </w:tc>
        <w:tc>
          <w:tcPr>
            <w:tcW w:w="1204" w:type="dxa"/>
          </w:tcPr>
          <w:p w14:paraId="6B6267A4" w14:textId="77777777" w:rsidR="00C76E11" w:rsidRPr="007720BC" w:rsidRDefault="00C76E11" w:rsidP="00472C6A">
            <w:pPr>
              <w:pStyle w:val="BodyText"/>
              <w:contextualSpacing/>
              <w:jc w:val="center"/>
              <w:rPr>
                <w:sz w:val="20"/>
                <w:szCs w:val="20"/>
                <w:lang w:val="en-US"/>
              </w:rPr>
            </w:pPr>
            <w:r w:rsidRPr="007720BC">
              <w:rPr>
                <w:sz w:val="20"/>
                <w:szCs w:val="20"/>
                <w:lang w:val="en-US"/>
              </w:rPr>
              <w:t>21</w:t>
            </w:r>
          </w:p>
        </w:tc>
      </w:tr>
      <w:tr w:rsidR="007720BC" w:rsidRPr="007720BC" w14:paraId="1E3789E2" w14:textId="77777777" w:rsidTr="00472C6A">
        <w:tc>
          <w:tcPr>
            <w:tcW w:w="1762" w:type="dxa"/>
          </w:tcPr>
          <w:p w14:paraId="59CEBD8A" w14:textId="77777777" w:rsidR="00C76E11" w:rsidRPr="007720BC" w:rsidRDefault="00C76E11" w:rsidP="00472C6A">
            <w:pPr>
              <w:pStyle w:val="BodyText"/>
              <w:contextualSpacing/>
              <w:jc w:val="both"/>
              <w:rPr>
                <w:sz w:val="20"/>
                <w:szCs w:val="20"/>
                <w:lang w:val="en-US"/>
              </w:rPr>
            </w:pPr>
            <w:proofErr w:type="spellStart"/>
            <w:r w:rsidRPr="007720BC">
              <w:rPr>
                <w:sz w:val="20"/>
                <w:szCs w:val="20"/>
                <w:lang w:val="en-US"/>
              </w:rPr>
              <w:t>Sukamaju</w:t>
            </w:r>
            <w:proofErr w:type="spellEnd"/>
          </w:p>
        </w:tc>
        <w:tc>
          <w:tcPr>
            <w:tcW w:w="2099" w:type="dxa"/>
          </w:tcPr>
          <w:p w14:paraId="6B4A38B0" w14:textId="77777777" w:rsidR="00C76E11" w:rsidRPr="007720BC" w:rsidRDefault="00C76E11" w:rsidP="00472C6A">
            <w:pPr>
              <w:pStyle w:val="BodyText"/>
              <w:contextualSpacing/>
              <w:jc w:val="center"/>
              <w:rPr>
                <w:sz w:val="20"/>
                <w:szCs w:val="20"/>
                <w:lang w:val="en-US"/>
              </w:rPr>
            </w:pPr>
            <w:r w:rsidRPr="007720BC">
              <w:rPr>
                <w:sz w:val="20"/>
                <w:szCs w:val="20"/>
                <w:lang w:val="en-US"/>
              </w:rPr>
              <w:t>82</w:t>
            </w:r>
          </w:p>
        </w:tc>
        <w:tc>
          <w:tcPr>
            <w:tcW w:w="2268" w:type="dxa"/>
          </w:tcPr>
          <w:p w14:paraId="196DA4D0" w14:textId="77777777" w:rsidR="00C76E11" w:rsidRPr="007720BC" w:rsidRDefault="00C76E11" w:rsidP="00472C6A">
            <w:pPr>
              <w:pStyle w:val="BodyText"/>
              <w:contextualSpacing/>
              <w:jc w:val="center"/>
              <w:rPr>
                <w:sz w:val="20"/>
                <w:szCs w:val="20"/>
                <w:lang w:val="en-US"/>
              </w:rPr>
            </w:pPr>
            <w:r w:rsidRPr="007720BC">
              <w:rPr>
                <w:sz w:val="20"/>
                <w:szCs w:val="20"/>
                <w:lang w:val="en-US"/>
              </w:rPr>
              <w:t>155</w:t>
            </w:r>
          </w:p>
        </w:tc>
        <w:tc>
          <w:tcPr>
            <w:tcW w:w="1206" w:type="dxa"/>
          </w:tcPr>
          <w:p w14:paraId="1E587031" w14:textId="77777777" w:rsidR="00C76E11" w:rsidRPr="007720BC" w:rsidRDefault="00C76E11" w:rsidP="00472C6A">
            <w:pPr>
              <w:pStyle w:val="BodyText"/>
              <w:contextualSpacing/>
              <w:jc w:val="center"/>
              <w:rPr>
                <w:sz w:val="20"/>
                <w:szCs w:val="20"/>
                <w:lang w:val="en-US"/>
              </w:rPr>
            </w:pPr>
            <w:r w:rsidRPr="007720BC">
              <w:rPr>
                <w:sz w:val="20"/>
                <w:szCs w:val="20"/>
                <w:lang w:val="en-US"/>
              </w:rPr>
              <w:t>234</w:t>
            </w:r>
          </w:p>
        </w:tc>
        <w:tc>
          <w:tcPr>
            <w:tcW w:w="1204" w:type="dxa"/>
          </w:tcPr>
          <w:p w14:paraId="41D4DD38" w14:textId="77777777" w:rsidR="00C76E11" w:rsidRPr="007720BC" w:rsidRDefault="00C76E11" w:rsidP="00472C6A">
            <w:pPr>
              <w:pStyle w:val="BodyText"/>
              <w:contextualSpacing/>
              <w:jc w:val="center"/>
              <w:rPr>
                <w:sz w:val="20"/>
                <w:szCs w:val="20"/>
                <w:lang w:val="en-US"/>
              </w:rPr>
            </w:pPr>
            <w:r w:rsidRPr="007720BC">
              <w:rPr>
                <w:sz w:val="20"/>
                <w:szCs w:val="20"/>
                <w:lang w:val="en-US"/>
              </w:rPr>
              <w:t>6</w:t>
            </w:r>
          </w:p>
        </w:tc>
      </w:tr>
      <w:tr w:rsidR="007720BC" w:rsidRPr="007720BC" w14:paraId="3B6B718C" w14:textId="77777777" w:rsidTr="00472C6A">
        <w:tc>
          <w:tcPr>
            <w:tcW w:w="1762" w:type="dxa"/>
          </w:tcPr>
          <w:p w14:paraId="53B16317" w14:textId="77777777" w:rsidR="00C76E11" w:rsidRPr="007720BC" w:rsidRDefault="00C76E11" w:rsidP="00472C6A">
            <w:pPr>
              <w:pStyle w:val="BodyText"/>
              <w:contextualSpacing/>
              <w:jc w:val="both"/>
              <w:rPr>
                <w:sz w:val="20"/>
                <w:szCs w:val="20"/>
                <w:lang w:val="en-US"/>
              </w:rPr>
            </w:pPr>
            <w:proofErr w:type="spellStart"/>
            <w:r w:rsidRPr="007720BC">
              <w:rPr>
                <w:sz w:val="20"/>
                <w:szCs w:val="20"/>
                <w:lang w:val="en-US"/>
              </w:rPr>
              <w:t>Cilayang</w:t>
            </w:r>
            <w:proofErr w:type="spellEnd"/>
          </w:p>
        </w:tc>
        <w:tc>
          <w:tcPr>
            <w:tcW w:w="2099" w:type="dxa"/>
          </w:tcPr>
          <w:p w14:paraId="573347D7" w14:textId="77777777" w:rsidR="00C76E11" w:rsidRPr="007720BC" w:rsidRDefault="00C76E11" w:rsidP="00472C6A">
            <w:pPr>
              <w:pStyle w:val="BodyText"/>
              <w:contextualSpacing/>
              <w:jc w:val="center"/>
              <w:rPr>
                <w:sz w:val="20"/>
                <w:szCs w:val="20"/>
                <w:lang w:val="en-US"/>
              </w:rPr>
            </w:pPr>
            <w:r w:rsidRPr="007720BC">
              <w:rPr>
                <w:sz w:val="20"/>
                <w:szCs w:val="20"/>
                <w:lang w:val="en-US"/>
              </w:rPr>
              <w:t>78</w:t>
            </w:r>
          </w:p>
        </w:tc>
        <w:tc>
          <w:tcPr>
            <w:tcW w:w="2268" w:type="dxa"/>
          </w:tcPr>
          <w:p w14:paraId="6557DED1" w14:textId="77777777" w:rsidR="00C76E11" w:rsidRPr="007720BC" w:rsidRDefault="00C76E11" w:rsidP="00472C6A">
            <w:pPr>
              <w:pStyle w:val="BodyText"/>
              <w:contextualSpacing/>
              <w:jc w:val="center"/>
              <w:rPr>
                <w:sz w:val="20"/>
                <w:szCs w:val="20"/>
                <w:lang w:val="en-US"/>
              </w:rPr>
            </w:pPr>
            <w:r w:rsidRPr="007720BC">
              <w:rPr>
                <w:sz w:val="20"/>
                <w:szCs w:val="20"/>
                <w:lang w:val="en-US"/>
              </w:rPr>
              <w:t>314</w:t>
            </w:r>
          </w:p>
        </w:tc>
        <w:tc>
          <w:tcPr>
            <w:tcW w:w="1206" w:type="dxa"/>
          </w:tcPr>
          <w:p w14:paraId="770BDE5A" w14:textId="77777777" w:rsidR="00C76E11" w:rsidRPr="007720BC" w:rsidRDefault="00C76E11" w:rsidP="00472C6A">
            <w:pPr>
              <w:pStyle w:val="BodyText"/>
              <w:contextualSpacing/>
              <w:jc w:val="center"/>
              <w:rPr>
                <w:sz w:val="20"/>
                <w:szCs w:val="20"/>
                <w:lang w:val="en-US"/>
              </w:rPr>
            </w:pPr>
            <w:r w:rsidRPr="007720BC">
              <w:rPr>
                <w:sz w:val="20"/>
                <w:szCs w:val="20"/>
                <w:lang w:val="en-US"/>
              </w:rPr>
              <w:t>400</w:t>
            </w:r>
          </w:p>
        </w:tc>
        <w:tc>
          <w:tcPr>
            <w:tcW w:w="1204" w:type="dxa"/>
          </w:tcPr>
          <w:p w14:paraId="1D5E0827" w14:textId="77777777" w:rsidR="00C76E11" w:rsidRPr="007720BC" w:rsidRDefault="00C76E11" w:rsidP="00472C6A">
            <w:pPr>
              <w:pStyle w:val="BodyText"/>
              <w:contextualSpacing/>
              <w:jc w:val="center"/>
              <w:rPr>
                <w:sz w:val="20"/>
                <w:szCs w:val="20"/>
                <w:lang w:val="en-US"/>
              </w:rPr>
            </w:pPr>
            <w:r w:rsidRPr="007720BC">
              <w:rPr>
                <w:sz w:val="20"/>
                <w:szCs w:val="20"/>
                <w:lang w:val="en-US"/>
              </w:rPr>
              <w:t>31</w:t>
            </w:r>
          </w:p>
        </w:tc>
      </w:tr>
      <w:tr w:rsidR="007720BC" w:rsidRPr="007720BC" w14:paraId="61BB5F08" w14:textId="77777777" w:rsidTr="00472C6A">
        <w:tc>
          <w:tcPr>
            <w:tcW w:w="1762" w:type="dxa"/>
          </w:tcPr>
          <w:p w14:paraId="23EFD63D" w14:textId="77777777" w:rsidR="00C76E11" w:rsidRPr="007720BC" w:rsidRDefault="00C76E11" w:rsidP="00472C6A">
            <w:pPr>
              <w:pStyle w:val="BodyText"/>
              <w:contextualSpacing/>
              <w:jc w:val="both"/>
              <w:rPr>
                <w:sz w:val="20"/>
                <w:szCs w:val="20"/>
                <w:lang w:val="en-US"/>
              </w:rPr>
            </w:pPr>
            <w:proofErr w:type="spellStart"/>
            <w:r w:rsidRPr="007720BC">
              <w:rPr>
                <w:sz w:val="20"/>
                <w:szCs w:val="20"/>
                <w:lang w:val="en-US"/>
              </w:rPr>
              <w:t>Sukamenak</w:t>
            </w:r>
            <w:proofErr w:type="spellEnd"/>
          </w:p>
        </w:tc>
        <w:tc>
          <w:tcPr>
            <w:tcW w:w="2099" w:type="dxa"/>
          </w:tcPr>
          <w:p w14:paraId="42FA957C" w14:textId="77777777" w:rsidR="00C76E11" w:rsidRPr="007720BC" w:rsidRDefault="00C76E11" w:rsidP="00472C6A">
            <w:pPr>
              <w:pStyle w:val="BodyText"/>
              <w:contextualSpacing/>
              <w:jc w:val="center"/>
              <w:rPr>
                <w:sz w:val="20"/>
                <w:szCs w:val="20"/>
                <w:lang w:val="en-US"/>
              </w:rPr>
            </w:pPr>
            <w:r w:rsidRPr="007720BC">
              <w:rPr>
                <w:sz w:val="20"/>
                <w:szCs w:val="20"/>
                <w:lang w:val="en-US"/>
              </w:rPr>
              <w:t>64</w:t>
            </w:r>
          </w:p>
        </w:tc>
        <w:tc>
          <w:tcPr>
            <w:tcW w:w="2268" w:type="dxa"/>
          </w:tcPr>
          <w:p w14:paraId="2245A026" w14:textId="77777777" w:rsidR="00C76E11" w:rsidRPr="007720BC" w:rsidRDefault="00C76E11" w:rsidP="00472C6A">
            <w:pPr>
              <w:pStyle w:val="BodyText"/>
              <w:contextualSpacing/>
              <w:jc w:val="center"/>
              <w:rPr>
                <w:sz w:val="20"/>
                <w:szCs w:val="20"/>
                <w:lang w:val="en-US"/>
              </w:rPr>
            </w:pPr>
            <w:r w:rsidRPr="007720BC">
              <w:rPr>
                <w:sz w:val="20"/>
                <w:szCs w:val="20"/>
                <w:lang w:val="en-US"/>
              </w:rPr>
              <w:t>251</w:t>
            </w:r>
          </w:p>
        </w:tc>
        <w:tc>
          <w:tcPr>
            <w:tcW w:w="1206" w:type="dxa"/>
          </w:tcPr>
          <w:p w14:paraId="641D8D12" w14:textId="77777777" w:rsidR="00C76E11" w:rsidRPr="007720BC" w:rsidRDefault="00C76E11" w:rsidP="00472C6A">
            <w:pPr>
              <w:pStyle w:val="BodyText"/>
              <w:contextualSpacing/>
              <w:jc w:val="center"/>
              <w:rPr>
                <w:sz w:val="20"/>
                <w:szCs w:val="20"/>
                <w:lang w:val="en-US"/>
              </w:rPr>
            </w:pPr>
            <w:r w:rsidRPr="007720BC">
              <w:rPr>
                <w:sz w:val="20"/>
                <w:szCs w:val="20"/>
                <w:lang w:val="en-US"/>
              </w:rPr>
              <w:t>308</w:t>
            </w:r>
          </w:p>
        </w:tc>
        <w:tc>
          <w:tcPr>
            <w:tcW w:w="1204" w:type="dxa"/>
          </w:tcPr>
          <w:p w14:paraId="5CB9DF60" w14:textId="77777777" w:rsidR="00C76E11" w:rsidRPr="007720BC" w:rsidRDefault="00C76E11" w:rsidP="00472C6A">
            <w:pPr>
              <w:pStyle w:val="BodyText"/>
              <w:contextualSpacing/>
              <w:jc w:val="center"/>
              <w:rPr>
                <w:sz w:val="20"/>
                <w:szCs w:val="20"/>
                <w:lang w:val="en-US"/>
              </w:rPr>
            </w:pPr>
            <w:r w:rsidRPr="007720BC">
              <w:rPr>
                <w:sz w:val="20"/>
                <w:szCs w:val="20"/>
                <w:lang w:val="en-US"/>
              </w:rPr>
              <w:t>17</w:t>
            </w:r>
          </w:p>
        </w:tc>
      </w:tr>
      <w:tr w:rsidR="007720BC" w:rsidRPr="007720BC" w14:paraId="326882C7" w14:textId="77777777" w:rsidTr="00472C6A">
        <w:tc>
          <w:tcPr>
            <w:tcW w:w="1762" w:type="dxa"/>
          </w:tcPr>
          <w:p w14:paraId="6C39AB17" w14:textId="77777777" w:rsidR="00C76E11" w:rsidRPr="007720BC" w:rsidRDefault="00C76E11" w:rsidP="00472C6A">
            <w:pPr>
              <w:pStyle w:val="BodyText"/>
              <w:contextualSpacing/>
              <w:jc w:val="both"/>
              <w:rPr>
                <w:sz w:val="20"/>
                <w:szCs w:val="20"/>
                <w:lang w:val="en-US"/>
              </w:rPr>
            </w:pPr>
            <w:proofErr w:type="spellStart"/>
            <w:r w:rsidRPr="007720BC">
              <w:rPr>
                <w:sz w:val="20"/>
                <w:szCs w:val="20"/>
                <w:lang w:val="en-US"/>
              </w:rPr>
              <w:t>Cimaung</w:t>
            </w:r>
            <w:proofErr w:type="spellEnd"/>
          </w:p>
        </w:tc>
        <w:tc>
          <w:tcPr>
            <w:tcW w:w="2099" w:type="dxa"/>
          </w:tcPr>
          <w:p w14:paraId="7B6594DA" w14:textId="77777777" w:rsidR="00C76E11" w:rsidRPr="007720BC" w:rsidRDefault="00C76E11" w:rsidP="00472C6A">
            <w:pPr>
              <w:pStyle w:val="BodyText"/>
              <w:contextualSpacing/>
              <w:jc w:val="center"/>
              <w:rPr>
                <w:sz w:val="20"/>
                <w:szCs w:val="20"/>
                <w:lang w:val="en-US"/>
              </w:rPr>
            </w:pPr>
            <w:r w:rsidRPr="007720BC">
              <w:rPr>
                <w:sz w:val="20"/>
                <w:szCs w:val="20"/>
                <w:lang w:val="en-US"/>
              </w:rPr>
              <w:t>170</w:t>
            </w:r>
          </w:p>
        </w:tc>
        <w:tc>
          <w:tcPr>
            <w:tcW w:w="2268" w:type="dxa"/>
          </w:tcPr>
          <w:p w14:paraId="030C6702" w14:textId="77777777" w:rsidR="00C76E11" w:rsidRPr="007720BC" w:rsidRDefault="00C76E11" w:rsidP="00472C6A">
            <w:pPr>
              <w:pStyle w:val="BodyText"/>
              <w:contextualSpacing/>
              <w:jc w:val="center"/>
              <w:rPr>
                <w:sz w:val="20"/>
                <w:szCs w:val="20"/>
                <w:lang w:val="en-US"/>
              </w:rPr>
            </w:pPr>
            <w:r w:rsidRPr="007720BC">
              <w:rPr>
                <w:sz w:val="20"/>
                <w:szCs w:val="20"/>
                <w:lang w:val="en-US"/>
              </w:rPr>
              <w:t>363</w:t>
            </w:r>
          </w:p>
        </w:tc>
        <w:tc>
          <w:tcPr>
            <w:tcW w:w="1206" w:type="dxa"/>
          </w:tcPr>
          <w:p w14:paraId="0DD87C4A" w14:textId="77777777" w:rsidR="00C76E11" w:rsidRPr="007720BC" w:rsidRDefault="00C76E11" w:rsidP="00472C6A">
            <w:pPr>
              <w:pStyle w:val="BodyText"/>
              <w:contextualSpacing/>
              <w:jc w:val="center"/>
              <w:rPr>
                <w:sz w:val="20"/>
                <w:szCs w:val="20"/>
                <w:lang w:val="en-US"/>
              </w:rPr>
            </w:pPr>
            <w:r w:rsidRPr="007720BC">
              <w:rPr>
                <w:sz w:val="20"/>
                <w:szCs w:val="20"/>
                <w:lang w:val="en-US"/>
              </w:rPr>
              <w:t>511</w:t>
            </w:r>
          </w:p>
        </w:tc>
        <w:tc>
          <w:tcPr>
            <w:tcW w:w="1204" w:type="dxa"/>
          </w:tcPr>
          <w:p w14:paraId="4524DE14" w14:textId="77777777" w:rsidR="00C76E11" w:rsidRPr="007720BC" w:rsidRDefault="00C76E11" w:rsidP="00472C6A">
            <w:pPr>
              <w:pStyle w:val="BodyText"/>
              <w:contextualSpacing/>
              <w:jc w:val="center"/>
              <w:rPr>
                <w:sz w:val="20"/>
                <w:szCs w:val="20"/>
                <w:lang w:val="en-US"/>
              </w:rPr>
            </w:pPr>
            <w:r w:rsidRPr="007720BC">
              <w:rPr>
                <w:sz w:val="20"/>
                <w:szCs w:val="20"/>
                <w:lang w:val="en-US"/>
              </w:rPr>
              <w:t>37</w:t>
            </w:r>
          </w:p>
        </w:tc>
      </w:tr>
      <w:tr w:rsidR="007720BC" w:rsidRPr="007720BC" w14:paraId="21E5C9DC" w14:textId="77777777" w:rsidTr="00472C6A">
        <w:tc>
          <w:tcPr>
            <w:tcW w:w="1762" w:type="dxa"/>
          </w:tcPr>
          <w:p w14:paraId="6E6DDA24" w14:textId="77777777" w:rsidR="00C76E11" w:rsidRPr="007720BC" w:rsidRDefault="00C76E11" w:rsidP="00472C6A">
            <w:pPr>
              <w:pStyle w:val="BodyText"/>
              <w:contextualSpacing/>
              <w:jc w:val="both"/>
              <w:rPr>
                <w:sz w:val="20"/>
                <w:szCs w:val="20"/>
                <w:lang w:val="en-US"/>
              </w:rPr>
            </w:pPr>
            <w:proofErr w:type="spellStart"/>
            <w:r w:rsidRPr="007720BC">
              <w:rPr>
                <w:sz w:val="20"/>
                <w:szCs w:val="20"/>
                <w:lang w:val="en-US"/>
              </w:rPr>
              <w:t>Panyabrangan</w:t>
            </w:r>
            <w:proofErr w:type="spellEnd"/>
          </w:p>
        </w:tc>
        <w:tc>
          <w:tcPr>
            <w:tcW w:w="2099" w:type="dxa"/>
          </w:tcPr>
          <w:p w14:paraId="07568CB8" w14:textId="77777777" w:rsidR="00C76E11" w:rsidRPr="007720BC" w:rsidRDefault="00C76E11" w:rsidP="00472C6A">
            <w:pPr>
              <w:pStyle w:val="BodyText"/>
              <w:contextualSpacing/>
              <w:jc w:val="center"/>
              <w:rPr>
                <w:sz w:val="20"/>
                <w:szCs w:val="20"/>
                <w:lang w:val="en-US"/>
              </w:rPr>
            </w:pPr>
            <w:r w:rsidRPr="007720BC">
              <w:rPr>
                <w:sz w:val="20"/>
                <w:szCs w:val="20"/>
                <w:lang w:val="en-US"/>
              </w:rPr>
              <w:t>163</w:t>
            </w:r>
          </w:p>
        </w:tc>
        <w:tc>
          <w:tcPr>
            <w:tcW w:w="2268" w:type="dxa"/>
          </w:tcPr>
          <w:p w14:paraId="1E612937" w14:textId="77777777" w:rsidR="00C76E11" w:rsidRPr="007720BC" w:rsidRDefault="00C76E11" w:rsidP="00472C6A">
            <w:pPr>
              <w:pStyle w:val="BodyText"/>
              <w:contextualSpacing/>
              <w:jc w:val="center"/>
              <w:rPr>
                <w:sz w:val="20"/>
                <w:szCs w:val="20"/>
                <w:lang w:val="en-US"/>
              </w:rPr>
            </w:pPr>
            <w:r w:rsidRPr="007720BC">
              <w:rPr>
                <w:sz w:val="20"/>
                <w:szCs w:val="20"/>
                <w:lang w:val="en-US"/>
              </w:rPr>
              <w:t>331</w:t>
            </w:r>
          </w:p>
        </w:tc>
        <w:tc>
          <w:tcPr>
            <w:tcW w:w="1206" w:type="dxa"/>
          </w:tcPr>
          <w:p w14:paraId="1076E991" w14:textId="77777777" w:rsidR="00C76E11" w:rsidRPr="007720BC" w:rsidRDefault="00C76E11" w:rsidP="00472C6A">
            <w:pPr>
              <w:pStyle w:val="BodyText"/>
              <w:contextualSpacing/>
              <w:jc w:val="center"/>
              <w:rPr>
                <w:sz w:val="20"/>
                <w:szCs w:val="20"/>
                <w:lang w:val="en-US"/>
              </w:rPr>
            </w:pPr>
            <w:r w:rsidRPr="007720BC">
              <w:rPr>
                <w:sz w:val="20"/>
                <w:szCs w:val="20"/>
                <w:lang w:val="en-US"/>
              </w:rPr>
              <w:t>459</w:t>
            </w:r>
          </w:p>
        </w:tc>
        <w:tc>
          <w:tcPr>
            <w:tcW w:w="1204" w:type="dxa"/>
          </w:tcPr>
          <w:p w14:paraId="3CEB1733" w14:textId="77777777" w:rsidR="00C76E11" w:rsidRPr="007720BC" w:rsidRDefault="00C76E11" w:rsidP="00472C6A">
            <w:pPr>
              <w:pStyle w:val="BodyText"/>
              <w:contextualSpacing/>
              <w:jc w:val="center"/>
              <w:rPr>
                <w:sz w:val="20"/>
                <w:szCs w:val="20"/>
                <w:lang w:val="en-US"/>
              </w:rPr>
            </w:pPr>
            <w:r w:rsidRPr="007720BC">
              <w:rPr>
                <w:sz w:val="20"/>
                <w:szCs w:val="20"/>
                <w:lang w:val="en-US"/>
              </w:rPr>
              <w:t>25</w:t>
            </w:r>
          </w:p>
        </w:tc>
      </w:tr>
      <w:tr w:rsidR="007720BC" w:rsidRPr="007720BC" w14:paraId="7A398C36" w14:textId="77777777" w:rsidTr="00472C6A">
        <w:tc>
          <w:tcPr>
            <w:tcW w:w="1762" w:type="dxa"/>
          </w:tcPr>
          <w:p w14:paraId="077DB798" w14:textId="77777777" w:rsidR="00C76E11" w:rsidRPr="007720BC" w:rsidRDefault="00C76E11" w:rsidP="00472C6A">
            <w:pPr>
              <w:pStyle w:val="BodyText"/>
              <w:contextualSpacing/>
              <w:jc w:val="both"/>
              <w:rPr>
                <w:sz w:val="20"/>
                <w:szCs w:val="20"/>
                <w:lang w:val="en-US"/>
              </w:rPr>
            </w:pPr>
            <w:proofErr w:type="spellStart"/>
            <w:r w:rsidRPr="007720BC">
              <w:rPr>
                <w:sz w:val="20"/>
                <w:szCs w:val="20"/>
                <w:lang w:val="en-US"/>
              </w:rPr>
              <w:t>Gandayasa</w:t>
            </w:r>
            <w:proofErr w:type="spellEnd"/>
          </w:p>
        </w:tc>
        <w:tc>
          <w:tcPr>
            <w:tcW w:w="2099" w:type="dxa"/>
          </w:tcPr>
          <w:p w14:paraId="7CF8FE4F" w14:textId="77777777" w:rsidR="00C76E11" w:rsidRPr="007720BC" w:rsidRDefault="00C76E11" w:rsidP="00472C6A">
            <w:pPr>
              <w:pStyle w:val="BodyText"/>
              <w:contextualSpacing/>
              <w:jc w:val="center"/>
              <w:rPr>
                <w:sz w:val="20"/>
                <w:szCs w:val="20"/>
                <w:lang w:val="en-US"/>
              </w:rPr>
            </w:pPr>
            <w:r w:rsidRPr="007720BC">
              <w:rPr>
                <w:sz w:val="20"/>
                <w:szCs w:val="20"/>
                <w:lang w:val="en-US"/>
              </w:rPr>
              <w:t>123</w:t>
            </w:r>
          </w:p>
        </w:tc>
        <w:tc>
          <w:tcPr>
            <w:tcW w:w="2268" w:type="dxa"/>
          </w:tcPr>
          <w:p w14:paraId="77411076" w14:textId="77777777" w:rsidR="00C76E11" w:rsidRPr="007720BC" w:rsidRDefault="00C76E11" w:rsidP="00472C6A">
            <w:pPr>
              <w:pStyle w:val="BodyText"/>
              <w:contextualSpacing/>
              <w:jc w:val="center"/>
              <w:rPr>
                <w:sz w:val="20"/>
                <w:szCs w:val="20"/>
                <w:lang w:val="en-US"/>
              </w:rPr>
            </w:pPr>
            <w:r w:rsidRPr="007720BC">
              <w:rPr>
                <w:sz w:val="20"/>
                <w:szCs w:val="20"/>
                <w:lang w:val="en-US"/>
              </w:rPr>
              <w:t>266</w:t>
            </w:r>
          </w:p>
        </w:tc>
        <w:tc>
          <w:tcPr>
            <w:tcW w:w="1206" w:type="dxa"/>
          </w:tcPr>
          <w:p w14:paraId="16217123" w14:textId="77777777" w:rsidR="00C76E11" w:rsidRPr="007720BC" w:rsidRDefault="00C76E11" w:rsidP="00472C6A">
            <w:pPr>
              <w:pStyle w:val="BodyText"/>
              <w:contextualSpacing/>
              <w:jc w:val="center"/>
              <w:rPr>
                <w:sz w:val="20"/>
                <w:szCs w:val="20"/>
                <w:lang w:val="en-US"/>
              </w:rPr>
            </w:pPr>
            <w:r w:rsidRPr="007720BC">
              <w:rPr>
                <w:sz w:val="20"/>
                <w:szCs w:val="20"/>
                <w:lang w:val="en-US"/>
              </w:rPr>
              <w:t>384</w:t>
            </w:r>
          </w:p>
        </w:tc>
        <w:tc>
          <w:tcPr>
            <w:tcW w:w="1204" w:type="dxa"/>
          </w:tcPr>
          <w:p w14:paraId="1BFDFF58" w14:textId="77777777" w:rsidR="00C76E11" w:rsidRPr="007720BC" w:rsidRDefault="00C76E11" w:rsidP="00472C6A">
            <w:pPr>
              <w:pStyle w:val="BodyText"/>
              <w:contextualSpacing/>
              <w:jc w:val="center"/>
              <w:rPr>
                <w:sz w:val="20"/>
                <w:szCs w:val="20"/>
                <w:lang w:val="en-US"/>
              </w:rPr>
            </w:pPr>
            <w:r w:rsidRPr="007720BC">
              <w:rPr>
                <w:sz w:val="20"/>
                <w:szCs w:val="20"/>
                <w:lang w:val="en-US"/>
              </w:rPr>
              <w:t>6</w:t>
            </w:r>
          </w:p>
        </w:tc>
      </w:tr>
      <w:tr w:rsidR="007720BC" w:rsidRPr="007720BC" w14:paraId="7253406B" w14:textId="77777777" w:rsidTr="00472C6A">
        <w:tc>
          <w:tcPr>
            <w:tcW w:w="1762" w:type="dxa"/>
          </w:tcPr>
          <w:p w14:paraId="0CC4EB22" w14:textId="77777777" w:rsidR="00C76E11" w:rsidRPr="007720BC" w:rsidRDefault="00C76E11" w:rsidP="00472C6A">
            <w:pPr>
              <w:pStyle w:val="BodyText"/>
              <w:contextualSpacing/>
              <w:jc w:val="both"/>
              <w:rPr>
                <w:sz w:val="20"/>
                <w:szCs w:val="20"/>
                <w:lang w:val="en-US"/>
              </w:rPr>
            </w:pPr>
            <w:proofErr w:type="spellStart"/>
            <w:r w:rsidRPr="007720BC">
              <w:rPr>
                <w:sz w:val="20"/>
                <w:szCs w:val="20"/>
                <w:lang w:val="en-US"/>
              </w:rPr>
              <w:t>Bantar</w:t>
            </w:r>
            <w:proofErr w:type="spellEnd"/>
            <w:r w:rsidRPr="007720BC">
              <w:rPr>
                <w:sz w:val="20"/>
                <w:szCs w:val="20"/>
                <w:lang w:val="en-US"/>
              </w:rPr>
              <w:t xml:space="preserve"> Panjang</w:t>
            </w:r>
          </w:p>
        </w:tc>
        <w:tc>
          <w:tcPr>
            <w:tcW w:w="2099" w:type="dxa"/>
          </w:tcPr>
          <w:p w14:paraId="797D2009" w14:textId="77777777" w:rsidR="00C76E11" w:rsidRPr="007720BC" w:rsidRDefault="00C76E11" w:rsidP="00472C6A">
            <w:pPr>
              <w:pStyle w:val="BodyText"/>
              <w:contextualSpacing/>
              <w:jc w:val="center"/>
              <w:rPr>
                <w:sz w:val="20"/>
                <w:szCs w:val="20"/>
                <w:lang w:val="en-US"/>
              </w:rPr>
            </w:pPr>
            <w:r w:rsidRPr="007720BC">
              <w:rPr>
                <w:sz w:val="20"/>
                <w:szCs w:val="20"/>
                <w:lang w:val="en-US"/>
              </w:rPr>
              <w:t>80</w:t>
            </w:r>
          </w:p>
        </w:tc>
        <w:tc>
          <w:tcPr>
            <w:tcW w:w="2268" w:type="dxa"/>
          </w:tcPr>
          <w:p w14:paraId="5042EB4F" w14:textId="77777777" w:rsidR="00C76E11" w:rsidRPr="007720BC" w:rsidRDefault="00C76E11" w:rsidP="00472C6A">
            <w:pPr>
              <w:pStyle w:val="BodyText"/>
              <w:contextualSpacing/>
              <w:jc w:val="center"/>
              <w:rPr>
                <w:sz w:val="20"/>
                <w:szCs w:val="20"/>
                <w:lang w:val="en-US"/>
              </w:rPr>
            </w:pPr>
            <w:r w:rsidRPr="007720BC">
              <w:rPr>
                <w:sz w:val="20"/>
                <w:szCs w:val="20"/>
                <w:lang w:val="en-US"/>
              </w:rPr>
              <w:t>212</w:t>
            </w:r>
          </w:p>
        </w:tc>
        <w:tc>
          <w:tcPr>
            <w:tcW w:w="1206" w:type="dxa"/>
          </w:tcPr>
          <w:p w14:paraId="324A2139" w14:textId="77777777" w:rsidR="00C76E11" w:rsidRPr="007720BC" w:rsidRDefault="00C76E11" w:rsidP="00472C6A">
            <w:pPr>
              <w:pStyle w:val="BodyText"/>
              <w:contextualSpacing/>
              <w:jc w:val="center"/>
              <w:rPr>
                <w:sz w:val="20"/>
                <w:szCs w:val="20"/>
                <w:lang w:val="en-US"/>
              </w:rPr>
            </w:pPr>
            <w:r w:rsidRPr="007720BC">
              <w:rPr>
                <w:sz w:val="20"/>
                <w:szCs w:val="20"/>
                <w:lang w:val="en-US"/>
              </w:rPr>
              <w:t>287</w:t>
            </w:r>
          </w:p>
        </w:tc>
        <w:tc>
          <w:tcPr>
            <w:tcW w:w="1204" w:type="dxa"/>
          </w:tcPr>
          <w:p w14:paraId="60E95448" w14:textId="77777777" w:rsidR="00C76E11" w:rsidRPr="007720BC" w:rsidRDefault="00C76E11" w:rsidP="00472C6A">
            <w:pPr>
              <w:pStyle w:val="BodyText"/>
              <w:contextualSpacing/>
              <w:jc w:val="center"/>
              <w:rPr>
                <w:sz w:val="20"/>
                <w:szCs w:val="20"/>
                <w:lang w:val="en-US"/>
              </w:rPr>
            </w:pPr>
            <w:r w:rsidRPr="007720BC">
              <w:rPr>
                <w:sz w:val="20"/>
                <w:szCs w:val="20"/>
                <w:lang w:val="en-US"/>
              </w:rPr>
              <w:t>19</w:t>
            </w:r>
          </w:p>
        </w:tc>
      </w:tr>
      <w:tr w:rsidR="007720BC" w:rsidRPr="007720BC" w14:paraId="21A522B5" w14:textId="77777777" w:rsidTr="00472C6A">
        <w:tc>
          <w:tcPr>
            <w:tcW w:w="1762" w:type="dxa"/>
          </w:tcPr>
          <w:p w14:paraId="7EDB4925" w14:textId="77777777" w:rsidR="00C76E11" w:rsidRPr="007720BC" w:rsidRDefault="00C76E11" w:rsidP="00472C6A">
            <w:pPr>
              <w:pStyle w:val="BodyText"/>
              <w:contextualSpacing/>
              <w:jc w:val="both"/>
              <w:rPr>
                <w:sz w:val="20"/>
                <w:szCs w:val="20"/>
                <w:lang w:val="en-US"/>
              </w:rPr>
            </w:pPr>
            <w:proofErr w:type="spellStart"/>
            <w:r w:rsidRPr="007720BC">
              <w:rPr>
                <w:sz w:val="20"/>
                <w:szCs w:val="20"/>
                <w:lang w:val="en-US"/>
              </w:rPr>
              <w:t>Sukaratu</w:t>
            </w:r>
            <w:proofErr w:type="spellEnd"/>
          </w:p>
        </w:tc>
        <w:tc>
          <w:tcPr>
            <w:tcW w:w="2099" w:type="dxa"/>
          </w:tcPr>
          <w:p w14:paraId="3D920F72" w14:textId="77777777" w:rsidR="00C76E11" w:rsidRPr="007720BC" w:rsidRDefault="00C76E11" w:rsidP="00472C6A">
            <w:pPr>
              <w:pStyle w:val="BodyText"/>
              <w:contextualSpacing/>
              <w:jc w:val="center"/>
              <w:rPr>
                <w:sz w:val="20"/>
                <w:szCs w:val="20"/>
                <w:lang w:val="en-US"/>
              </w:rPr>
            </w:pPr>
            <w:r w:rsidRPr="007720BC">
              <w:rPr>
                <w:sz w:val="20"/>
                <w:szCs w:val="20"/>
                <w:lang w:val="en-US"/>
              </w:rPr>
              <w:t>43</w:t>
            </w:r>
          </w:p>
        </w:tc>
        <w:tc>
          <w:tcPr>
            <w:tcW w:w="2268" w:type="dxa"/>
          </w:tcPr>
          <w:p w14:paraId="27675DC2" w14:textId="77777777" w:rsidR="00C76E11" w:rsidRPr="007720BC" w:rsidRDefault="00C76E11" w:rsidP="00472C6A">
            <w:pPr>
              <w:pStyle w:val="BodyText"/>
              <w:contextualSpacing/>
              <w:jc w:val="center"/>
              <w:rPr>
                <w:sz w:val="20"/>
                <w:szCs w:val="20"/>
                <w:lang w:val="en-US"/>
              </w:rPr>
            </w:pPr>
            <w:r w:rsidRPr="007720BC">
              <w:rPr>
                <w:sz w:val="20"/>
                <w:szCs w:val="20"/>
                <w:lang w:val="en-US"/>
              </w:rPr>
              <w:t>85</w:t>
            </w:r>
          </w:p>
        </w:tc>
        <w:tc>
          <w:tcPr>
            <w:tcW w:w="1206" w:type="dxa"/>
          </w:tcPr>
          <w:p w14:paraId="4384B10B" w14:textId="77777777" w:rsidR="00C76E11" w:rsidRPr="007720BC" w:rsidRDefault="00C76E11" w:rsidP="00472C6A">
            <w:pPr>
              <w:pStyle w:val="BodyText"/>
              <w:contextualSpacing/>
              <w:jc w:val="center"/>
              <w:rPr>
                <w:sz w:val="20"/>
                <w:szCs w:val="20"/>
                <w:lang w:val="en-US"/>
              </w:rPr>
            </w:pPr>
            <w:r w:rsidRPr="007720BC">
              <w:rPr>
                <w:sz w:val="20"/>
                <w:szCs w:val="20"/>
                <w:lang w:val="en-US"/>
              </w:rPr>
              <w:t>139</w:t>
            </w:r>
          </w:p>
        </w:tc>
        <w:tc>
          <w:tcPr>
            <w:tcW w:w="1204" w:type="dxa"/>
          </w:tcPr>
          <w:p w14:paraId="5488DD78" w14:textId="77777777" w:rsidR="00C76E11" w:rsidRPr="007720BC" w:rsidRDefault="00C76E11" w:rsidP="00472C6A">
            <w:pPr>
              <w:pStyle w:val="BodyText"/>
              <w:contextualSpacing/>
              <w:jc w:val="center"/>
              <w:rPr>
                <w:sz w:val="20"/>
                <w:szCs w:val="20"/>
                <w:lang w:val="en-US"/>
              </w:rPr>
            </w:pPr>
            <w:r w:rsidRPr="007720BC">
              <w:rPr>
                <w:sz w:val="20"/>
                <w:szCs w:val="20"/>
                <w:lang w:val="en-US"/>
              </w:rPr>
              <w:t>2</w:t>
            </w:r>
          </w:p>
        </w:tc>
      </w:tr>
      <w:tr w:rsidR="007720BC" w:rsidRPr="007720BC" w14:paraId="48F6F9F7" w14:textId="77777777" w:rsidTr="00472C6A">
        <w:tc>
          <w:tcPr>
            <w:tcW w:w="1762" w:type="dxa"/>
          </w:tcPr>
          <w:p w14:paraId="573132A0" w14:textId="77777777" w:rsidR="00C76E11" w:rsidRPr="007720BC" w:rsidRDefault="00C76E11" w:rsidP="00472C6A">
            <w:pPr>
              <w:pStyle w:val="BodyText"/>
              <w:contextualSpacing/>
              <w:jc w:val="both"/>
              <w:rPr>
                <w:sz w:val="20"/>
                <w:szCs w:val="20"/>
                <w:lang w:val="en-US"/>
              </w:rPr>
            </w:pPr>
            <w:proofErr w:type="spellStart"/>
            <w:r w:rsidRPr="007720BC">
              <w:rPr>
                <w:sz w:val="20"/>
                <w:szCs w:val="20"/>
                <w:lang w:val="en-US"/>
              </w:rPr>
              <w:t>Harundang</w:t>
            </w:r>
            <w:proofErr w:type="spellEnd"/>
          </w:p>
        </w:tc>
        <w:tc>
          <w:tcPr>
            <w:tcW w:w="2099" w:type="dxa"/>
          </w:tcPr>
          <w:p w14:paraId="156FF8CC" w14:textId="77777777" w:rsidR="00C76E11" w:rsidRPr="007720BC" w:rsidRDefault="00C76E11" w:rsidP="00472C6A">
            <w:pPr>
              <w:pStyle w:val="BodyText"/>
              <w:contextualSpacing/>
              <w:jc w:val="center"/>
              <w:rPr>
                <w:sz w:val="20"/>
                <w:szCs w:val="20"/>
                <w:lang w:val="en-US"/>
              </w:rPr>
            </w:pPr>
            <w:r w:rsidRPr="007720BC">
              <w:rPr>
                <w:sz w:val="20"/>
                <w:szCs w:val="20"/>
                <w:lang w:val="en-US"/>
              </w:rPr>
              <w:t>75</w:t>
            </w:r>
          </w:p>
        </w:tc>
        <w:tc>
          <w:tcPr>
            <w:tcW w:w="2268" w:type="dxa"/>
          </w:tcPr>
          <w:p w14:paraId="03A86754" w14:textId="77777777" w:rsidR="00C76E11" w:rsidRPr="007720BC" w:rsidRDefault="00C76E11" w:rsidP="00472C6A">
            <w:pPr>
              <w:pStyle w:val="BodyText"/>
              <w:contextualSpacing/>
              <w:jc w:val="center"/>
              <w:rPr>
                <w:sz w:val="20"/>
                <w:szCs w:val="20"/>
                <w:lang w:val="en-US"/>
              </w:rPr>
            </w:pPr>
            <w:r w:rsidRPr="007720BC">
              <w:rPr>
                <w:sz w:val="20"/>
                <w:szCs w:val="20"/>
                <w:lang w:val="en-US"/>
              </w:rPr>
              <w:t>108</w:t>
            </w:r>
          </w:p>
        </w:tc>
        <w:tc>
          <w:tcPr>
            <w:tcW w:w="1206" w:type="dxa"/>
          </w:tcPr>
          <w:p w14:paraId="6E90C459" w14:textId="77777777" w:rsidR="00C76E11" w:rsidRPr="007720BC" w:rsidRDefault="00C76E11" w:rsidP="00472C6A">
            <w:pPr>
              <w:pStyle w:val="BodyText"/>
              <w:contextualSpacing/>
              <w:jc w:val="center"/>
              <w:rPr>
                <w:sz w:val="20"/>
                <w:szCs w:val="20"/>
                <w:lang w:val="en-US"/>
              </w:rPr>
            </w:pPr>
            <w:r w:rsidRPr="007720BC">
              <w:rPr>
                <w:sz w:val="20"/>
                <w:szCs w:val="20"/>
                <w:lang w:val="en-US"/>
              </w:rPr>
              <w:t>173</w:t>
            </w:r>
          </w:p>
        </w:tc>
        <w:tc>
          <w:tcPr>
            <w:tcW w:w="1204" w:type="dxa"/>
          </w:tcPr>
          <w:p w14:paraId="42C98B6F" w14:textId="77777777" w:rsidR="00C76E11" w:rsidRPr="007720BC" w:rsidRDefault="00C76E11" w:rsidP="00472C6A">
            <w:pPr>
              <w:pStyle w:val="BodyText"/>
              <w:contextualSpacing/>
              <w:jc w:val="center"/>
              <w:rPr>
                <w:sz w:val="20"/>
                <w:szCs w:val="20"/>
                <w:lang w:val="en-US"/>
              </w:rPr>
            </w:pPr>
            <w:r w:rsidRPr="007720BC">
              <w:rPr>
                <w:sz w:val="20"/>
                <w:szCs w:val="20"/>
                <w:lang w:val="en-US"/>
              </w:rPr>
              <w:t>21</w:t>
            </w:r>
          </w:p>
        </w:tc>
      </w:tr>
      <w:tr w:rsidR="007720BC" w:rsidRPr="007720BC" w14:paraId="3B8C8CBF" w14:textId="77777777" w:rsidTr="00472C6A">
        <w:tc>
          <w:tcPr>
            <w:tcW w:w="1762" w:type="dxa"/>
          </w:tcPr>
          <w:p w14:paraId="45E04E00" w14:textId="77777777" w:rsidR="00C76E11" w:rsidRPr="007720BC" w:rsidRDefault="00C76E11" w:rsidP="00472C6A">
            <w:pPr>
              <w:pStyle w:val="BodyText"/>
              <w:contextualSpacing/>
              <w:jc w:val="both"/>
              <w:rPr>
                <w:sz w:val="20"/>
                <w:szCs w:val="20"/>
                <w:lang w:val="en-US"/>
              </w:rPr>
            </w:pPr>
            <w:proofErr w:type="spellStart"/>
            <w:r w:rsidRPr="007720BC">
              <w:rPr>
                <w:sz w:val="20"/>
                <w:szCs w:val="20"/>
                <w:lang w:val="en-US"/>
              </w:rPr>
              <w:t>Sukarame</w:t>
            </w:r>
            <w:proofErr w:type="spellEnd"/>
          </w:p>
        </w:tc>
        <w:tc>
          <w:tcPr>
            <w:tcW w:w="2099" w:type="dxa"/>
          </w:tcPr>
          <w:p w14:paraId="491D2499" w14:textId="77777777" w:rsidR="00C76E11" w:rsidRPr="007720BC" w:rsidRDefault="00C76E11" w:rsidP="00472C6A">
            <w:pPr>
              <w:pStyle w:val="BodyText"/>
              <w:contextualSpacing/>
              <w:jc w:val="center"/>
              <w:rPr>
                <w:sz w:val="20"/>
                <w:szCs w:val="20"/>
                <w:lang w:val="en-US"/>
              </w:rPr>
            </w:pPr>
            <w:r w:rsidRPr="007720BC">
              <w:rPr>
                <w:sz w:val="20"/>
                <w:szCs w:val="20"/>
                <w:lang w:val="en-US"/>
              </w:rPr>
              <w:t>98</w:t>
            </w:r>
          </w:p>
        </w:tc>
        <w:tc>
          <w:tcPr>
            <w:tcW w:w="2268" w:type="dxa"/>
          </w:tcPr>
          <w:p w14:paraId="7E11F02C" w14:textId="77777777" w:rsidR="00C76E11" w:rsidRPr="007720BC" w:rsidRDefault="00C76E11" w:rsidP="00472C6A">
            <w:pPr>
              <w:pStyle w:val="BodyText"/>
              <w:contextualSpacing/>
              <w:jc w:val="center"/>
              <w:rPr>
                <w:sz w:val="20"/>
                <w:szCs w:val="20"/>
                <w:lang w:val="en-US"/>
              </w:rPr>
            </w:pPr>
            <w:r w:rsidRPr="007720BC">
              <w:rPr>
                <w:sz w:val="20"/>
                <w:szCs w:val="20"/>
                <w:lang w:val="en-US"/>
              </w:rPr>
              <w:t>175</w:t>
            </w:r>
          </w:p>
        </w:tc>
        <w:tc>
          <w:tcPr>
            <w:tcW w:w="1206" w:type="dxa"/>
          </w:tcPr>
          <w:p w14:paraId="1137CC16" w14:textId="77777777" w:rsidR="00C76E11" w:rsidRPr="007720BC" w:rsidRDefault="00C76E11" w:rsidP="00472C6A">
            <w:pPr>
              <w:pStyle w:val="BodyText"/>
              <w:contextualSpacing/>
              <w:jc w:val="center"/>
              <w:rPr>
                <w:sz w:val="20"/>
                <w:szCs w:val="20"/>
                <w:lang w:val="en-US"/>
              </w:rPr>
            </w:pPr>
            <w:r w:rsidRPr="007720BC">
              <w:rPr>
                <w:sz w:val="20"/>
                <w:szCs w:val="20"/>
                <w:lang w:val="en-US"/>
              </w:rPr>
              <w:t>273</w:t>
            </w:r>
          </w:p>
        </w:tc>
        <w:tc>
          <w:tcPr>
            <w:tcW w:w="1204" w:type="dxa"/>
          </w:tcPr>
          <w:p w14:paraId="249D2476" w14:textId="77777777" w:rsidR="00C76E11" w:rsidRPr="007720BC" w:rsidRDefault="00C76E11" w:rsidP="00472C6A">
            <w:pPr>
              <w:pStyle w:val="BodyText"/>
              <w:contextualSpacing/>
              <w:jc w:val="center"/>
              <w:rPr>
                <w:sz w:val="20"/>
                <w:szCs w:val="20"/>
                <w:lang w:val="en-US"/>
              </w:rPr>
            </w:pPr>
            <w:r w:rsidRPr="007720BC">
              <w:rPr>
                <w:sz w:val="20"/>
                <w:szCs w:val="20"/>
                <w:lang w:val="en-US"/>
              </w:rPr>
              <w:t>13</w:t>
            </w:r>
          </w:p>
        </w:tc>
      </w:tr>
      <w:tr w:rsidR="007720BC" w:rsidRPr="007720BC" w14:paraId="79A68505" w14:textId="77777777" w:rsidTr="00472C6A">
        <w:tc>
          <w:tcPr>
            <w:tcW w:w="1762" w:type="dxa"/>
          </w:tcPr>
          <w:p w14:paraId="1A0058FA" w14:textId="77777777" w:rsidR="00C76E11" w:rsidRPr="007720BC" w:rsidRDefault="00C76E11" w:rsidP="00472C6A">
            <w:pPr>
              <w:pStyle w:val="BodyText"/>
              <w:contextualSpacing/>
              <w:jc w:val="both"/>
              <w:rPr>
                <w:sz w:val="20"/>
                <w:szCs w:val="20"/>
                <w:lang w:val="en-US"/>
              </w:rPr>
            </w:pPr>
            <w:proofErr w:type="spellStart"/>
            <w:r w:rsidRPr="007720BC">
              <w:rPr>
                <w:sz w:val="20"/>
                <w:szCs w:val="20"/>
                <w:lang w:val="en-US"/>
              </w:rPr>
              <w:t>Panosogan</w:t>
            </w:r>
            <w:proofErr w:type="spellEnd"/>
          </w:p>
        </w:tc>
        <w:tc>
          <w:tcPr>
            <w:tcW w:w="2099" w:type="dxa"/>
          </w:tcPr>
          <w:p w14:paraId="1A621D47" w14:textId="77777777" w:rsidR="00C76E11" w:rsidRPr="007720BC" w:rsidRDefault="00C76E11" w:rsidP="00472C6A">
            <w:pPr>
              <w:pStyle w:val="BodyText"/>
              <w:contextualSpacing/>
              <w:jc w:val="center"/>
              <w:rPr>
                <w:sz w:val="20"/>
                <w:szCs w:val="20"/>
                <w:lang w:val="en-US"/>
              </w:rPr>
            </w:pPr>
            <w:r w:rsidRPr="007720BC">
              <w:rPr>
                <w:sz w:val="20"/>
                <w:szCs w:val="20"/>
                <w:lang w:val="en-US"/>
              </w:rPr>
              <w:t>51</w:t>
            </w:r>
          </w:p>
        </w:tc>
        <w:tc>
          <w:tcPr>
            <w:tcW w:w="2268" w:type="dxa"/>
          </w:tcPr>
          <w:p w14:paraId="4109F7F2" w14:textId="77777777" w:rsidR="00C76E11" w:rsidRPr="007720BC" w:rsidRDefault="00C76E11" w:rsidP="00472C6A">
            <w:pPr>
              <w:pStyle w:val="BodyText"/>
              <w:contextualSpacing/>
              <w:jc w:val="center"/>
              <w:rPr>
                <w:sz w:val="20"/>
                <w:szCs w:val="20"/>
                <w:lang w:val="en-US"/>
              </w:rPr>
            </w:pPr>
            <w:r w:rsidRPr="007720BC">
              <w:rPr>
                <w:sz w:val="20"/>
                <w:szCs w:val="20"/>
                <w:lang w:val="en-US"/>
              </w:rPr>
              <w:t>191</w:t>
            </w:r>
          </w:p>
        </w:tc>
        <w:tc>
          <w:tcPr>
            <w:tcW w:w="1206" w:type="dxa"/>
          </w:tcPr>
          <w:p w14:paraId="3679DFDF" w14:textId="77777777" w:rsidR="00C76E11" w:rsidRPr="007720BC" w:rsidRDefault="00C76E11" w:rsidP="00472C6A">
            <w:pPr>
              <w:pStyle w:val="BodyText"/>
              <w:contextualSpacing/>
              <w:jc w:val="center"/>
              <w:rPr>
                <w:sz w:val="20"/>
                <w:szCs w:val="20"/>
                <w:lang w:val="en-US"/>
              </w:rPr>
            </w:pPr>
            <w:r w:rsidRPr="007720BC">
              <w:rPr>
                <w:sz w:val="20"/>
                <w:szCs w:val="20"/>
                <w:lang w:val="en-US"/>
              </w:rPr>
              <w:t>245</w:t>
            </w:r>
          </w:p>
        </w:tc>
        <w:tc>
          <w:tcPr>
            <w:tcW w:w="1204" w:type="dxa"/>
          </w:tcPr>
          <w:p w14:paraId="7C8E497F" w14:textId="77777777" w:rsidR="00C76E11" w:rsidRPr="007720BC" w:rsidRDefault="00C76E11" w:rsidP="00472C6A">
            <w:pPr>
              <w:pStyle w:val="BodyText"/>
              <w:contextualSpacing/>
              <w:jc w:val="center"/>
              <w:rPr>
                <w:sz w:val="20"/>
                <w:szCs w:val="20"/>
                <w:lang w:val="en-US"/>
              </w:rPr>
            </w:pPr>
            <w:r w:rsidRPr="007720BC">
              <w:rPr>
                <w:sz w:val="20"/>
                <w:szCs w:val="20"/>
                <w:lang w:val="en-US"/>
              </w:rPr>
              <w:t>13</w:t>
            </w:r>
          </w:p>
        </w:tc>
      </w:tr>
      <w:tr w:rsidR="007720BC" w:rsidRPr="007720BC" w14:paraId="4AC4EBD6" w14:textId="77777777" w:rsidTr="00472C6A">
        <w:tc>
          <w:tcPr>
            <w:tcW w:w="1762" w:type="dxa"/>
          </w:tcPr>
          <w:p w14:paraId="044A02A3" w14:textId="77777777" w:rsidR="00C76E11" w:rsidRPr="007720BC" w:rsidRDefault="00C76E11" w:rsidP="00472C6A">
            <w:pPr>
              <w:pStyle w:val="BodyText"/>
              <w:contextualSpacing/>
              <w:jc w:val="both"/>
              <w:rPr>
                <w:sz w:val="20"/>
                <w:szCs w:val="20"/>
                <w:lang w:val="en-US"/>
              </w:rPr>
            </w:pPr>
            <w:proofErr w:type="spellStart"/>
            <w:r w:rsidRPr="007720BC">
              <w:rPr>
                <w:sz w:val="20"/>
                <w:szCs w:val="20"/>
                <w:lang w:val="en-US"/>
              </w:rPr>
              <w:t>Mongpok</w:t>
            </w:r>
            <w:proofErr w:type="spellEnd"/>
          </w:p>
        </w:tc>
        <w:tc>
          <w:tcPr>
            <w:tcW w:w="2099" w:type="dxa"/>
          </w:tcPr>
          <w:p w14:paraId="2653D765" w14:textId="77777777" w:rsidR="00C76E11" w:rsidRPr="007720BC" w:rsidRDefault="00C76E11" w:rsidP="00472C6A">
            <w:pPr>
              <w:pStyle w:val="BodyText"/>
              <w:contextualSpacing/>
              <w:jc w:val="center"/>
              <w:rPr>
                <w:sz w:val="20"/>
                <w:szCs w:val="20"/>
                <w:lang w:val="en-US"/>
              </w:rPr>
            </w:pPr>
            <w:r w:rsidRPr="007720BC">
              <w:rPr>
                <w:sz w:val="20"/>
                <w:szCs w:val="20"/>
                <w:lang w:val="en-US"/>
              </w:rPr>
              <w:t>88</w:t>
            </w:r>
          </w:p>
        </w:tc>
        <w:tc>
          <w:tcPr>
            <w:tcW w:w="2268" w:type="dxa"/>
          </w:tcPr>
          <w:p w14:paraId="797B0FA9" w14:textId="77777777" w:rsidR="00C76E11" w:rsidRPr="007720BC" w:rsidRDefault="00C76E11" w:rsidP="00472C6A">
            <w:pPr>
              <w:pStyle w:val="BodyText"/>
              <w:contextualSpacing/>
              <w:jc w:val="center"/>
              <w:rPr>
                <w:sz w:val="20"/>
                <w:szCs w:val="20"/>
                <w:lang w:val="en-US"/>
              </w:rPr>
            </w:pPr>
            <w:r w:rsidRPr="007720BC">
              <w:rPr>
                <w:sz w:val="20"/>
                <w:szCs w:val="20"/>
                <w:lang w:val="en-US"/>
              </w:rPr>
              <w:t>205</w:t>
            </w:r>
          </w:p>
        </w:tc>
        <w:tc>
          <w:tcPr>
            <w:tcW w:w="1206" w:type="dxa"/>
          </w:tcPr>
          <w:p w14:paraId="0114BBA9" w14:textId="77777777" w:rsidR="00C76E11" w:rsidRPr="007720BC" w:rsidRDefault="00C76E11" w:rsidP="00472C6A">
            <w:pPr>
              <w:pStyle w:val="BodyText"/>
              <w:contextualSpacing/>
              <w:jc w:val="center"/>
              <w:rPr>
                <w:sz w:val="20"/>
                <w:szCs w:val="20"/>
                <w:lang w:val="en-US"/>
              </w:rPr>
            </w:pPr>
            <w:r w:rsidRPr="007720BC">
              <w:rPr>
                <w:sz w:val="20"/>
                <w:szCs w:val="20"/>
                <w:lang w:val="en-US"/>
              </w:rPr>
              <w:t>244</w:t>
            </w:r>
          </w:p>
        </w:tc>
        <w:tc>
          <w:tcPr>
            <w:tcW w:w="1204" w:type="dxa"/>
          </w:tcPr>
          <w:p w14:paraId="13700037" w14:textId="77777777" w:rsidR="00C76E11" w:rsidRPr="007720BC" w:rsidRDefault="00C76E11" w:rsidP="00472C6A">
            <w:pPr>
              <w:pStyle w:val="BodyText"/>
              <w:contextualSpacing/>
              <w:jc w:val="center"/>
              <w:rPr>
                <w:sz w:val="20"/>
                <w:szCs w:val="20"/>
                <w:lang w:val="en-US"/>
              </w:rPr>
            </w:pPr>
            <w:r w:rsidRPr="007720BC">
              <w:rPr>
                <w:sz w:val="20"/>
                <w:szCs w:val="20"/>
                <w:lang w:val="en-US"/>
              </w:rPr>
              <w:t>20</w:t>
            </w:r>
          </w:p>
        </w:tc>
      </w:tr>
      <w:tr w:rsidR="007720BC" w:rsidRPr="007720BC" w14:paraId="0F2C8B52" w14:textId="77777777" w:rsidTr="00472C6A">
        <w:tc>
          <w:tcPr>
            <w:tcW w:w="1762" w:type="dxa"/>
          </w:tcPr>
          <w:p w14:paraId="7F985C60" w14:textId="77777777" w:rsidR="00C76E11" w:rsidRPr="007720BC" w:rsidRDefault="00C76E11" w:rsidP="00472C6A">
            <w:pPr>
              <w:pStyle w:val="BodyText"/>
              <w:contextualSpacing/>
              <w:jc w:val="both"/>
              <w:rPr>
                <w:sz w:val="20"/>
                <w:szCs w:val="20"/>
                <w:lang w:val="en-US"/>
              </w:rPr>
            </w:pPr>
            <w:proofErr w:type="spellStart"/>
            <w:r w:rsidRPr="007720BC">
              <w:rPr>
                <w:sz w:val="20"/>
                <w:szCs w:val="20"/>
                <w:lang w:val="en-US"/>
              </w:rPr>
              <w:t>Sukaraja</w:t>
            </w:r>
            <w:proofErr w:type="spellEnd"/>
          </w:p>
        </w:tc>
        <w:tc>
          <w:tcPr>
            <w:tcW w:w="2099" w:type="dxa"/>
          </w:tcPr>
          <w:p w14:paraId="131CB920" w14:textId="77777777" w:rsidR="00C76E11" w:rsidRPr="007720BC" w:rsidRDefault="00C76E11" w:rsidP="00472C6A">
            <w:pPr>
              <w:pStyle w:val="BodyText"/>
              <w:contextualSpacing/>
              <w:jc w:val="center"/>
              <w:rPr>
                <w:sz w:val="20"/>
                <w:szCs w:val="20"/>
                <w:lang w:val="en-US"/>
              </w:rPr>
            </w:pPr>
            <w:r w:rsidRPr="007720BC">
              <w:rPr>
                <w:sz w:val="20"/>
                <w:szCs w:val="20"/>
                <w:lang w:val="en-US"/>
              </w:rPr>
              <w:t>156</w:t>
            </w:r>
          </w:p>
        </w:tc>
        <w:tc>
          <w:tcPr>
            <w:tcW w:w="2268" w:type="dxa"/>
          </w:tcPr>
          <w:p w14:paraId="4FF6C9FB" w14:textId="77777777" w:rsidR="00C76E11" w:rsidRPr="007720BC" w:rsidRDefault="00C76E11" w:rsidP="00472C6A">
            <w:pPr>
              <w:pStyle w:val="BodyText"/>
              <w:contextualSpacing/>
              <w:jc w:val="center"/>
              <w:rPr>
                <w:sz w:val="20"/>
                <w:szCs w:val="20"/>
                <w:lang w:val="en-US"/>
              </w:rPr>
            </w:pPr>
            <w:r w:rsidRPr="007720BC">
              <w:rPr>
                <w:sz w:val="20"/>
                <w:szCs w:val="20"/>
                <w:lang w:val="en-US"/>
              </w:rPr>
              <w:t>293</w:t>
            </w:r>
          </w:p>
        </w:tc>
        <w:tc>
          <w:tcPr>
            <w:tcW w:w="1206" w:type="dxa"/>
          </w:tcPr>
          <w:p w14:paraId="49AF755B" w14:textId="77777777" w:rsidR="00C76E11" w:rsidRPr="007720BC" w:rsidRDefault="00C76E11" w:rsidP="00472C6A">
            <w:pPr>
              <w:pStyle w:val="BodyText"/>
              <w:contextualSpacing/>
              <w:jc w:val="center"/>
              <w:rPr>
                <w:sz w:val="20"/>
                <w:szCs w:val="20"/>
                <w:lang w:val="en-US"/>
              </w:rPr>
            </w:pPr>
            <w:r w:rsidRPr="007720BC">
              <w:rPr>
                <w:sz w:val="20"/>
                <w:szCs w:val="20"/>
                <w:lang w:val="en-US"/>
              </w:rPr>
              <w:t>444</w:t>
            </w:r>
          </w:p>
        </w:tc>
        <w:tc>
          <w:tcPr>
            <w:tcW w:w="1204" w:type="dxa"/>
          </w:tcPr>
          <w:p w14:paraId="6B35EF5C" w14:textId="77777777" w:rsidR="00C76E11" w:rsidRPr="007720BC" w:rsidRDefault="00C76E11" w:rsidP="00472C6A">
            <w:pPr>
              <w:pStyle w:val="BodyText"/>
              <w:contextualSpacing/>
              <w:jc w:val="center"/>
              <w:rPr>
                <w:sz w:val="20"/>
                <w:szCs w:val="20"/>
                <w:lang w:val="en-US"/>
              </w:rPr>
            </w:pPr>
            <w:r w:rsidRPr="007720BC">
              <w:rPr>
                <w:sz w:val="20"/>
                <w:szCs w:val="20"/>
                <w:lang w:val="en-US"/>
              </w:rPr>
              <w:t>40</w:t>
            </w:r>
          </w:p>
        </w:tc>
      </w:tr>
      <w:tr w:rsidR="007720BC" w:rsidRPr="007720BC" w14:paraId="35D6F031" w14:textId="77777777" w:rsidTr="00472C6A">
        <w:tc>
          <w:tcPr>
            <w:tcW w:w="1762" w:type="dxa"/>
          </w:tcPr>
          <w:p w14:paraId="3AE975AC" w14:textId="77777777" w:rsidR="00C76E11" w:rsidRPr="007720BC" w:rsidRDefault="00C76E11" w:rsidP="00472C6A">
            <w:pPr>
              <w:pStyle w:val="BodyText"/>
              <w:contextualSpacing/>
              <w:jc w:val="both"/>
              <w:rPr>
                <w:sz w:val="20"/>
                <w:szCs w:val="20"/>
                <w:lang w:val="en-US"/>
              </w:rPr>
            </w:pPr>
            <w:proofErr w:type="spellStart"/>
            <w:r w:rsidRPr="007720BC">
              <w:rPr>
                <w:sz w:val="20"/>
                <w:szCs w:val="20"/>
                <w:lang w:val="en-US"/>
              </w:rPr>
              <w:t>Cilayang</w:t>
            </w:r>
            <w:proofErr w:type="spellEnd"/>
            <w:r w:rsidRPr="007720BC">
              <w:rPr>
                <w:sz w:val="20"/>
                <w:szCs w:val="20"/>
                <w:lang w:val="en-US"/>
              </w:rPr>
              <w:t xml:space="preserve"> Guha</w:t>
            </w:r>
          </w:p>
        </w:tc>
        <w:tc>
          <w:tcPr>
            <w:tcW w:w="2099" w:type="dxa"/>
          </w:tcPr>
          <w:p w14:paraId="295419C2" w14:textId="77777777" w:rsidR="00C76E11" w:rsidRPr="007720BC" w:rsidRDefault="00C76E11" w:rsidP="00472C6A">
            <w:pPr>
              <w:pStyle w:val="BodyText"/>
              <w:contextualSpacing/>
              <w:jc w:val="center"/>
              <w:rPr>
                <w:sz w:val="20"/>
                <w:szCs w:val="20"/>
                <w:lang w:val="en-US"/>
              </w:rPr>
            </w:pPr>
            <w:r w:rsidRPr="007720BC">
              <w:rPr>
                <w:sz w:val="20"/>
                <w:szCs w:val="20"/>
                <w:lang w:val="en-US"/>
              </w:rPr>
              <w:t>43</w:t>
            </w:r>
          </w:p>
        </w:tc>
        <w:tc>
          <w:tcPr>
            <w:tcW w:w="2268" w:type="dxa"/>
          </w:tcPr>
          <w:p w14:paraId="1A6CEBE4" w14:textId="77777777" w:rsidR="00C76E11" w:rsidRPr="007720BC" w:rsidRDefault="00C76E11" w:rsidP="00472C6A">
            <w:pPr>
              <w:pStyle w:val="BodyText"/>
              <w:contextualSpacing/>
              <w:jc w:val="center"/>
              <w:rPr>
                <w:sz w:val="20"/>
                <w:szCs w:val="20"/>
                <w:lang w:val="en-US"/>
              </w:rPr>
            </w:pPr>
            <w:r w:rsidRPr="007720BC">
              <w:rPr>
                <w:sz w:val="20"/>
                <w:szCs w:val="20"/>
                <w:lang w:val="en-US"/>
              </w:rPr>
              <w:t>115</w:t>
            </w:r>
          </w:p>
        </w:tc>
        <w:tc>
          <w:tcPr>
            <w:tcW w:w="1206" w:type="dxa"/>
          </w:tcPr>
          <w:p w14:paraId="5FA23715" w14:textId="77777777" w:rsidR="00C76E11" w:rsidRPr="007720BC" w:rsidRDefault="00C76E11" w:rsidP="00472C6A">
            <w:pPr>
              <w:pStyle w:val="BodyText"/>
              <w:contextualSpacing/>
              <w:jc w:val="center"/>
              <w:rPr>
                <w:sz w:val="20"/>
                <w:szCs w:val="20"/>
                <w:lang w:val="en-US"/>
              </w:rPr>
            </w:pPr>
            <w:r w:rsidRPr="007720BC">
              <w:rPr>
                <w:sz w:val="20"/>
                <w:szCs w:val="20"/>
                <w:lang w:val="en-US"/>
              </w:rPr>
              <w:t>137</w:t>
            </w:r>
          </w:p>
        </w:tc>
        <w:tc>
          <w:tcPr>
            <w:tcW w:w="1204" w:type="dxa"/>
          </w:tcPr>
          <w:p w14:paraId="6D2815BD" w14:textId="77777777" w:rsidR="00C76E11" w:rsidRPr="007720BC" w:rsidRDefault="00C76E11" w:rsidP="00472C6A">
            <w:pPr>
              <w:pStyle w:val="BodyText"/>
              <w:contextualSpacing/>
              <w:jc w:val="center"/>
              <w:rPr>
                <w:sz w:val="20"/>
                <w:szCs w:val="20"/>
                <w:lang w:val="en-US"/>
              </w:rPr>
            </w:pPr>
            <w:r w:rsidRPr="007720BC">
              <w:rPr>
                <w:sz w:val="20"/>
                <w:szCs w:val="20"/>
                <w:lang w:val="en-US"/>
              </w:rPr>
              <w:t>14</w:t>
            </w:r>
          </w:p>
        </w:tc>
      </w:tr>
      <w:tr w:rsidR="007720BC" w:rsidRPr="007720BC" w14:paraId="51DF90F6" w14:textId="77777777" w:rsidTr="00472C6A">
        <w:tc>
          <w:tcPr>
            <w:tcW w:w="1762" w:type="dxa"/>
            <w:tcBorders>
              <w:bottom w:val="single" w:sz="4" w:space="0" w:color="auto"/>
            </w:tcBorders>
          </w:tcPr>
          <w:p w14:paraId="11C95D72" w14:textId="77777777" w:rsidR="00C76E11" w:rsidRPr="007720BC" w:rsidRDefault="00C76E11" w:rsidP="00472C6A">
            <w:pPr>
              <w:pStyle w:val="BodyText"/>
              <w:contextualSpacing/>
              <w:jc w:val="both"/>
              <w:rPr>
                <w:b/>
                <w:bCs/>
                <w:sz w:val="20"/>
                <w:szCs w:val="20"/>
                <w:lang w:val="en-US"/>
              </w:rPr>
            </w:pPr>
            <w:proofErr w:type="spellStart"/>
            <w:r w:rsidRPr="007720BC">
              <w:rPr>
                <w:b/>
                <w:bCs/>
                <w:sz w:val="20"/>
                <w:szCs w:val="20"/>
                <w:lang w:val="en-US"/>
              </w:rPr>
              <w:t>Jumlah</w:t>
            </w:r>
            <w:proofErr w:type="spellEnd"/>
          </w:p>
        </w:tc>
        <w:tc>
          <w:tcPr>
            <w:tcW w:w="2099" w:type="dxa"/>
            <w:tcBorders>
              <w:bottom w:val="single" w:sz="4" w:space="0" w:color="auto"/>
            </w:tcBorders>
          </w:tcPr>
          <w:p w14:paraId="7512A97D" w14:textId="77777777" w:rsidR="00C76E11" w:rsidRPr="007720BC" w:rsidRDefault="00C76E11" w:rsidP="00472C6A">
            <w:pPr>
              <w:pStyle w:val="BodyText"/>
              <w:contextualSpacing/>
              <w:jc w:val="center"/>
              <w:rPr>
                <w:sz w:val="20"/>
                <w:szCs w:val="20"/>
                <w:lang w:val="en-US"/>
              </w:rPr>
            </w:pPr>
            <w:r w:rsidRPr="007720BC">
              <w:rPr>
                <w:sz w:val="20"/>
                <w:szCs w:val="20"/>
                <w:lang w:val="en-US"/>
              </w:rPr>
              <w:t>1.685</w:t>
            </w:r>
          </w:p>
        </w:tc>
        <w:tc>
          <w:tcPr>
            <w:tcW w:w="2268" w:type="dxa"/>
            <w:tcBorders>
              <w:bottom w:val="single" w:sz="4" w:space="0" w:color="auto"/>
            </w:tcBorders>
          </w:tcPr>
          <w:p w14:paraId="67FD20C3" w14:textId="77777777" w:rsidR="00C76E11" w:rsidRPr="007720BC" w:rsidRDefault="00C76E11" w:rsidP="00472C6A">
            <w:pPr>
              <w:pStyle w:val="BodyText"/>
              <w:contextualSpacing/>
              <w:jc w:val="center"/>
              <w:rPr>
                <w:sz w:val="20"/>
                <w:szCs w:val="20"/>
                <w:lang w:val="en-US"/>
              </w:rPr>
            </w:pPr>
            <w:r w:rsidRPr="007720BC">
              <w:rPr>
                <w:sz w:val="20"/>
                <w:szCs w:val="20"/>
                <w:lang w:val="en-US"/>
              </w:rPr>
              <w:t>3.834</w:t>
            </w:r>
          </w:p>
        </w:tc>
        <w:tc>
          <w:tcPr>
            <w:tcW w:w="1206" w:type="dxa"/>
            <w:tcBorders>
              <w:bottom w:val="single" w:sz="4" w:space="0" w:color="auto"/>
            </w:tcBorders>
          </w:tcPr>
          <w:p w14:paraId="74DEB885" w14:textId="77777777" w:rsidR="00C76E11" w:rsidRPr="007720BC" w:rsidRDefault="00C76E11" w:rsidP="00472C6A">
            <w:pPr>
              <w:pStyle w:val="BodyText"/>
              <w:contextualSpacing/>
              <w:jc w:val="center"/>
              <w:rPr>
                <w:sz w:val="20"/>
                <w:szCs w:val="20"/>
                <w:lang w:val="en-US"/>
              </w:rPr>
            </w:pPr>
            <w:r w:rsidRPr="007720BC">
              <w:rPr>
                <w:sz w:val="20"/>
                <w:szCs w:val="20"/>
                <w:lang w:val="en-US"/>
              </w:rPr>
              <w:t>5.355</w:t>
            </w:r>
          </w:p>
        </w:tc>
        <w:tc>
          <w:tcPr>
            <w:tcW w:w="1204" w:type="dxa"/>
            <w:tcBorders>
              <w:bottom w:val="single" w:sz="4" w:space="0" w:color="auto"/>
            </w:tcBorders>
          </w:tcPr>
          <w:p w14:paraId="1F59C4CC" w14:textId="77777777" w:rsidR="00C76E11" w:rsidRPr="007720BC" w:rsidRDefault="00C76E11" w:rsidP="00472C6A">
            <w:pPr>
              <w:pStyle w:val="BodyText"/>
              <w:contextualSpacing/>
              <w:jc w:val="center"/>
              <w:rPr>
                <w:sz w:val="20"/>
                <w:szCs w:val="20"/>
                <w:lang w:val="en-US"/>
              </w:rPr>
            </w:pPr>
            <w:r w:rsidRPr="007720BC">
              <w:rPr>
                <w:sz w:val="20"/>
                <w:szCs w:val="20"/>
                <w:lang w:val="en-US"/>
              </w:rPr>
              <w:t>385</w:t>
            </w:r>
          </w:p>
        </w:tc>
      </w:tr>
    </w:tbl>
    <w:p w14:paraId="08C918D1" w14:textId="0352DDAF" w:rsidR="00C76E11" w:rsidRPr="007720BC" w:rsidRDefault="00C76E11" w:rsidP="00B61E88">
      <w:pPr>
        <w:pStyle w:val="BodyText"/>
        <w:contextualSpacing/>
        <w:jc w:val="center"/>
        <w:rPr>
          <w:sz w:val="20"/>
          <w:szCs w:val="20"/>
          <w:lang w:val="en-US"/>
        </w:rPr>
      </w:pPr>
      <w:proofErr w:type="spellStart"/>
      <w:r w:rsidRPr="007720BC">
        <w:rPr>
          <w:sz w:val="20"/>
          <w:szCs w:val="20"/>
          <w:lang w:val="en-US"/>
        </w:rPr>
        <w:t>Sumber</w:t>
      </w:r>
      <w:proofErr w:type="spellEnd"/>
      <w:r w:rsidRPr="007720BC">
        <w:rPr>
          <w:sz w:val="20"/>
          <w:szCs w:val="20"/>
          <w:lang w:val="en-US"/>
        </w:rPr>
        <w:t>: e-PPBGM (2023)</w:t>
      </w:r>
    </w:p>
    <w:p w14:paraId="25C9CF89" w14:textId="77777777" w:rsidR="00C76E11" w:rsidRPr="007720BC" w:rsidRDefault="00C76E11" w:rsidP="00C76E11">
      <w:pPr>
        <w:pStyle w:val="BodyText"/>
        <w:ind w:firstLine="720"/>
        <w:contextualSpacing/>
        <w:jc w:val="both"/>
        <w:rPr>
          <w:sz w:val="24"/>
          <w:szCs w:val="24"/>
          <w:lang w:val="en-US"/>
        </w:rPr>
      </w:pPr>
    </w:p>
    <w:p w14:paraId="176141A3" w14:textId="4C1EEAA9" w:rsidR="00404359" w:rsidRPr="007720BC" w:rsidRDefault="00C76E11" w:rsidP="00404359">
      <w:pPr>
        <w:spacing w:after="0" w:line="240" w:lineRule="auto"/>
        <w:ind w:firstLine="720"/>
        <w:jc w:val="both"/>
        <w:rPr>
          <w:rFonts w:ascii="Times New Roman" w:hAnsi="Times New Roman" w:cs="Times New Roman"/>
          <w:sz w:val="24"/>
          <w:szCs w:val="24"/>
        </w:rPr>
      </w:pPr>
      <w:proofErr w:type="spellStart"/>
      <w:r w:rsidRPr="007720BC">
        <w:rPr>
          <w:rFonts w:ascii="Times New Roman" w:hAnsi="Times New Roman" w:cs="Times New Roman"/>
          <w:sz w:val="24"/>
          <w:szCs w:val="24"/>
          <w:lang w:val="en-US"/>
        </w:rPr>
        <w:t>Berdasarkan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tabel</w:t>
      </w:r>
      <w:proofErr w:type="spellEnd"/>
      <w:r w:rsidRPr="007720BC">
        <w:rPr>
          <w:rFonts w:ascii="Times New Roman" w:hAnsi="Times New Roman" w:cs="Times New Roman"/>
          <w:sz w:val="24"/>
          <w:szCs w:val="24"/>
          <w:lang w:val="en-US"/>
        </w:rPr>
        <w:t xml:space="preserve"> 2, Desa </w:t>
      </w:r>
      <w:proofErr w:type="spellStart"/>
      <w:r w:rsidRPr="007720BC">
        <w:rPr>
          <w:rFonts w:ascii="Times New Roman" w:hAnsi="Times New Roman" w:cs="Times New Roman"/>
          <w:sz w:val="24"/>
          <w:szCs w:val="24"/>
          <w:lang w:val="en-US"/>
        </w:rPr>
        <w:t>Mongpok</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merupakan</w:t>
      </w:r>
      <w:proofErr w:type="spellEnd"/>
      <w:r w:rsidRPr="007720BC">
        <w:rPr>
          <w:rFonts w:ascii="Times New Roman" w:hAnsi="Times New Roman" w:cs="Times New Roman"/>
          <w:sz w:val="24"/>
          <w:szCs w:val="24"/>
          <w:lang w:val="en-US"/>
        </w:rPr>
        <w:t xml:space="preserve"> salah </w:t>
      </w:r>
      <w:proofErr w:type="spellStart"/>
      <w:r w:rsidRPr="007720BC">
        <w:rPr>
          <w:rFonts w:ascii="Times New Roman" w:hAnsi="Times New Roman" w:cs="Times New Roman"/>
          <w:sz w:val="24"/>
          <w:szCs w:val="24"/>
          <w:lang w:val="en-US"/>
        </w:rPr>
        <w:t>satu</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desa</w:t>
      </w:r>
      <w:proofErr w:type="spellEnd"/>
      <w:r w:rsidRPr="007720BC">
        <w:rPr>
          <w:rFonts w:ascii="Times New Roman" w:hAnsi="Times New Roman" w:cs="Times New Roman"/>
          <w:sz w:val="24"/>
          <w:szCs w:val="24"/>
          <w:lang w:val="en-US"/>
        </w:rPr>
        <w:t xml:space="preserve"> yang </w:t>
      </w:r>
      <w:proofErr w:type="spellStart"/>
      <w:r w:rsidRPr="007720BC">
        <w:rPr>
          <w:rFonts w:ascii="Times New Roman" w:hAnsi="Times New Roman" w:cs="Times New Roman"/>
          <w:sz w:val="24"/>
          <w:szCs w:val="24"/>
          <w:lang w:val="en-US"/>
        </w:rPr>
        <w:t>memiliki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kelompok</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sasaran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resiko</w:t>
      </w:r>
      <w:proofErr w:type="spellEnd"/>
      <w:r w:rsidRPr="007720BC">
        <w:rPr>
          <w:rFonts w:ascii="Times New Roman" w:hAnsi="Times New Roman" w:cs="Times New Roman"/>
          <w:sz w:val="24"/>
          <w:szCs w:val="24"/>
          <w:lang w:val="en-US"/>
        </w:rPr>
        <w:t xml:space="preserve"> stunting </w:t>
      </w:r>
      <w:r w:rsidR="002F1638" w:rsidRPr="007720BC">
        <w:rPr>
          <w:rFonts w:ascii="Times New Roman" w:hAnsi="Times New Roman" w:cs="Times New Roman"/>
          <w:sz w:val="24"/>
          <w:szCs w:val="24"/>
          <w:lang w:val="en-US"/>
        </w:rPr>
        <w:t xml:space="preserve">relative </w:t>
      </w:r>
      <w:proofErr w:type="spellStart"/>
      <w:r w:rsidRPr="007720BC">
        <w:rPr>
          <w:rFonts w:ascii="Times New Roman" w:hAnsi="Times New Roman" w:cs="Times New Roman"/>
          <w:sz w:val="24"/>
          <w:szCs w:val="24"/>
          <w:lang w:val="en-US"/>
        </w:rPr>
        <w:t>cukup</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tinggi</w:t>
      </w:r>
      <w:proofErr w:type="spellEnd"/>
      <w:r w:rsidRPr="007720BC">
        <w:rPr>
          <w:rFonts w:ascii="Times New Roman" w:hAnsi="Times New Roman" w:cs="Times New Roman"/>
          <w:sz w:val="24"/>
          <w:szCs w:val="24"/>
          <w:lang w:val="en-US"/>
        </w:rPr>
        <w:t xml:space="preserve"> di </w:t>
      </w:r>
      <w:proofErr w:type="spellStart"/>
      <w:r w:rsidRPr="007720BC">
        <w:rPr>
          <w:rFonts w:ascii="Times New Roman" w:hAnsi="Times New Roman" w:cs="Times New Roman"/>
          <w:sz w:val="24"/>
          <w:szCs w:val="24"/>
          <w:lang w:val="en-US"/>
        </w:rPr>
        <w:t>Kecamatan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Cikeusal</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Kabupaten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Serang</w:t>
      </w:r>
      <w:proofErr w:type="spellEnd"/>
      <w:r w:rsidRPr="007720BC">
        <w:rPr>
          <w:rFonts w:ascii="Times New Roman" w:hAnsi="Times New Roman" w:cs="Times New Roman"/>
          <w:sz w:val="24"/>
          <w:szCs w:val="24"/>
          <w:lang w:val="en-US"/>
        </w:rPr>
        <w:t xml:space="preserve">. </w:t>
      </w:r>
      <w:proofErr w:type="spellStart"/>
      <w:r w:rsidR="002F1638" w:rsidRPr="007720BC">
        <w:rPr>
          <w:rFonts w:ascii="Times New Roman" w:hAnsi="Times New Roman" w:cs="Times New Roman"/>
          <w:sz w:val="24"/>
          <w:szCs w:val="24"/>
          <w:lang w:val="en-US"/>
        </w:rPr>
        <w:t>J</w:t>
      </w:r>
      <w:r w:rsidRPr="007720BC">
        <w:rPr>
          <w:rFonts w:ascii="Times New Roman" w:hAnsi="Times New Roman" w:cs="Times New Roman"/>
          <w:sz w:val="24"/>
          <w:szCs w:val="24"/>
          <w:lang w:val="en-US"/>
        </w:rPr>
        <w:t>umlah</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kelompok</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sasaran</w:t>
      </w:r>
      <w:proofErr w:type="spellEnd"/>
      <w:r w:rsidRPr="007720BC">
        <w:rPr>
          <w:rFonts w:ascii="Times New Roman" w:hAnsi="Times New Roman" w:cs="Times New Roman"/>
          <w:sz w:val="24"/>
          <w:szCs w:val="24"/>
          <w:lang w:val="en-US"/>
        </w:rPr>
        <w:t xml:space="preserve"> stunting </w:t>
      </w:r>
      <w:proofErr w:type="spellStart"/>
      <w:r w:rsidRPr="007720BC">
        <w:rPr>
          <w:rFonts w:ascii="Times New Roman" w:hAnsi="Times New Roman" w:cs="Times New Roman"/>
          <w:sz w:val="24"/>
          <w:szCs w:val="24"/>
          <w:lang w:val="en-US"/>
        </w:rPr>
        <w:t>bayi</w:t>
      </w:r>
      <w:proofErr w:type="spellEnd"/>
      <w:r w:rsidRPr="007720BC">
        <w:rPr>
          <w:rFonts w:ascii="Times New Roman" w:hAnsi="Times New Roman" w:cs="Times New Roman"/>
          <w:sz w:val="24"/>
          <w:szCs w:val="24"/>
          <w:lang w:val="en-US"/>
        </w:rPr>
        <w:t xml:space="preserve"> dua </w:t>
      </w:r>
      <w:proofErr w:type="spellStart"/>
      <w:r w:rsidRPr="007720BC">
        <w:rPr>
          <w:rFonts w:ascii="Times New Roman" w:hAnsi="Times New Roman" w:cs="Times New Roman"/>
          <w:sz w:val="24"/>
          <w:szCs w:val="24"/>
          <w:lang w:val="en-US"/>
        </w:rPr>
        <w:t>tahun</w:t>
      </w:r>
      <w:proofErr w:type="spellEnd"/>
      <w:r w:rsidRPr="007720BC">
        <w:rPr>
          <w:rFonts w:ascii="Times New Roman" w:hAnsi="Times New Roman" w:cs="Times New Roman"/>
          <w:sz w:val="24"/>
          <w:szCs w:val="24"/>
          <w:lang w:val="en-US"/>
        </w:rPr>
        <w:t xml:space="preserve"> (0-23 </w:t>
      </w:r>
      <w:proofErr w:type="spellStart"/>
      <w:r w:rsidRPr="007720BC">
        <w:rPr>
          <w:rFonts w:ascii="Times New Roman" w:hAnsi="Times New Roman" w:cs="Times New Roman"/>
          <w:sz w:val="24"/>
          <w:szCs w:val="24"/>
          <w:lang w:val="en-US"/>
        </w:rPr>
        <w:t>bulan</w:t>
      </w:r>
      <w:proofErr w:type="spellEnd"/>
      <w:r w:rsidRPr="007720BC">
        <w:rPr>
          <w:rFonts w:ascii="Times New Roman" w:hAnsi="Times New Roman" w:cs="Times New Roman"/>
          <w:sz w:val="24"/>
          <w:szCs w:val="24"/>
          <w:lang w:val="en-US"/>
        </w:rPr>
        <w:t xml:space="preserve">) dan </w:t>
      </w:r>
      <w:proofErr w:type="spellStart"/>
      <w:r w:rsidRPr="007720BC">
        <w:rPr>
          <w:rFonts w:ascii="Times New Roman" w:hAnsi="Times New Roman" w:cs="Times New Roman"/>
          <w:sz w:val="24"/>
          <w:szCs w:val="24"/>
          <w:lang w:val="en-US"/>
        </w:rPr>
        <w:t>bayi</w:t>
      </w:r>
      <w:proofErr w:type="spellEnd"/>
      <w:r w:rsidRPr="007720BC">
        <w:rPr>
          <w:rFonts w:ascii="Times New Roman" w:hAnsi="Times New Roman" w:cs="Times New Roman"/>
          <w:sz w:val="24"/>
          <w:szCs w:val="24"/>
          <w:lang w:val="en-US"/>
        </w:rPr>
        <w:t xml:space="preserve"> lima </w:t>
      </w:r>
      <w:proofErr w:type="spellStart"/>
      <w:r w:rsidRPr="007720BC">
        <w:rPr>
          <w:rFonts w:ascii="Times New Roman" w:hAnsi="Times New Roman" w:cs="Times New Roman"/>
          <w:sz w:val="24"/>
          <w:szCs w:val="24"/>
          <w:lang w:val="en-US"/>
        </w:rPr>
        <w:t>tahun</w:t>
      </w:r>
      <w:proofErr w:type="spellEnd"/>
      <w:r w:rsidRPr="007720BC">
        <w:rPr>
          <w:rFonts w:ascii="Times New Roman" w:hAnsi="Times New Roman" w:cs="Times New Roman"/>
          <w:sz w:val="24"/>
          <w:szCs w:val="24"/>
          <w:lang w:val="en-US"/>
        </w:rPr>
        <w:t xml:space="preserve"> (24-50 </w:t>
      </w:r>
      <w:proofErr w:type="spellStart"/>
      <w:r w:rsidRPr="007720BC">
        <w:rPr>
          <w:rFonts w:ascii="Times New Roman" w:hAnsi="Times New Roman" w:cs="Times New Roman"/>
          <w:sz w:val="24"/>
          <w:szCs w:val="24"/>
          <w:lang w:val="en-US"/>
        </w:rPr>
        <w:t>bulan</w:t>
      </w:r>
      <w:proofErr w:type="spellEnd"/>
      <w:r w:rsidRPr="007720BC">
        <w:rPr>
          <w:rFonts w:ascii="Times New Roman" w:hAnsi="Times New Roman" w:cs="Times New Roman"/>
          <w:sz w:val="24"/>
          <w:szCs w:val="24"/>
          <w:lang w:val="en-US"/>
        </w:rPr>
        <w:t xml:space="preserve">) di Desa </w:t>
      </w:r>
      <w:proofErr w:type="spellStart"/>
      <w:r w:rsidRPr="007720BC">
        <w:rPr>
          <w:rFonts w:ascii="Times New Roman" w:hAnsi="Times New Roman" w:cs="Times New Roman"/>
          <w:sz w:val="24"/>
          <w:szCs w:val="24"/>
          <w:lang w:val="en-US"/>
        </w:rPr>
        <w:t>Mongpok</w:t>
      </w:r>
      <w:proofErr w:type="spellEnd"/>
      <w:r w:rsidRPr="007720BC">
        <w:rPr>
          <w:rFonts w:ascii="Times New Roman" w:hAnsi="Times New Roman" w:cs="Times New Roman"/>
          <w:sz w:val="24"/>
          <w:szCs w:val="24"/>
          <w:lang w:val="en-US"/>
        </w:rPr>
        <w:t xml:space="preserve"> masing-masing </w:t>
      </w:r>
      <w:proofErr w:type="spellStart"/>
      <w:r w:rsidRPr="007720BC">
        <w:rPr>
          <w:rFonts w:ascii="Times New Roman" w:hAnsi="Times New Roman" w:cs="Times New Roman"/>
          <w:sz w:val="24"/>
          <w:szCs w:val="24"/>
          <w:lang w:val="en-US"/>
        </w:rPr>
        <w:t>sebanyak</w:t>
      </w:r>
      <w:proofErr w:type="spellEnd"/>
      <w:r w:rsidRPr="007720BC">
        <w:rPr>
          <w:rFonts w:ascii="Times New Roman" w:hAnsi="Times New Roman" w:cs="Times New Roman"/>
          <w:sz w:val="24"/>
          <w:szCs w:val="24"/>
          <w:lang w:val="en-US"/>
        </w:rPr>
        <w:t xml:space="preserve"> 88 orang dan 205 orang </w:t>
      </w:r>
      <w:proofErr w:type="spellStart"/>
      <w:r w:rsidRPr="007720BC">
        <w:rPr>
          <w:rFonts w:ascii="Times New Roman" w:hAnsi="Times New Roman" w:cs="Times New Roman"/>
          <w:sz w:val="24"/>
          <w:szCs w:val="24"/>
          <w:lang w:val="en-US"/>
        </w:rPr>
        <w:t>atau</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berada</w:t>
      </w:r>
      <w:proofErr w:type="spellEnd"/>
      <w:r w:rsidRPr="007720BC">
        <w:rPr>
          <w:rFonts w:ascii="Times New Roman" w:hAnsi="Times New Roman" w:cs="Times New Roman"/>
          <w:sz w:val="24"/>
          <w:szCs w:val="24"/>
          <w:lang w:val="en-US"/>
        </w:rPr>
        <w:t xml:space="preserve"> pada </w:t>
      </w:r>
      <w:proofErr w:type="spellStart"/>
      <w:r w:rsidRPr="007720BC">
        <w:rPr>
          <w:rFonts w:ascii="Times New Roman" w:hAnsi="Times New Roman" w:cs="Times New Roman"/>
          <w:sz w:val="24"/>
          <w:szCs w:val="24"/>
          <w:lang w:val="en-US"/>
        </w:rPr>
        <w:t>urutan</w:t>
      </w:r>
      <w:proofErr w:type="spellEnd"/>
      <w:r w:rsidRPr="007720BC">
        <w:rPr>
          <w:rFonts w:ascii="Times New Roman" w:hAnsi="Times New Roman" w:cs="Times New Roman"/>
          <w:sz w:val="24"/>
          <w:szCs w:val="24"/>
          <w:lang w:val="en-US"/>
        </w:rPr>
        <w:t xml:space="preserve"> 9 </w:t>
      </w:r>
      <w:proofErr w:type="spellStart"/>
      <w:r w:rsidRPr="007720BC">
        <w:rPr>
          <w:rFonts w:ascii="Times New Roman" w:hAnsi="Times New Roman" w:cs="Times New Roman"/>
          <w:sz w:val="24"/>
          <w:szCs w:val="24"/>
          <w:lang w:val="en-US"/>
        </w:rPr>
        <w:t>dari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keseluruhan</w:t>
      </w:r>
      <w:proofErr w:type="spellEnd"/>
      <w:r w:rsidRPr="007720BC">
        <w:rPr>
          <w:rFonts w:ascii="Times New Roman" w:hAnsi="Times New Roman" w:cs="Times New Roman"/>
          <w:sz w:val="24"/>
          <w:szCs w:val="24"/>
          <w:lang w:val="en-US"/>
        </w:rPr>
        <w:t xml:space="preserve"> 17 </w:t>
      </w:r>
      <w:proofErr w:type="spellStart"/>
      <w:r w:rsidRPr="007720BC">
        <w:rPr>
          <w:rFonts w:ascii="Times New Roman" w:hAnsi="Times New Roman" w:cs="Times New Roman"/>
          <w:sz w:val="24"/>
          <w:szCs w:val="24"/>
          <w:lang w:val="en-US"/>
        </w:rPr>
        <w:t>desa</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Sedangkan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untuk</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kelompok</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sasaran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resiko</w:t>
      </w:r>
      <w:proofErr w:type="spellEnd"/>
      <w:r w:rsidRPr="007720BC">
        <w:rPr>
          <w:rFonts w:ascii="Times New Roman" w:hAnsi="Times New Roman" w:cs="Times New Roman"/>
          <w:sz w:val="24"/>
          <w:szCs w:val="24"/>
          <w:lang w:val="en-US"/>
        </w:rPr>
        <w:t xml:space="preserve"> stunting </w:t>
      </w:r>
      <w:proofErr w:type="spellStart"/>
      <w:r w:rsidRPr="007720BC">
        <w:rPr>
          <w:rFonts w:ascii="Times New Roman" w:hAnsi="Times New Roman" w:cs="Times New Roman"/>
          <w:sz w:val="24"/>
          <w:szCs w:val="24"/>
          <w:lang w:val="en-US"/>
        </w:rPr>
        <w:t>untuk</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kategori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pasangan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usia</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subur</w:t>
      </w:r>
      <w:proofErr w:type="spellEnd"/>
      <w:r w:rsidR="008E2D9D"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yaitu</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sebanyak</w:t>
      </w:r>
      <w:proofErr w:type="spellEnd"/>
      <w:r w:rsidRPr="007720BC">
        <w:rPr>
          <w:rFonts w:ascii="Times New Roman" w:hAnsi="Times New Roman" w:cs="Times New Roman"/>
          <w:sz w:val="24"/>
          <w:szCs w:val="24"/>
          <w:lang w:val="en-US"/>
        </w:rPr>
        <w:t xml:space="preserve"> 244 </w:t>
      </w:r>
      <w:proofErr w:type="spellStart"/>
      <w:r w:rsidRPr="007720BC">
        <w:rPr>
          <w:rFonts w:ascii="Times New Roman" w:hAnsi="Times New Roman" w:cs="Times New Roman"/>
          <w:sz w:val="24"/>
          <w:szCs w:val="24"/>
          <w:lang w:val="en-US"/>
        </w:rPr>
        <w:t>atau</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berada</w:t>
      </w:r>
      <w:proofErr w:type="spellEnd"/>
      <w:r w:rsidRPr="007720BC">
        <w:rPr>
          <w:rFonts w:ascii="Times New Roman" w:hAnsi="Times New Roman" w:cs="Times New Roman"/>
          <w:sz w:val="24"/>
          <w:szCs w:val="24"/>
          <w:lang w:val="en-US"/>
        </w:rPr>
        <w:t xml:space="preserve"> pada </w:t>
      </w:r>
      <w:proofErr w:type="spellStart"/>
      <w:r w:rsidRPr="007720BC">
        <w:rPr>
          <w:rFonts w:ascii="Times New Roman" w:hAnsi="Times New Roman" w:cs="Times New Roman"/>
          <w:sz w:val="24"/>
          <w:szCs w:val="24"/>
          <w:lang w:val="en-US"/>
        </w:rPr>
        <w:t>urutan</w:t>
      </w:r>
      <w:proofErr w:type="spellEnd"/>
      <w:r w:rsidRPr="007720BC">
        <w:rPr>
          <w:rFonts w:ascii="Times New Roman" w:hAnsi="Times New Roman" w:cs="Times New Roman"/>
          <w:sz w:val="24"/>
          <w:szCs w:val="24"/>
          <w:lang w:val="en-US"/>
        </w:rPr>
        <w:t xml:space="preserve"> 13 </w:t>
      </w:r>
      <w:proofErr w:type="spellStart"/>
      <w:r w:rsidRPr="007720BC">
        <w:rPr>
          <w:rFonts w:ascii="Times New Roman" w:hAnsi="Times New Roman" w:cs="Times New Roman"/>
          <w:sz w:val="24"/>
          <w:szCs w:val="24"/>
          <w:lang w:val="en-US"/>
        </w:rPr>
        <w:t>dari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keseluruhan</w:t>
      </w:r>
      <w:proofErr w:type="spellEnd"/>
      <w:r w:rsidRPr="007720BC">
        <w:rPr>
          <w:rFonts w:ascii="Times New Roman" w:hAnsi="Times New Roman" w:cs="Times New Roman"/>
          <w:sz w:val="24"/>
          <w:szCs w:val="24"/>
          <w:lang w:val="en-US"/>
        </w:rPr>
        <w:t xml:space="preserve"> 17 </w:t>
      </w:r>
      <w:proofErr w:type="spellStart"/>
      <w:r w:rsidRPr="007720BC">
        <w:rPr>
          <w:rFonts w:ascii="Times New Roman" w:hAnsi="Times New Roman" w:cs="Times New Roman"/>
          <w:sz w:val="24"/>
          <w:szCs w:val="24"/>
          <w:lang w:val="en-US"/>
        </w:rPr>
        <w:t>desa</w:t>
      </w:r>
      <w:proofErr w:type="spellEnd"/>
      <w:r w:rsidRPr="007720BC">
        <w:rPr>
          <w:rFonts w:ascii="Times New Roman" w:hAnsi="Times New Roman" w:cs="Times New Roman"/>
          <w:sz w:val="24"/>
          <w:szCs w:val="24"/>
          <w:lang w:val="en-US"/>
        </w:rPr>
        <w:t xml:space="preserve"> dan </w:t>
      </w:r>
      <w:proofErr w:type="spellStart"/>
      <w:r w:rsidRPr="007720BC">
        <w:rPr>
          <w:rFonts w:ascii="Times New Roman" w:hAnsi="Times New Roman" w:cs="Times New Roman"/>
          <w:sz w:val="24"/>
          <w:szCs w:val="24"/>
          <w:lang w:val="en-US"/>
        </w:rPr>
        <w:t>pasangan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usia</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subur</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hamil</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sebanyak</w:t>
      </w:r>
      <w:proofErr w:type="spellEnd"/>
      <w:r w:rsidRPr="007720BC">
        <w:rPr>
          <w:rFonts w:ascii="Times New Roman" w:hAnsi="Times New Roman" w:cs="Times New Roman"/>
          <w:sz w:val="24"/>
          <w:szCs w:val="24"/>
          <w:lang w:val="en-US"/>
        </w:rPr>
        <w:t xml:space="preserve"> 20 orang </w:t>
      </w:r>
      <w:proofErr w:type="spellStart"/>
      <w:r w:rsidRPr="007720BC">
        <w:rPr>
          <w:rFonts w:ascii="Times New Roman" w:hAnsi="Times New Roman" w:cs="Times New Roman"/>
          <w:sz w:val="24"/>
          <w:szCs w:val="24"/>
          <w:lang w:val="en-US"/>
        </w:rPr>
        <w:t>atau</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berada</w:t>
      </w:r>
      <w:proofErr w:type="spellEnd"/>
      <w:r w:rsidRPr="007720BC">
        <w:rPr>
          <w:rFonts w:ascii="Times New Roman" w:hAnsi="Times New Roman" w:cs="Times New Roman"/>
          <w:sz w:val="24"/>
          <w:szCs w:val="24"/>
          <w:lang w:val="en-US"/>
        </w:rPr>
        <w:t xml:space="preserve"> pada </w:t>
      </w:r>
      <w:proofErr w:type="spellStart"/>
      <w:r w:rsidRPr="007720BC">
        <w:rPr>
          <w:rFonts w:ascii="Times New Roman" w:hAnsi="Times New Roman" w:cs="Times New Roman"/>
          <w:sz w:val="24"/>
          <w:szCs w:val="24"/>
          <w:lang w:val="en-US"/>
        </w:rPr>
        <w:t>urutan</w:t>
      </w:r>
      <w:proofErr w:type="spellEnd"/>
      <w:r w:rsidRPr="007720BC">
        <w:rPr>
          <w:rFonts w:ascii="Times New Roman" w:hAnsi="Times New Roman" w:cs="Times New Roman"/>
          <w:sz w:val="24"/>
          <w:szCs w:val="24"/>
          <w:lang w:val="en-US"/>
        </w:rPr>
        <w:t xml:space="preserve"> 9 </w:t>
      </w:r>
      <w:proofErr w:type="spellStart"/>
      <w:r w:rsidRPr="007720BC">
        <w:rPr>
          <w:rFonts w:ascii="Times New Roman" w:hAnsi="Times New Roman" w:cs="Times New Roman"/>
          <w:sz w:val="24"/>
          <w:szCs w:val="24"/>
          <w:lang w:val="en-US"/>
        </w:rPr>
        <w:t>dari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keseluruhan</w:t>
      </w:r>
      <w:proofErr w:type="spellEnd"/>
      <w:r w:rsidRPr="007720BC">
        <w:rPr>
          <w:rFonts w:ascii="Times New Roman" w:hAnsi="Times New Roman" w:cs="Times New Roman"/>
          <w:sz w:val="24"/>
          <w:szCs w:val="24"/>
          <w:lang w:val="en-US"/>
        </w:rPr>
        <w:t xml:space="preserve"> 17 </w:t>
      </w:r>
      <w:proofErr w:type="spellStart"/>
      <w:r w:rsidRPr="007720BC">
        <w:rPr>
          <w:rFonts w:ascii="Times New Roman" w:hAnsi="Times New Roman" w:cs="Times New Roman"/>
          <w:sz w:val="24"/>
          <w:szCs w:val="24"/>
          <w:lang w:val="en-US"/>
        </w:rPr>
        <w:t>desa</w:t>
      </w:r>
      <w:proofErr w:type="spellEnd"/>
      <w:r w:rsidRPr="007720BC">
        <w:rPr>
          <w:rFonts w:ascii="Times New Roman" w:hAnsi="Times New Roman" w:cs="Times New Roman"/>
          <w:sz w:val="24"/>
          <w:szCs w:val="24"/>
          <w:lang w:val="en-US"/>
        </w:rPr>
        <w:t>.</w:t>
      </w:r>
    </w:p>
    <w:p w14:paraId="51EB807D" w14:textId="732660BF" w:rsidR="00385BDC" w:rsidRPr="007720BC" w:rsidRDefault="00404359" w:rsidP="00404359">
      <w:pPr>
        <w:spacing w:after="0" w:line="240" w:lineRule="auto"/>
        <w:ind w:firstLine="720"/>
        <w:jc w:val="both"/>
        <w:rPr>
          <w:rFonts w:ascii="Times New Roman" w:hAnsi="Times New Roman" w:cs="Times New Roman"/>
          <w:b/>
          <w:bCs/>
          <w:sz w:val="24"/>
          <w:szCs w:val="24"/>
          <w:lang w:val="ms-MY"/>
        </w:rPr>
      </w:pPr>
      <w:proofErr w:type="spellStart"/>
      <w:r w:rsidRPr="007720BC">
        <w:rPr>
          <w:rFonts w:ascii="Times New Roman" w:hAnsi="Times New Roman" w:cs="Times New Roman"/>
          <w:sz w:val="24"/>
          <w:szCs w:val="24"/>
          <w:lang w:val="en-US"/>
        </w:rPr>
        <w:t>Meskipun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demikian</w:t>
      </w:r>
      <w:proofErr w:type="spellEnd"/>
      <w:r w:rsidR="002F1638" w:rsidRPr="007720BC">
        <w:rPr>
          <w:rFonts w:ascii="Times New Roman" w:hAnsi="Times New Roman" w:cs="Times New Roman"/>
          <w:sz w:val="24"/>
          <w:szCs w:val="24"/>
          <w:lang w:val="en-US"/>
        </w:rPr>
        <w:t xml:space="preserve"> </w:t>
      </w:r>
      <w:proofErr w:type="spellStart"/>
      <w:r w:rsidR="002F1638" w:rsidRPr="007720BC">
        <w:rPr>
          <w:rFonts w:ascii="Times New Roman" w:hAnsi="Times New Roman" w:cs="Times New Roman"/>
          <w:sz w:val="24"/>
          <w:szCs w:val="24"/>
          <w:lang w:val="en-US"/>
        </w:rPr>
        <w:t>dalam</w:t>
      </w:r>
      <w:proofErr w:type="spellEnd"/>
      <w:r w:rsidR="002F1638" w:rsidRPr="007720BC">
        <w:rPr>
          <w:rFonts w:ascii="Times New Roman" w:hAnsi="Times New Roman" w:cs="Times New Roman"/>
          <w:sz w:val="24"/>
          <w:szCs w:val="24"/>
          <w:lang w:val="en-US"/>
        </w:rPr>
        <w:t xml:space="preserve"> </w:t>
      </w:r>
      <w:proofErr w:type="spellStart"/>
      <w:r w:rsidR="002F1638" w:rsidRPr="007720BC">
        <w:rPr>
          <w:rFonts w:ascii="Times New Roman" w:hAnsi="Times New Roman" w:cs="Times New Roman"/>
          <w:sz w:val="24"/>
          <w:szCs w:val="24"/>
          <w:lang w:val="en-US"/>
        </w:rPr>
        <w:t>implementasi</w:t>
      </w:r>
      <w:proofErr w:type="spellEnd"/>
      <w:r w:rsidR="002F1638" w:rsidRPr="007720BC">
        <w:rPr>
          <w:rFonts w:ascii="Times New Roman" w:hAnsi="Times New Roman" w:cs="Times New Roman"/>
          <w:sz w:val="24"/>
          <w:szCs w:val="24"/>
          <w:lang w:val="en-US"/>
        </w:rPr>
        <w:t xml:space="preserve"> Kampung KB di Desa </w:t>
      </w:r>
      <w:proofErr w:type="spellStart"/>
      <w:r w:rsidR="002F1638" w:rsidRPr="007720BC">
        <w:rPr>
          <w:rFonts w:ascii="Times New Roman" w:hAnsi="Times New Roman" w:cs="Times New Roman"/>
          <w:sz w:val="24"/>
          <w:szCs w:val="24"/>
          <w:lang w:val="en-US"/>
        </w:rPr>
        <w:t>Mongpok</w:t>
      </w:r>
      <w:proofErr w:type="spellEnd"/>
      <w:r w:rsidR="002F1638" w:rsidRPr="007720BC">
        <w:rPr>
          <w:rFonts w:ascii="Times New Roman" w:hAnsi="Times New Roman" w:cs="Times New Roman"/>
          <w:sz w:val="24"/>
          <w:szCs w:val="24"/>
          <w:lang w:val="en-US"/>
        </w:rPr>
        <w:t xml:space="preserve"> </w:t>
      </w:r>
      <w:proofErr w:type="spellStart"/>
      <w:r w:rsidR="00402D99" w:rsidRPr="007720BC">
        <w:rPr>
          <w:rFonts w:ascii="Times New Roman" w:hAnsi="Times New Roman" w:cs="Times New Roman"/>
          <w:sz w:val="24"/>
          <w:szCs w:val="24"/>
          <w:lang w:val="en-US"/>
        </w:rPr>
        <w:t>masih</w:t>
      </w:r>
      <w:proofErr w:type="spellEnd"/>
      <w:r w:rsidR="00402D99"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ditemui</w:t>
      </w:r>
      <w:proofErr w:type="spellEnd"/>
      <w:r w:rsidRPr="007720BC">
        <w:rPr>
          <w:rFonts w:ascii="Times New Roman" w:hAnsi="Times New Roman" w:cs="Times New Roman"/>
          <w:sz w:val="24"/>
          <w:szCs w:val="24"/>
          <w:lang w:val="en-US"/>
        </w:rPr>
        <w:t xml:space="preserve"> </w:t>
      </w:r>
      <w:proofErr w:type="spellStart"/>
      <w:r w:rsidR="00402D99" w:rsidRPr="007720BC">
        <w:rPr>
          <w:rFonts w:ascii="Times New Roman" w:hAnsi="Times New Roman" w:cs="Times New Roman"/>
          <w:sz w:val="24"/>
          <w:szCs w:val="24"/>
          <w:lang w:val="en-US"/>
        </w:rPr>
        <w:t>berbagai</w:t>
      </w:r>
      <w:proofErr w:type="spellEnd"/>
      <w:r w:rsidR="00402D99" w:rsidRPr="007720BC">
        <w:rPr>
          <w:rFonts w:ascii="Times New Roman" w:hAnsi="Times New Roman" w:cs="Times New Roman"/>
          <w:sz w:val="24"/>
          <w:szCs w:val="24"/>
          <w:lang w:val="en-US"/>
        </w:rPr>
        <w:t xml:space="preserve"> </w:t>
      </w:r>
      <w:proofErr w:type="spellStart"/>
      <w:r w:rsidR="00402D99" w:rsidRPr="007720BC">
        <w:rPr>
          <w:rFonts w:ascii="Times New Roman" w:hAnsi="Times New Roman" w:cs="Times New Roman"/>
          <w:sz w:val="24"/>
          <w:szCs w:val="24"/>
          <w:lang w:val="en-US"/>
        </w:rPr>
        <w:t>permasalahan</w:t>
      </w:r>
      <w:proofErr w:type="spellEnd"/>
      <w:r w:rsidR="00402D99" w:rsidRPr="007720BC">
        <w:rPr>
          <w:rFonts w:ascii="Times New Roman" w:hAnsi="Times New Roman" w:cs="Times New Roman"/>
          <w:sz w:val="24"/>
          <w:szCs w:val="24"/>
          <w:lang w:val="en-US"/>
        </w:rPr>
        <w:t xml:space="preserve"> </w:t>
      </w:r>
      <w:proofErr w:type="spellStart"/>
      <w:r w:rsidR="00402D99" w:rsidRPr="007720BC">
        <w:rPr>
          <w:rFonts w:ascii="Times New Roman" w:hAnsi="Times New Roman" w:cs="Times New Roman"/>
          <w:sz w:val="24"/>
          <w:szCs w:val="24"/>
          <w:lang w:val="en-US"/>
        </w:rPr>
        <w:t>seperti</w:t>
      </w:r>
      <w:proofErr w:type="spellEnd"/>
      <w:r w:rsidR="00402D99" w:rsidRPr="007720BC">
        <w:rPr>
          <w:rFonts w:ascii="Times New Roman" w:hAnsi="Times New Roman" w:cs="Times New Roman"/>
          <w:sz w:val="24"/>
          <w:szCs w:val="24"/>
          <w:lang w:val="en-US"/>
        </w:rPr>
        <w:t xml:space="preserve"> </w:t>
      </w:r>
      <w:proofErr w:type="spellStart"/>
      <w:r w:rsidR="00402D99" w:rsidRPr="007720BC">
        <w:rPr>
          <w:rFonts w:ascii="Times New Roman" w:hAnsi="Times New Roman" w:cs="Times New Roman"/>
          <w:sz w:val="24"/>
          <w:szCs w:val="24"/>
          <w:lang w:val="en-US"/>
        </w:rPr>
        <w:t>minimnya</w:t>
      </w:r>
      <w:proofErr w:type="spellEnd"/>
      <w:r w:rsidR="00402D99" w:rsidRPr="007720BC">
        <w:rPr>
          <w:rFonts w:ascii="Times New Roman" w:hAnsi="Times New Roman" w:cs="Times New Roman"/>
          <w:sz w:val="24"/>
          <w:szCs w:val="24"/>
          <w:lang w:val="en-US"/>
        </w:rPr>
        <w:t xml:space="preserve"> </w:t>
      </w:r>
      <w:r w:rsidR="00F40AAF" w:rsidRPr="007720BC">
        <w:rPr>
          <w:rFonts w:ascii="Times New Roman" w:hAnsi="Times New Roman" w:cs="Times New Roman"/>
          <w:sz w:val="24"/>
          <w:szCs w:val="24"/>
        </w:rPr>
        <w:t xml:space="preserve">dana </w:t>
      </w:r>
      <w:proofErr w:type="spellStart"/>
      <w:r w:rsidR="00F40AAF" w:rsidRPr="007720BC">
        <w:rPr>
          <w:rFonts w:ascii="Times New Roman" w:hAnsi="Times New Roman" w:cs="Times New Roman"/>
          <w:sz w:val="24"/>
          <w:szCs w:val="24"/>
        </w:rPr>
        <w:t>st</w:t>
      </w:r>
      <w:r w:rsidR="00402D99" w:rsidRPr="007720BC">
        <w:rPr>
          <w:rFonts w:ascii="Times New Roman" w:hAnsi="Times New Roman" w:cs="Times New Roman"/>
          <w:sz w:val="24"/>
          <w:szCs w:val="24"/>
          <w:lang w:val="en-US"/>
        </w:rPr>
        <w:t>unting</w:t>
      </w:r>
      <w:proofErr w:type="spellEnd"/>
      <w:r w:rsidR="00402D99" w:rsidRPr="007720BC">
        <w:rPr>
          <w:rFonts w:ascii="Times New Roman" w:hAnsi="Times New Roman" w:cs="Times New Roman"/>
          <w:sz w:val="24"/>
          <w:szCs w:val="24"/>
          <w:lang w:val="en-US"/>
        </w:rPr>
        <w:t xml:space="preserve"> </w:t>
      </w:r>
      <w:proofErr w:type="spellStart"/>
      <w:r w:rsidR="00402D99" w:rsidRPr="007720BC">
        <w:rPr>
          <w:rFonts w:ascii="Times New Roman" w:hAnsi="Times New Roman" w:cs="Times New Roman"/>
          <w:sz w:val="24"/>
          <w:szCs w:val="24"/>
          <w:lang w:val="en-US"/>
        </w:rPr>
        <w:t>dikarenakan</w:t>
      </w:r>
      <w:proofErr w:type="spellEnd"/>
      <w:r w:rsidR="00402D99" w:rsidRPr="007720BC">
        <w:rPr>
          <w:rFonts w:ascii="Times New Roman" w:hAnsi="Times New Roman" w:cs="Times New Roman"/>
          <w:sz w:val="24"/>
          <w:szCs w:val="24"/>
          <w:lang w:val="en-US"/>
        </w:rPr>
        <w:t xml:space="preserve"> </w:t>
      </w:r>
      <w:proofErr w:type="spellStart"/>
      <w:r w:rsidR="00402D99" w:rsidRPr="007720BC">
        <w:rPr>
          <w:rFonts w:ascii="Times New Roman" w:hAnsi="Times New Roman" w:cs="Times New Roman"/>
          <w:sz w:val="24"/>
          <w:szCs w:val="24"/>
          <w:lang w:val="en-US"/>
        </w:rPr>
        <w:t>alokasi</w:t>
      </w:r>
      <w:proofErr w:type="spellEnd"/>
      <w:r w:rsidR="00402D99" w:rsidRPr="007720BC">
        <w:rPr>
          <w:rFonts w:ascii="Times New Roman" w:hAnsi="Times New Roman" w:cs="Times New Roman"/>
          <w:sz w:val="24"/>
          <w:szCs w:val="24"/>
          <w:lang w:val="en-US"/>
        </w:rPr>
        <w:t xml:space="preserve"> </w:t>
      </w:r>
      <w:proofErr w:type="spellStart"/>
      <w:r w:rsidR="00402D99" w:rsidRPr="007720BC">
        <w:rPr>
          <w:rFonts w:ascii="Times New Roman" w:hAnsi="Times New Roman" w:cs="Times New Roman"/>
          <w:sz w:val="24"/>
          <w:szCs w:val="24"/>
          <w:lang w:val="en-US"/>
        </w:rPr>
        <w:t>anggaran</w:t>
      </w:r>
      <w:proofErr w:type="spellEnd"/>
      <w:r w:rsidR="00402D99" w:rsidRPr="007720BC">
        <w:rPr>
          <w:rFonts w:ascii="Times New Roman" w:hAnsi="Times New Roman" w:cs="Times New Roman"/>
          <w:sz w:val="24"/>
          <w:szCs w:val="24"/>
          <w:lang w:val="en-US"/>
        </w:rPr>
        <w:t xml:space="preserve"> stunting </w:t>
      </w:r>
      <w:r w:rsidR="00F40AAF" w:rsidRPr="007720BC">
        <w:rPr>
          <w:rFonts w:ascii="Times New Roman" w:hAnsi="Times New Roman" w:cs="Times New Roman"/>
          <w:sz w:val="24"/>
          <w:szCs w:val="24"/>
        </w:rPr>
        <w:t xml:space="preserve">di </w:t>
      </w:r>
      <w:proofErr w:type="spellStart"/>
      <w:r w:rsidR="00F40AAF" w:rsidRPr="007720BC">
        <w:rPr>
          <w:rFonts w:ascii="Times New Roman" w:hAnsi="Times New Roman" w:cs="Times New Roman"/>
          <w:sz w:val="24"/>
          <w:szCs w:val="24"/>
        </w:rPr>
        <w:t>Kabupaten</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Serang</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belum</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masuk</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dalam</w:t>
      </w:r>
      <w:proofErr w:type="spellEnd"/>
      <w:r w:rsidR="00F40AAF" w:rsidRPr="007720BC">
        <w:rPr>
          <w:rFonts w:ascii="Times New Roman" w:hAnsi="Times New Roman" w:cs="Times New Roman"/>
          <w:sz w:val="24"/>
          <w:szCs w:val="24"/>
        </w:rPr>
        <w:t xml:space="preserve"> APBD</w:t>
      </w:r>
      <w:r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sehingga</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masih</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bersumber</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dari</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lang w:val="en-US"/>
        </w:rPr>
        <w:t>anggaran</w:t>
      </w:r>
      <w:proofErr w:type="spellEnd"/>
      <w:r w:rsidR="00F40AAF" w:rsidRPr="007720BC">
        <w:rPr>
          <w:rFonts w:ascii="Times New Roman" w:hAnsi="Times New Roman" w:cs="Times New Roman"/>
          <w:sz w:val="24"/>
          <w:szCs w:val="24"/>
          <w:lang w:val="en-US"/>
        </w:rPr>
        <w:t xml:space="preserve"> </w:t>
      </w:r>
      <w:r w:rsidR="00F40AAF" w:rsidRPr="007720BC">
        <w:rPr>
          <w:rFonts w:ascii="Times New Roman" w:hAnsi="Times New Roman" w:cs="Times New Roman"/>
          <w:sz w:val="24"/>
          <w:szCs w:val="24"/>
        </w:rPr>
        <w:t>BKKBN</w:t>
      </w:r>
      <w:r w:rsidR="002F1638"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lang w:val="en-US"/>
        </w:rPr>
        <w:t>minimnya</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lang w:val="en-US"/>
        </w:rPr>
        <w:t>dukungan</w:t>
      </w:r>
      <w:proofErr w:type="spellEnd"/>
      <w:r w:rsidR="00F40AAF" w:rsidRPr="007720BC">
        <w:rPr>
          <w:rFonts w:ascii="Times New Roman" w:hAnsi="Times New Roman" w:cs="Times New Roman"/>
          <w:sz w:val="24"/>
          <w:szCs w:val="24"/>
          <w:lang w:val="en-US"/>
        </w:rPr>
        <w:t xml:space="preserve"> </w:t>
      </w:r>
      <w:proofErr w:type="spellStart"/>
      <w:r w:rsidR="00F40AAF" w:rsidRPr="007720BC">
        <w:rPr>
          <w:rFonts w:ascii="Times New Roman" w:hAnsi="Times New Roman" w:cs="Times New Roman"/>
          <w:sz w:val="24"/>
          <w:szCs w:val="24"/>
          <w:lang w:val="en-US"/>
        </w:rPr>
        <w:t>sarana</w:t>
      </w:r>
      <w:proofErr w:type="spellEnd"/>
      <w:r w:rsidR="00F40AAF" w:rsidRPr="007720BC">
        <w:rPr>
          <w:rFonts w:ascii="Times New Roman" w:hAnsi="Times New Roman" w:cs="Times New Roman"/>
          <w:sz w:val="24"/>
          <w:szCs w:val="24"/>
          <w:lang w:val="en-US"/>
        </w:rPr>
        <w:t xml:space="preserve"> dan </w:t>
      </w:r>
      <w:proofErr w:type="spellStart"/>
      <w:r w:rsidR="00F40AAF" w:rsidRPr="007720BC">
        <w:rPr>
          <w:rFonts w:ascii="Times New Roman" w:hAnsi="Times New Roman" w:cs="Times New Roman"/>
          <w:sz w:val="24"/>
          <w:szCs w:val="24"/>
          <w:lang w:val="en-US"/>
        </w:rPr>
        <w:t>prasarana</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lang w:val="en-US"/>
        </w:rPr>
        <w:t>bagi</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kader</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lang w:val="en-US"/>
        </w:rPr>
        <w:t>dalam</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menyampaikan</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informasi</w:t>
      </w:r>
      <w:proofErr w:type="spellEnd"/>
      <w:r w:rsidR="00F40AAF" w:rsidRPr="007720BC">
        <w:rPr>
          <w:rFonts w:ascii="Times New Roman" w:hAnsi="Times New Roman" w:cs="Times New Roman"/>
          <w:sz w:val="24"/>
          <w:szCs w:val="24"/>
        </w:rPr>
        <w:t xml:space="preserve"> t</w:t>
      </w:r>
      <w:proofErr w:type="spellStart"/>
      <w:r w:rsidR="00F40AAF" w:rsidRPr="007720BC">
        <w:rPr>
          <w:rFonts w:ascii="Times New Roman" w:hAnsi="Times New Roman" w:cs="Times New Roman"/>
          <w:sz w:val="24"/>
          <w:szCs w:val="24"/>
          <w:lang w:val="en-US"/>
        </w:rPr>
        <w:t>en</w:t>
      </w:r>
      <w:proofErr w:type="spellEnd"/>
      <w:r w:rsidR="00F40AAF" w:rsidRPr="007720BC">
        <w:rPr>
          <w:rFonts w:ascii="Times New Roman" w:hAnsi="Times New Roman" w:cs="Times New Roman"/>
          <w:sz w:val="24"/>
          <w:szCs w:val="24"/>
        </w:rPr>
        <w:t>t</w:t>
      </w:r>
      <w:r w:rsidR="00F40AAF" w:rsidRPr="007720BC">
        <w:rPr>
          <w:rFonts w:ascii="Times New Roman" w:hAnsi="Times New Roman" w:cs="Times New Roman"/>
          <w:sz w:val="24"/>
          <w:szCs w:val="24"/>
          <w:lang w:val="en-US"/>
        </w:rPr>
        <w:t>a</w:t>
      </w:r>
      <w:r w:rsidR="00F40AAF" w:rsidRPr="007720BC">
        <w:rPr>
          <w:rFonts w:ascii="Times New Roman" w:hAnsi="Times New Roman" w:cs="Times New Roman"/>
          <w:sz w:val="24"/>
          <w:szCs w:val="24"/>
        </w:rPr>
        <w:t xml:space="preserve">ng </w:t>
      </w:r>
      <w:proofErr w:type="spellStart"/>
      <w:r w:rsidR="00F40AAF" w:rsidRPr="007720BC">
        <w:rPr>
          <w:rFonts w:ascii="Times New Roman" w:hAnsi="Times New Roman" w:cs="Times New Roman"/>
          <w:sz w:val="24"/>
          <w:szCs w:val="24"/>
        </w:rPr>
        <w:t>pembangunan</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keluarga</w:t>
      </w:r>
      <w:proofErr w:type="spellEnd"/>
      <w:r w:rsidR="00F40AAF" w:rsidRPr="007720BC">
        <w:rPr>
          <w:rFonts w:ascii="Times New Roman" w:hAnsi="Times New Roman" w:cs="Times New Roman"/>
          <w:sz w:val="24"/>
          <w:szCs w:val="24"/>
        </w:rPr>
        <w:t xml:space="preserve"> dan </w:t>
      </w:r>
      <w:proofErr w:type="spellStart"/>
      <w:r w:rsidR="00F40AAF" w:rsidRPr="007720BC">
        <w:rPr>
          <w:rFonts w:ascii="Times New Roman" w:hAnsi="Times New Roman" w:cs="Times New Roman"/>
          <w:sz w:val="24"/>
          <w:szCs w:val="24"/>
        </w:rPr>
        <w:t>kependudukan</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seringkali</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menjadi</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faktor</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penghambat</w:t>
      </w:r>
      <w:proofErr w:type="spellEnd"/>
      <w:r w:rsidR="00F40AAF" w:rsidRPr="007720BC">
        <w:rPr>
          <w:rFonts w:ascii="Times New Roman" w:hAnsi="Times New Roman" w:cs="Times New Roman"/>
          <w:sz w:val="24"/>
          <w:szCs w:val="24"/>
        </w:rPr>
        <w:t xml:space="preserve"> </w:t>
      </w:r>
      <w:r w:rsidR="00F40AAF" w:rsidRPr="007720BC">
        <w:rPr>
          <w:rFonts w:ascii="Times New Roman" w:hAnsi="Times New Roman" w:cs="Times New Roman"/>
          <w:sz w:val="24"/>
          <w:szCs w:val="24"/>
          <w:lang w:val="en-US"/>
        </w:rPr>
        <w:t>(m</w:t>
      </w:r>
      <w:proofErr w:type="spellStart"/>
      <w:r w:rsidR="00F40AAF" w:rsidRPr="007720BC">
        <w:rPr>
          <w:rFonts w:ascii="Times New Roman" w:hAnsi="Times New Roman" w:cs="Times New Roman"/>
          <w:sz w:val="24"/>
          <w:szCs w:val="24"/>
        </w:rPr>
        <w:t>asih</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ada</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sebagian</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masyarakat</w:t>
      </w:r>
      <w:proofErr w:type="spellEnd"/>
      <w:r w:rsidR="00F40AAF" w:rsidRPr="007720BC">
        <w:rPr>
          <w:rFonts w:ascii="Times New Roman" w:hAnsi="Times New Roman" w:cs="Times New Roman"/>
          <w:sz w:val="24"/>
          <w:szCs w:val="24"/>
        </w:rPr>
        <w:t xml:space="preserve"> yang </w:t>
      </w:r>
      <w:proofErr w:type="spellStart"/>
      <w:r w:rsidR="00F40AAF" w:rsidRPr="007720BC">
        <w:rPr>
          <w:rFonts w:ascii="Times New Roman" w:hAnsi="Times New Roman" w:cs="Times New Roman"/>
          <w:sz w:val="24"/>
          <w:szCs w:val="24"/>
        </w:rPr>
        <w:t>beranggapan</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bahwa</w:t>
      </w:r>
      <w:proofErr w:type="spellEnd"/>
      <w:r w:rsidR="00F40AAF" w:rsidRPr="007720BC">
        <w:rPr>
          <w:rFonts w:ascii="Times New Roman" w:hAnsi="Times New Roman" w:cs="Times New Roman"/>
          <w:sz w:val="24"/>
          <w:szCs w:val="24"/>
        </w:rPr>
        <w:t xml:space="preserve"> Kampung KB </w:t>
      </w:r>
      <w:proofErr w:type="spellStart"/>
      <w:r w:rsidR="00F40AAF" w:rsidRPr="007720BC">
        <w:rPr>
          <w:rFonts w:ascii="Times New Roman" w:hAnsi="Times New Roman" w:cs="Times New Roman"/>
          <w:sz w:val="24"/>
          <w:szCs w:val="24"/>
        </w:rPr>
        <w:t>dianggap</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milik</w:t>
      </w:r>
      <w:proofErr w:type="spellEnd"/>
      <w:r w:rsidR="00F40AAF" w:rsidRPr="007720BC">
        <w:rPr>
          <w:rFonts w:ascii="Times New Roman" w:hAnsi="Times New Roman" w:cs="Times New Roman"/>
          <w:sz w:val="24"/>
          <w:szCs w:val="24"/>
        </w:rPr>
        <w:t xml:space="preserve"> BKKBN </w:t>
      </w:r>
      <w:proofErr w:type="spellStart"/>
      <w:r w:rsidR="00F40AAF" w:rsidRPr="007720BC">
        <w:rPr>
          <w:rFonts w:ascii="Times New Roman" w:hAnsi="Times New Roman" w:cs="Times New Roman"/>
          <w:sz w:val="24"/>
          <w:szCs w:val="24"/>
        </w:rPr>
        <w:t>saja</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sehingga</w:t>
      </w:r>
      <w:proofErr w:type="spellEnd"/>
      <w:r w:rsidR="00F40AAF"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masyarakat</w:t>
      </w:r>
      <w:proofErr w:type="spellEnd"/>
      <w:r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agak</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sulit</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untuk</w:t>
      </w:r>
      <w:proofErr w:type="spellEnd"/>
      <w:r w:rsidR="00F40AAF" w:rsidRPr="007720BC">
        <w:rPr>
          <w:rFonts w:ascii="Times New Roman" w:hAnsi="Times New Roman" w:cs="Times New Roman"/>
          <w:sz w:val="24"/>
          <w:szCs w:val="24"/>
          <w:lang w:val="en-US"/>
        </w:rPr>
        <w:t xml:space="preserve"> </w:t>
      </w:r>
      <w:proofErr w:type="spellStart"/>
      <w:r w:rsidR="00F40AAF" w:rsidRPr="007720BC">
        <w:rPr>
          <w:rFonts w:ascii="Times New Roman" w:hAnsi="Times New Roman" w:cs="Times New Roman"/>
          <w:sz w:val="24"/>
          <w:szCs w:val="24"/>
        </w:rPr>
        <w:t>diajak</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berpartisipasi</w:t>
      </w:r>
      <w:proofErr w:type="spellEnd"/>
      <w:r w:rsidR="00F40AAF" w:rsidRPr="007720BC">
        <w:rPr>
          <w:rFonts w:ascii="Times New Roman" w:hAnsi="Times New Roman" w:cs="Times New Roman"/>
          <w:sz w:val="24"/>
          <w:szCs w:val="24"/>
          <w:lang w:val="en-US"/>
        </w:rPr>
        <w:t xml:space="preserve"> </w:t>
      </w:r>
      <w:proofErr w:type="spellStart"/>
      <w:r w:rsidR="00F40AAF" w:rsidRPr="007720BC">
        <w:rPr>
          <w:rFonts w:ascii="Times New Roman" w:hAnsi="Times New Roman" w:cs="Times New Roman"/>
          <w:sz w:val="24"/>
          <w:szCs w:val="24"/>
        </w:rPr>
        <w:t>dalam</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setiap</w:t>
      </w:r>
      <w:proofErr w:type="spellEnd"/>
      <w:r w:rsidR="00F40AAF" w:rsidRPr="007720BC">
        <w:rPr>
          <w:rFonts w:ascii="Times New Roman" w:hAnsi="Times New Roman" w:cs="Times New Roman"/>
          <w:sz w:val="24"/>
          <w:szCs w:val="24"/>
        </w:rPr>
        <w:t xml:space="preserve"> </w:t>
      </w:r>
      <w:proofErr w:type="spellStart"/>
      <w:r w:rsidR="00F40AAF" w:rsidRPr="007720BC">
        <w:rPr>
          <w:rFonts w:ascii="Times New Roman" w:hAnsi="Times New Roman" w:cs="Times New Roman"/>
          <w:sz w:val="24"/>
          <w:szCs w:val="24"/>
        </w:rPr>
        <w:t>kegiatan</w:t>
      </w:r>
      <w:proofErr w:type="spellEnd"/>
      <w:r w:rsidR="00F40AAF" w:rsidRPr="007720BC">
        <w:rPr>
          <w:rFonts w:ascii="Times New Roman" w:hAnsi="Times New Roman" w:cs="Times New Roman"/>
          <w:sz w:val="24"/>
          <w:szCs w:val="24"/>
          <w:lang w:val="en-US"/>
        </w:rPr>
        <w:t>)</w:t>
      </w:r>
      <w:r w:rsidR="002F1638" w:rsidRPr="007720BC">
        <w:rPr>
          <w:rFonts w:ascii="Times New Roman" w:hAnsi="Times New Roman" w:cs="Times New Roman"/>
          <w:sz w:val="24"/>
          <w:szCs w:val="24"/>
          <w:lang w:val="en-US"/>
        </w:rPr>
        <w:t xml:space="preserve">, dan </w:t>
      </w:r>
      <w:proofErr w:type="spellStart"/>
      <w:r w:rsidR="00F40AAF" w:rsidRPr="007720BC">
        <w:rPr>
          <w:rFonts w:ascii="Times New Roman" w:hAnsi="Times New Roman" w:cs="Times New Roman"/>
          <w:sz w:val="24"/>
          <w:szCs w:val="24"/>
          <w:lang w:val="en-US"/>
        </w:rPr>
        <w:t>masih</w:t>
      </w:r>
      <w:proofErr w:type="spellEnd"/>
      <w:r w:rsidR="00F40AAF" w:rsidRPr="007720BC">
        <w:rPr>
          <w:rFonts w:ascii="Times New Roman" w:hAnsi="Times New Roman" w:cs="Times New Roman"/>
          <w:sz w:val="24"/>
          <w:szCs w:val="24"/>
          <w:lang w:val="en-US"/>
        </w:rPr>
        <w:t xml:space="preserve"> </w:t>
      </w:r>
      <w:proofErr w:type="spellStart"/>
      <w:r w:rsidR="00F40AAF" w:rsidRPr="007720BC">
        <w:rPr>
          <w:rFonts w:ascii="Times New Roman" w:hAnsi="Times New Roman" w:cs="Times New Roman"/>
          <w:sz w:val="24"/>
          <w:szCs w:val="24"/>
          <w:lang w:val="en-US"/>
        </w:rPr>
        <w:t>belum</w:t>
      </w:r>
      <w:proofErr w:type="spellEnd"/>
      <w:r w:rsidR="00F40AAF" w:rsidRPr="007720BC">
        <w:rPr>
          <w:rFonts w:ascii="Times New Roman" w:hAnsi="Times New Roman" w:cs="Times New Roman"/>
          <w:sz w:val="24"/>
          <w:szCs w:val="24"/>
          <w:lang w:val="en-US"/>
        </w:rPr>
        <w:t xml:space="preserve"> </w:t>
      </w:r>
      <w:proofErr w:type="spellStart"/>
      <w:r w:rsidR="00F40AAF" w:rsidRPr="007720BC">
        <w:rPr>
          <w:rFonts w:ascii="Times New Roman" w:hAnsi="Times New Roman" w:cs="Times New Roman"/>
          <w:sz w:val="24"/>
          <w:szCs w:val="24"/>
          <w:lang w:val="en-US"/>
        </w:rPr>
        <w:t>optimalnya</w:t>
      </w:r>
      <w:proofErr w:type="spellEnd"/>
      <w:r w:rsidR="00F40AAF" w:rsidRPr="007720BC">
        <w:rPr>
          <w:rFonts w:ascii="Times New Roman" w:hAnsi="Times New Roman" w:cs="Times New Roman"/>
          <w:sz w:val="24"/>
          <w:szCs w:val="24"/>
          <w:lang w:val="en-US"/>
        </w:rPr>
        <w:t xml:space="preserve"> </w:t>
      </w:r>
      <w:proofErr w:type="spellStart"/>
      <w:r w:rsidR="00F40AAF" w:rsidRPr="007720BC">
        <w:rPr>
          <w:rFonts w:ascii="Times New Roman" w:hAnsi="Times New Roman" w:cs="Times New Roman"/>
          <w:sz w:val="24"/>
          <w:szCs w:val="24"/>
          <w:lang w:val="en-US"/>
        </w:rPr>
        <w:t>waktu</w:t>
      </w:r>
      <w:proofErr w:type="spellEnd"/>
      <w:r w:rsidR="00F40AAF" w:rsidRPr="007720BC">
        <w:rPr>
          <w:rFonts w:ascii="Times New Roman" w:hAnsi="Times New Roman" w:cs="Times New Roman"/>
          <w:sz w:val="24"/>
          <w:szCs w:val="24"/>
          <w:lang w:val="en-US"/>
        </w:rPr>
        <w:t xml:space="preserve"> yang </w:t>
      </w:r>
      <w:proofErr w:type="spellStart"/>
      <w:r w:rsidR="00F40AAF" w:rsidRPr="007720BC">
        <w:rPr>
          <w:rFonts w:ascii="Times New Roman" w:hAnsi="Times New Roman" w:cs="Times New Roman"/>
          <w:sz w:val="24"/>
          <w:szCs w:val="24"/>
          <w:lang w:val="en-US"/>
        </w:rPr>
        <w:t>dimiliki</w:t>
      </w:r>
      <w:proofErr w:type="spellEnd"/>
      <w:r w:rsidR="00F40AAF" w:rsidRPr="007720BC">
        <w:rPr>
          <w:rFonts w:ascii="Times New Roman" w:hAnsi="Times New Roman" w:cs="Times New Roman"/>
          <w:sz w:val="24"/>
          <w:szCs w:val="24"/>
          <w:lang w:val="en-US"/>
        </w:rPr>
        <w:t xml:space="preserve"> oleh Kader Kampung KB </w:t>
      </w:r>
      <w:proofErr w:type="spellStart"/>
      <w:r w:rsidR="00F40AAF" w:rsidRPr="007720BC">
        <w:rPr>
          <w:rFonts w:ascii="Times New Roman" w:hAnsi="Times New Roman" w:cs="Times New Roman"/>
          <w:sz w:val="24"/>
          <w:szCs w:val="24"/>
          <w:lang w:val="en-US"/>
        </w:rPr>
        <w:t>dikarenakan</w:t>
      </w:r>
      <w:proofErr w:type="spellEnd"/>
      <w:r w:rsidR="00F40AAF" w:rsidRPr="007720BC">
        <w:rPr>
          <w:rFonts w:ascii="Times New Roman" w:hAnsi="Times New Roman" w:cs="Times New Roman"/>
          <w:sz w:val="24"/>
          <w:szCs w:val="24"/>
          <w:lang w:val="en-US"/>
        </w:rPr>
        <w:t xml:space="preserve"> </w:t>
      </w:r>
      <w:proofErr w:type="spellStart"/>
      <w:r w:rsidR="00F40AAF" w:rsidRPr="007720BC">
        <w:rPr>
          <w:rFonts w:ascii="Times New Roman" w:hAnsi="Times New Roman" w:cs="Times New Roman"/>
          <w:sz w:val="24"/>
          <w:szCs w:val="24"/>
          <w:lang w:val="en-US"/>
        </w:rPr>
        <w:t>harus</w:t>
      </w:r>
      <w:proofErr w:type="spellEnd"/>
      <w:r w:rsidR="00F40AAF" w:rsidRPr="007720BC">
        <w:rPr>
          <w:rFonts w:ascii="Times New Roman" w:hAnsi="Times New Roman" w:cs="Times New Roman"/>
          <w:sz w:val="24"/>
          <w:szCs w:val="24"/>
          <w:lang w:val="en-US"/>
        </w:rPr>
        <w:t xml:space="preserve"> </w:t>
      </w:r>
      <w:proofErr w:type="spellStart"/>
      <w:r w:rsidR="00F40AAF" w:rsidRPr="007720BC">
        <w:rPr>
          <w:rFonts w:ascii="Times New Roman" w:hAnsi="Times New Roman" w:cs="Times New Roman"/>
          <w:sz w:val="24"/>
          <w:szCs w:val="24"/>
          <w:lang w:val="en-US"/>
        </w:rPr>
        <w:t>berperan</w:t>
      </w:r>
      <w:proofErr w:type="spellEnd"/>
      <w:r w:rsidR="00F40AAF" w:rsidRPr="007720BC">
        <w:rPr>
          <w:rFonts w:ascii="Times New Roman" w:hAnsi="Times New Roman" w:cs="Times New Roman"/>
          <w:sz w:val="24"/>
          <w:szCs w:val="24"/>
          <w:lang w:val="en-US"/>
        </w:rPr>
        <w:t xml:space="preserve"> </w:t>
      </w:r>
      <w:proofErr w:type="spellStart"/>
      <w:r w:rsidR="00F40AAF" w:rsidRPr="007720BC">
        <w:rPr>
          <w:rFonts w:ascii="Times New Roman" w:hAnsi="Times New Roman" w:cs="Times New Roman"/>
          <w:sz w:val="24"/>
          <w:szCs w:val="24"/>
          <w:lang w:val="en-US"/>
        </w:rPr>
        <w:t>ganda</w:t>
      </w:r>
      <w:proofErr w:type="spellEnd"/>
      <w:r w:rsidR="00F40AAF" w:rsidRPr="007720BC">
        <w:rPr>
          <w:rFonts w:ascii="Times New Roman" w:hAnsi="Times New Roman" w:cs="Times New Roman"/>
          <w:sz w:val="24"/>
          <w:szCs w:val="24"/>
          <w:lang w:val="en-US"/>
        </w:rPr>
        <w:t xml:space="preserve"> </w:t>
      </w:r>
      <w:proofErr w:type="spellStart"/>
      <w:r w:rsidR="00F40AAF" w:rsidRPr="007720BC">
        <w:rPr>
          <w:rFonts w:ascii="Times New Roman" w:hAnsi="Times New Roman" w:cs="Times New Roman"/>
          <w:sz w:val="24"/>
          <w:szCs w:val="24"/>
          <w:lang w:val="en-US"/>
        </w:rPr>
        <w:t>sebagai</w:t>
      </w:r>
      <w:proofErr w:type="spellEnd"/>
      <w:r w:rsidR="00F40AAF" w:rsidRPr="007720BC">
        <w:rPr>
          <w:rFonts w:ascii="Times New Roman" w:hAnsi="Times New Roman" w:cs="Times New Roman"/>
          <w:sz w:val="24"/>
          <w:szCs w:val="24"/>
          <w:lang w:val="en-US"/>
        </w:rPr>
        <w:t xml:space="preserve"> </w:t>
      </w:r>
      <w:proofErr w:type="spellStart"/>
      <w:r w:rsidR="00F40AAF" w:rsidRPr="007720BC">
        <w:rPr>
          <w:rFonts w:ascii="Times New Roman" w:hAnsi="Times New Roman" w:cs="Times New Roman"/>
          <w:sz w:val="24"/>
          <w:szCs w:val="24"/>
          <w:lang w:val="en-US"/>
        </w:rPr>
        <w:t>pegawai</w:t>
      </w:r>
      <w:proofErr w:type="spellEnd"/>
      <w:r w:rsidR="00F40AAF" w:rsidRPr="007720BC">
        <w:rPr>
          <w:rFonts w:ascii="Times New Roman" w:hAnsi="Times New Roman" w:cs="Times New Roman"/>
          <w:sz w:val="24"/>
          <w:szCs w:val="24"/>
          <w:lang w:val="en-US"/>
        </w:rPr>
        <w:t xml:space="preserve"> </w:t>
      </w:r>
      <w:proofErr w:type="spellStart"/>
      <w:r w:rsidR="00F40AAF" w:rsidRPr="007720BC">
        <w:rPr>
          <w:rFonts w:ascii="Times New Roman" w:hAnsi="Times New Roman" w:cs="Times New Roman"/>
          <w:sz w:val="24"/>
          <w:szCs w:val="24"/>
          <w:lang w:val="en-US"/>
        </w:rPr>
        <w:t>swasta</w:t>
      </w:r>
      <w:proofErr w:type="spellEnd"/>
      <w:r w:rsidR="00F40AAF" w:rsidRPr="007720BC">
        <w:rPr>
          <w:rFonts w:ascii="Times New Roman" w:hAnsi="Times New Roman" w:cs="Times New Roman"/>
          <w:sz w:val="24"/>
          <w:szCs w:val="24"/>
          <w:lang w:val="en-US"/>
        </w:rPr>
        <w:t xml:space="preserve"> dan </w:t>
      </w:r>
      <w:proofErr w:type="spellStart"/>
      <w:r w:rsidR="00F40AAF" w:rsidRPr="007720BC">
        <w:rPr>
          <w:rFonts w:ascii="Times New Roman" w:hAnsi="Times New Roman" w:cs="Times New Roman"/>
          <w:sz w:val="24"/>
          <w:szCs w:val="24"/>
          <w:lang w:val="en-US"/>
        </w:rPr>
        <w:t>ibu</w:t>
      </w:r>
      <w:proofErr w:type="spellEnd"/>
      <w:r w:rsidR="00F40AAF" w:rsidRPr="007720BC">
        <w:rPr>
          <w:rFonts w:ascii="Times New Roman" w:hAnsi="Times New Roman" w:cs="Times New Roman"/>
          <w:sz w:val="24"/>
          <w:szCs w:val="24"/>
          <w:lang w:val="en-US"/>
        </w:rPr>
        <w:t xml:space="preserve"> </w:t>
      </w:r>
      <w:proofErr w:type="spellStart"/>
      <w:r w:rsidR="00F40AAF" w:rsidRPr="007720BC">
        <w:rPr>
          <w:rFonts w:ascii="Times New Roman" w:hAnsi="Times New Roman" w:cs="Times New Roman"/>
          <w:sz w:val="24"/>
          <w:szCs w:val="24"/>
          <w:lang w:val="en-US"/>
        </w:rPr>
        <w:t>rumah</w:t>
      </w:r>
      <w:proofErr w:type="spellEnd"/>
      <w:r w:rsidR="00F40AAF" w:rsidRPr="007720BC">
        <w:rPr>
          <w:rFonts w:ascii="Times New Roman" w:hAnsi="Times New Roman" w:cs="Times New Roman"/>
          <w:sz w:val="24"/>
          <w:szCs w:val="24"/>
          <w:lang w:val="en-US"/>
        </w:rPr>
        <w:t xml:space="preserve"> </w:t>
      </w:r>
      <w:proofErr w:type="spellStart"/>
      <w:r w:rsidR="00F40AAF" w:rsidRPr="007720BC">
        <w:rPr>
          <w:rFonts w:ascii="Times New Roman" w:hAnsi="Times New Roman" w:cs="Times New Roman"/>
          <w:sz w:val="24"/>
          <w:szCs w:val="24"/>
          <w:lang w:val="en-US"/>
        </w:rPr>
        <w:t>tangga</w:t>
      </w:r>
      <w:proofErr w:type="spellEnd"/>
      <w:r w:rsidR="00F40AAF" w:rsidRPr="007720BC">
        <w:rPr>
          <w:rFonts w:ascii="Times New Roman" w:hAnsi="Times New Roman" w:cs="Times New Roman"/>
          <w:sz w:val="24"/>
          <w:szCs w:val="24"/>
          <w:lang w:val="en-US"/>
        </w:rPr>
        <w:t xml:space="preserve">. </w:t>
      </w:r>
    </w:p>
    <w:p w14:paraId="74199E8C" w14:textId="1A2D7871" w:rsidR="004D0B02" w:rsidRPr="007720BC" w:rsidRDefault="00385BDC" w:rsidP="00CB2900">
      <w:pPr>
        <w:spacing w:after="0" w:line="240" w:lineRule="auto"/>
        <w:ind w:firstLine="720"/>
        <w:contextualSpacing/>
        <w:jc w:val="both"/>
        <w:rPr>
          <w:rFonts w:ascii="Times New Roman" w:hAnsi="Times New Roman" w:cs="Times New Roman"/>
          <w:sz w:val="24"/>
          <w:szCs w:val="24"/>
          <w:lang w:val="id-ID"/>
        </w:rPr>
      </w:pPr>
      <w:r w:rsidRPr="007720BC">
        <w:rPr>
          <w:rFonts w:ascii="Times New Roman" w:hAnsi="Times New Roman" w:cs="Times New Roman"/>
          <w:sz w:val="24"/>
          <w:szCs w:val="24"/>
        </w:rPr>
        <w:t xml:space="preserve">Kajian </w:t>
      </w:r>
      <w:proofErr w:type="spellStart"/>
      <w:r w:rsidRPr="007720BC">
        <w:rPr>
          <w:rFonts w:ascii="Times New Roman" w:hAnsi="Times New Roman" w:cs="Times New Roman"/>
          <w:sz w:val="24"/>
          <w:szCs w:val="24"/>
          <w:lang w:val="en-US"/>
        </w:rPr>
        <w:t>penelitian</w:t>
      </w:r>
      <w:proofErr w:type="spellEnd"/>
      <w:r w:rsidRPr="007720BC">
        <w:rPr>
          <w:rFonts w:ascii="Times New Roman" w:hAnsi="Times New Roman" w:cs="Times New Roman"/>
          <w:sz w:val="24"/>
          <w:szCs w:val="24"/>
          <w:lang w:val="en-US"/>
        </w:rPr>
        <w:t xml:space="preserve"> </w:t>
      </w:r>
      <w:r w:rsidRPr="007720BC">
        <w:rPr>
          <w:rFonts w:ascii="Times New Roman" w:hAnsi="Times New Roman" w:cs="Times New Roman"/>
          <w:sz w:val="24"/>
          <w:szCs w:val="24"/>
        </w:rPr>
        <w:t xml:space="preserve">di </w:t>
      </w:r>
      <w:proofErr w:type="spellStart"/>
      <w:r w:rsidRPr="007720BC">
        <w:rPr>
          <w:rFonts w:ascii="Times New Roman" w:hAnsi="Times New Roman" w:cs="Times New Roman"/>
          <w:sz w:val="24"/>
          <w:szCs w:val="24"/>
        </w:rPr>
        <w:t>berbagai</w:t>
      </w:r>
      <w:proofErr w:type="spellEnd"/>
      <w:r w:rsidRPr="007720BC">
        <w:rPr>
          <w:rFonts w:ascii="Times New Roman" w:hAnsi="Times New Roman" w:cs="Times New Roman"/>
          <w:sz w:val="24"/>
          <w:szCs w:val="24"/>
        </w:rPr>
        <w:t xml:space="preserve"> negara </w:t>
      </w:r>
      <w:proofErr w:type="spellStart"/>
      <w:r w:rsidRPr="007720BC">
        <w:rPr>
          <w:rFonts w:ascii="Times New Roman" w:hAnsi="Times New Roman" w:cs="Times New Roman"/>
          <w:sz w:val="24"/>
          <w:szCs w:val="24"/>
          <w:lang w:val="en-US"/>
        </w:rPr>
        <w:t>dalam</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berbagai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perspektif</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rPr>
        <w:t>menunjukkan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bahwa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lang w:val="en-US"/>
        </w:rPr>
        <w:t>keberhasilan</w:t>
      </w:r>
      <w:proofErr w:type="spellEnd"/>
      <w:r w:rsidRPr="007720BC">
        <w:rPr>
          <w:rFonts w:ascii="Times New Roman" w:hAnsi="Times New Roman" w:cs="Times New Roman"/>
          <w:sz w:val="24"/>
          <w:szCs w:val="24"/>
          <w:lang w:val="en-US"/>
        </w:rPr>
        <w:t xml:space="preserve"> </w:t>
      </w:r>
      <w:proofErr w:type="spellStart"/>
      <w:r w:rsidR="009671CF" w:rsidRPr="007720BC">
        <w:rPr>
          <w:rFonts w:ascii="Times New Roman" w:hAnsi="Times New Roman" w:cs="Times New Roman"/>
          <w:sz w:val="24"/>
          <w:szCs w:val="24"/>
          <w:lang w:val="en-US"/>
        </w:rPr>
        <w:t>percepatan</w:t>
      </w:r>
      <w:proofErr w:type="spellEnd"/>
      <w:r w:rsidR="009671CF" w:rsidRPr="007720BC">
        <w:rPr>
          <w:rFonts w:ascii="Times New Roman" w:hAnsi="Times New Roman" w:cs="Times New Roman"/>
          <w:sz w:val="24"/>
          <w:szCs w:val="24"/>
          <w:lang w:val="en-US"/>
        </w:rPr>
        <w:t xml:space="preserve"> </w:t>
      </w:r>
      <w:proofErr w:type="spellStart"/>
      <w:r w:rsidR="009671CF" w:rsidRPr="007720BC">
        <w:rPr>
          <w:rFonts w:ascii="Times New Roman" w:hAnsi="Times New Roman" w:cs="Times New Roman"/>
          <w:sz w:val="24"/>
          <w:szCs w:val="24"/>
          <w:lang w:val="en-US"/>
        </w:rPr>
        <w:t>penurunan</w:t>
      </w:r>
      <w:proofErr w:type="spellEnd"/>
      <w:r w:rsidRPr="007720BC">
        <w:rPr>
          <w:rFonts w:ascii="Times New Roman" w:hAnsi="Times New Roman" w:cs="Times New Roman"/>
          <w:sz w:val="24"/>
          <w:szCs w:val="24"/>
          <w:lang w:val="en-US"/>
        </w:rPr>
        <w:t xml:space="preserve"> </w:t>
      </w:r>
      <w:r w:rsidRPr="007720BC">
        <w:rPr>
          <w:rFonts w:ascii="Times New Roman" w:hAnsi="Times New Roman" w:cs="Times New Roman"/>
          <w:sz w:val="24"/>
          <w:szCs w:val="24"/>
        </w:rPr>
        <w:t xml:space="preserve">stunting </w:t>
      </w:r>
      <w:proofErr w:type="spellStart"/>
      <w:r w:rsidRPr="007720BC">
        <w:rPr>
          <w:rFonts w:ascii="Times New Roman" w:hAnsi="Times New Roman" w:cs="Times New Roman"/>
          <w:sz w:val="24"/>
          <w:szCs w:val="24"/>
        </w:rPr>
        <w:t>hanya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dapat</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lang w:val="en-US"/>
        </w:rPr>
        <w:t>dicapai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melalui</w:t>
      </w:r>
      <w:proofErr w:type="spellEnd"/>
      <w:r w:rsidRPr="007720BC">
        <w:rPr>
          <w:rFonts w:ascii="Times New Roman" w:hAnsi="Times New Roman" w:cs="Times New Roman"/>
          <w:sz w:val="24"/>
          <w:szCs w:val="24"/>
        </w:rPr>
        <w:t xml:space="preserve"> </w:t>
      </w:r>
      <w:proofErr w:type="spellStart"/>
      <w:r w:rsidR="00EA1EDF" w:rsidRPr="007720BC">
        <w:rPr>
          <w:rFonts w:ascii="Times New Roman" w:hAnsi="Times New Roman" w:cs="Times New Roman"/>
          <w:sz w:val="24"/>
          <w:szCs w:val="24"/>
        </w:rPr>
        <w:t>pemenuhan</w:t>
      </w:r>
      <w:proofErr w:type="spellEnd"/>
      <w:r w:rsidR="00EA1EDF" w:rsidRPr="007720BC">
        <w:rPr>
          <w:rFonts w:ascii="Times New Roman" w:hAnsi="Times New Roman" w:cs="Times New Roman"/>
          <w:sz w:val="24"/>
          <w:szCs w:val="24"/>
        </w:rPr>
        <w:t xml:space="preserve"> </w:t>
      </w:r>
      <w:proofErr w:type="spellStart"/>
      <w:r w:rsidR="00EA1EDF" w:rsidRPr="007720BC">
        <w:rPr>
          <w:rFonts w:ascii="Times New Roman" w:hAnsi="Times New Roman" w:cs="Times New Roman"/>
          <w:sz w:val="24"/>
          <w:szCs w:val="24"/>
        </w:rPr>
        <w:t>gizi</w:t>
      </w:r>
      <w:proofErr w:type="spellEnd"/>
      <w:r w:rsidR="00EA1EDF"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kolaborasi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koordinasi</w:t>
      </w:r>
      <w:proofErr w:type="spellEnd"/>
      <w:r w:rsidRPr="007720BC">
        <w:rPr>
          <w:rFonts w:ascii="Times New Roman" w:hAnsi="Times New Roman" w:cs="Times New Roman"/>
          <w:sz w:val="24"/>
          <w:szCs w:val="24"/>
        </w:rPr>
        <w:t xml:space="preserve"> dan </w:t>
      </w:r>
      <w:proofErr w:type="spellStart"/>
      <w:r w:rsidRPr="007720BC">
        <w:rPr>
          <w:rFonts w:ascii="Times New Roman" w:hAnsi="Times New Roman" w:cs="Times New Roman"/>
          <w:sz w:val="24"/>
          <w:szCs w:val="24"/>
        </w:rPr>
        <w:t>konvergensi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intervensi</w:t>
      </w:r>
      <w:proofErr w:type="spellEnd"/>
      <w:r w:rsidRPr="007720BC">
        <w:rPr>
          <w:rFonts w:ascii="Times New Roman" w:hAnsi="Times New Roman" w:cs="Times New Roman"/>
          <w:sz w:val="24"/>
          <w:szCs w:val="24"/>
        </w:rPr>
        <w:t xml:space="preserve"> </w:t>
      </w:r>
      <w:proofErr w:type="spellStart"/>
      <w:r w:rsidR="00EA1EDF" w:rsidRPr="007720BC">
        <w:rPr>
          <w:rFonts w:ascii="Times New Roman" w:hAnsi="Times New Roman" w:cs="Times New Roman"/>
          <w:sz w:val="24"/>
          <w:szCs w:val="24"/>
        </w:rPr>
        <w:t>antar</w:t>
      </w:r>
      <w:proofErr w:type="spellEnd"/>
      <w:r w:rsidR="00EA1EDF" w:rsidRPr="007720BC">
        <w:rPr>
          <w:rFonts w:ascii="Times New Roman" w:hAnsi="Times New Roman" w:cs="Times New Roman"/>
          <w:sz w:val="24"/>
          <w:szCs w:val="24"/>
        </w:rPr>
        <w:t xml:space="preserve"> </w:t>
      </w:r>
      <w:r w:rsidRPr="007720BC">
        <w:rPr>
          <w:rFonts w:ascii="Times New Roman" w:hAnsi="Times New Roman" w:cs="Times New Roman"/>
          <w:sz w:val="24"/>
          <w:szCs w:val="24"/>
          <w:lang w:val="en-US"/>
        </w:rPr>
        <w:t>multi</w:t>
      </w:r>
      <w:proofErr w:type="spellStart"/>
      <w:r w:rsidRPr="007720BC">
        <w:rPr>
          <w:rFonts w:ascii="Times New Roman" w:hAnsi="Times New Roman" w:cs="Times New Roman"/>
          <w:sz w:val="24"/>
          <w:szCs w:val="24"/>
        </w:rPr>
        <w:t>sektoral</w:t>
      </w:r>
      <w:proofErr w:type="spellEnd"/>
      <w:r w:rsidRPr="007720BC">
        <w:rPr>
          <w:rFonts w:ascii="Times New Roman" w:hAnsi="Times New Roman" w:cs="Times New Roman"/>
          <w:sz w:val="24"/>
          <w:szCs w:val="24"/>
        </w:rPr>
        <w:t xml:space="preserve">. </w:t>
      </w:r>
      <w:r w:rsidR="00EA1EDF" w:rsidRPr="007720BC">
        <w:rPr>
          <w:rFonts w:ascii="Times New Roman" w:hAnsi="Times New Roman" w:cs="Times New Roman"/>
          <w:sz w:val="24"/>
          <w:szCs w:val="24"/>
        </w:rPr>
        <w:t xml:space="preserve">Hasil </w:t>
      </w:r>
      <w:proofErr w:type="spellStart"/>
      <w:r w:rsidR="00EA1EDF" w:rsidRPr="007720BC">
        <w:rPr>
          <w:rFonts w:ascii="Times New Roman" w:hAnsi="Times New Roman" w:cs="Times New Roman"/>
          <w:sz w:val="24"/>
          <w:szCs w:val="24"/>
        </w:rPr>
        <w:t>penelitian</w:t>
      </w:r>
      <w:proofErr w:type="spellEnd"/>
      <w:r w:rsidR="00EA1EDF" w:rsidRPr="007720BC">
        <w:rPr>
          <w:rFonts w:ascii="Times New Roman" w:hAnsi="Times New Roman" w:cs="Times New Roman"/>
          <w:sz w:val="24"/>
          <w:szCs w:val="24"/>
        </w:rPr>
        <w:t xml:space="preserve"> yang </w:t>
      </w:r>
      <w:proofErr w:type="spellStart"/>
      <w:r w:rsidR="00EA1EDF" w:rsidRPr="007720BC">
        <w:rPr>
          <w:rFonts w:ascii="Times New Roman" w:hAnsi="Times New Roman" w:cs="Times New Roman"/>
          <w:sz w:val="24"/>
          <w:szCs w:val="24"/>
        </w:rPr>
        <w:lastRenderedPageBreak/>
        <w:t>dilakukan</w:t>
      </w:r>
      <w:proofErr w:type="spellEnd"/>
      <w:r w:rsidR="00EA1EDF" w:rsidRPr="007720BC">
        <w:rPr>
          <w:rFonts w:ascii="Times New Roman" w:hAnsi="Times New Roman" w:cs="Times New Roman"/>
          <w:sz w:val="24"/>
          <w:szCs w:val="24"/>
        </w:rPr>
        <w:t xml:space="preserve"> oleh </w:t>
      </w:r>
      <w:r w:rsidR="00EA1EDF" w:rsidRPr="007720BC">
        <w:rPr>
          <w:rFonts w:ascii="Times New Roman" w:hAnsi="Times New Roman" w:cs="Times New Roman"/>
          <w:sz w:val="24"/>
          <w:szCs w:val="24"/>
        </w:rPr>
        <w:fldChar w:fldCharType="begin" w:fldLock="1"/>
      </w:r>
      <w:r w:rsidR="000F0C3B" w:rsidRPr="007720BC">
        <w:rPr>
          <w:rFonts w:ascii="Times New Roman" w:hAnsi="Times New Roman" w:cs="Times New Roman"/>
          <w:sz w:val="24"/>
          <w:szCs w:val="24"/>
        </w:rPr>
        <w:instrText>ADDIN CSL_CITATION {"citationItems":[{"id":"ITEM-1","itemData":{"DOI":"10.1093/jn/nxy138","ISSN":"15416100","PMID":"30184223","abstract":"Background: Food-assisted maternal and child health and nutrition (FA-MCHN) programs may foster child growth during the first 1000 d (pregnancy and the first 2 y of a child's life), but evidence is scant. Objective: We evaluated the impact of an FA-MCHN program, PROCOMIDA, on linear growth (stunting [length-for-age z score (LAZ) &lt;-2] and length-for-age difference [LAD]) among children aged 1-24 mo. PROCOMIDA was implemented in Guatemala by Mercy Corps and was available to beneficiaries throughout the first 1000 d. Methods:We used a longitudinal, cluster-randomized controlled trial with groups varying in family ration sizes [full (FFR), reduced (RFR), and none (NFR)] and individual ration types provided to mothers (pregnancy to 6 mo postpartum) and children (6-24 mo of age) [corn-soy blend (CSB), lipid-based nutrient supplement (LNS), micronutrient powder (MNP)]: 1) FFR + CSB (n = 576); 2) RFR + CSB (n = 575); 3) NFR + CSB (n = 542); 4) FFR + LNS (n = 550); 5) FFR + MNP (n = 587); 6) control (n = 574). Program impacts compared with control, and differential impacts between groups varying family ration size or individual ration type, were assessed through the use of linear mixed-effects models and post hoc simple effect tests (significant if P &lt; 0.05). Results: PROCOMIDA significantly reduced stunting at age 1 mo in FFR + CSB, RFR + CSB, and FFR + MNP groups compared with control [5.05, 4.06, and 3.82 percentage points (pp), respectively]. Stunting impact increased by age 24 mo in FFR + CSB and FFR + MNP relative to control (impact = 11.1 and 6.5 pp at age 24 mo, respectively). For CSB recipients, the FFR compared with RFR or NFR significantly reduced stunting (6.47-9.68 pp). CSB reduced stunting significantly more than LNS at age 24 mo (8.12 pp). Conclusions: FA-MCHN programs can reduce stunting during the first 1000 d, even in relatively energy/food-secure populations. Large family rations with individual rations of CSB or MNP were most effective. The widening of impact as children age highlights the importance of intervening throughout the full first 1000 d. This trial was registered at clinicaltrials.gov as NCT01072279. J Nutr 2018;148:1493-1505.","author":[{"dropping-particle":"","family":"Olney","given":"Deanna K.","non-dropping-particle":"","parse-names":false,"suffix":""},{"dropping-particle":"","family":"Leroy","given":"Jef","non-dropping-particle":"","parse-names":false,"suffix":""},{"dropping-particle":"","family":"Bliznashka","given":"Lilia","non-dropping-particle":"","parse-names":false,"suffix":""},{"dropping-particle":"","family":"Ruel","given":"Marie T.","non-dropping-particle":"","parse-names":false,"suffix":""}],"container-title":"Journal of Nutrition","id":"ITEM-1","issue":"9","issued":{"date-parts":[["2018"]]},"page":"1493-1505","title":"PROCOMIDA, a food-assisted maternal and child health and nutrition program, reduces child stunting in Guatemala: A cluster-randomized controlled intervention trial","type":"article-journal","volume":"148"},"uris":["http://www.mendeley.com/documents/?uuid=974b36f5-d32d-486c-a7f5-e4146cfdc927"]}],"mendeley":{"formattedCitation":"(Olney et al. 2018)","plainTextFormattedCitation":"(Olney et al. 2018)","previouslyFormattedCitation":"(Olney et al. 2018)"},"properties":{"noteIndex":0},"schema":"https://github.com/citation-style-language/schema/raw/master/csl-citation.json"}</w:instrText>
      </w:r>
      <w:r w:rsidR="00EA1EDF" w:rsidRPr="007720BC">
        <w:rPr>
          <w:rFonts w:ascii="Times New Roman" w:hAnsi="Times New Roman" w:cs="Times New Roman"/>
          <w:sz w:val="24"/>
          <w:szCs w:val="24"/>
        </w:rPr>
        <w:fldChar w:fldCharType="separate"/>
      </w:r>
      <w:r w:rsidR="00EA1EDF" w:rsidRPr="007720BC">
        <w:rPr>
          <w:rFonts w:ascii="Times New Roman" w:hAnsi="Times New Roman" w:cs="Times New Roman"/>
          <w:noProof/>
          <w:sz w:val="24"/>
          <w:szCs w:val="24"/>
        </w:rPr>
        <w:t>(Olney et al. 2018)</w:t>
      </w:r>
      <w:r w:rsidR="00EA1EDF" w:rsidRPr="007720BC">
        <w:rPr>
          <w:rFonts w:ascii="Times New Roman" w:hAnsi="Times New Roman" w:cs="Times New Roman"/>
          <w:sz w:val="24"/>
          <w:szCs w:val="24"/>
        </w:rPr>
        <w:fldChar w:fldCharType="end"/>
      </w:r>
      <w:r w:rsidR="00EA1EDF" w:rsidRPr="007720BC">
        <w:rPr>
          <w:rFonts w:ascii="Times New Roman" w:hAnsi="Times New Roman" w:cs="Times New Roman"/>
          <w:sz w:val="24"/>
          <w:szCs w:val="24"/>
        </w:rPr>
        <w:t xml:space="preserve"> </w:t>
      </w:r>
      <w:proofErr w:type="spellStart"/>
      <w:r w:rsidR="00EA1EDF" w:rsidRPr="007720BC">
        <w:rPr>
          <w:rFonts w:ascii="Times New Roman" w:hAnsi="Times New Roman" w:cs="Times New Roman"/>
          <w:sz w:val="24"/>
          <w:szCs w:val="24"/>
        </w:rPr>
        <w:t>menunjukkan</w:t>
      </w:r>
      <w:proofErr w:type="spellEnd"/>
      <w:r w:rsidR="00EA1EDF" w:rsidRPr="007720BC">
        <w:rPr>
          <w:rFonts w:ascii="Times New Roman" w:hAnsi="Times New Roman" w:cs="Times New Roman"/>
          <w:sz w:val="24"/>
          <w:szCs w:val="24"/>
        </w:rPr>
        <w:t xml:space="preserve"> </w:t>
      </w:r>
      <w:proofErr w:type="spellStart"/>
      <w:r w:rsidR="00EA1EDF" w:rsidRPr="007720BC">
        <w:rPr>
          <w:rFonts w:ascii="Times New Roman" w:hAnsi="Times New Roman" w:cs="Times New Roman"/>
          <w:sz w:val="24"/>
          <w:szCs w:val="24"/>
        </w:rPr>
        <w:t>bahwa</w:t>
      </w:r>
      <w:proofErr w:type="spellEnd"/>
      <w:r w:rsidR="00EA1EDF" w:rsidRPr="007720BC">
        <w:rPr>
          <w:rFonts w:ascii="Times New Roman" w:hAnsi="Times New Roman" w:cs="Times New Roman"/>
          <w:sz w:val="24"/>
          <w:szCs w:val="24"/>
        </w:rPr>
        <w:t xml:space="preserve"> Program </w:t>
      </w:r>
      <w:r w:rsidR="00EA1EDF" w:rsidRPr="007720BC">
        <w:rPr>
          <w:rFonts w:ascii="Times New Roman" w:hAnsi="Times New Roman" w:cs="Times New Roman"/>
          <w:i/>
          <w:iCs/>
          <w:sz w:val="24"/>
          <w:szCs w:val="24"/>
        </w:rPr>
        <w:t>Food-Assisted Maternal and Child Health and Nutritio</w:t>
      </w:r>
      <w:r w:rsidR="00EA1EDF" w:rsidRPr="007720BC">
        <w:rPr>
          <w:rFonts w:ascii="Times New Roman" w:hAnsi="Times New Roman" w:cs="Times New Roman"/>
          <w:sz w:val="24"/>
          <w:szCs w:val="24"/>
        </w:rPr>
        <w:t xml:space="preserve">n (FA-MCHN) di Guatemala </w:t>
      </w:r>
      <w:proofErr w:type="spellStart"/>
      <w:r w:rsidR="00EA1EDF" w:rsidRPr="007720BC">
        <w:rPr>
          <w:rFonts w:ascii="Times New Roman" w:hAnsi="Times New Roman" w:cs="Times New Roman"/>
          <w:sz w:val="24"/>
          <w:szCs w:val="24"/>
        </w:rPr>
        <w:t>dapat</w:t>
      </w:r>
      <w:proofErr w:type="spellEnd"/>
      <w:r w:rsidR="00EA1EDF" w:rsidRPr="007720BC">
        <w:rPr>
          <w:rFonts w:ascii="Times New Roman" w:hAnsi="Times New Roman" w:cs="Times New Roman"/>
          <w:sz w:val="24"/>
          <w:szCs w:val="24"/>
        </w:rPr>
        <w:t xml:space="preserve"> </w:t>
      </w:r>
      <w:proofErr w:type="spellStart"/>
      <w:r w:rsidR="00EA1EDF" w:rsidRPr="007720BC">
        <w:rPr>
          <w:rFonts w:ascii="Times New Roman" w:hAnsi="Times New Roman" w:cs="Times New Roman"/>
          <w:sz w:val="24"/>
          <w:szCs w:val="24"/>
        </w:rPr>
        <w:t>menurunkan</w:t>
      </w:r>
      <w:proofErr w:type="spellEnd"/>
      <w:r w:rsidR="00EA1EDF" w:rsidRPr="007720BC">
        <w:rPr>
          <w:rFonts w:ascii="Times New Roman" w:hAnsi="Times New Roman" w:cs="Times New Roman"/>
          <w:sz w:val="24"/>
          <w:szCs w:val="24"/>
        </w:rPr>
        <w:t xml:space="preserve"> stunting </w:t>
      </w:r>
      <w:proofErr w:type="spellStart"/>
      <w:r w:rsidR="00EA1EDF" w:rsidRPr="007720BC">
        <w:rPr>
          <w:rFonts w:ascii="Times New Roman" w:hAnsi="Times New Roman" w:cs="Times New Roman"/>
          <w:sz w:val="24"/>
          <w:szCs w:val="24"/>
        </w:rPr>
        <w:t>selama</w:t>
      </w:r>
      <w:proofErr w:type="spellEnd"/>
      <w:r w:rsidR="00EA1EDF" w:rsidRPr="007720BC">
        <w:rPr>
          <w:rFonts w:ascii="Times New Roman" w:hAnsi="Times New Roman" w:cs="Times New Roman"/>
          <w:sz w:val="24"/>
          <w:szCs w:val="24"/>
        </w:rPr>
        <w:t xml:space="preserve"> 1000 </w:t>
      </w:r>
      <w:proofErr w:type="spellStart"/>
      <w:r w:rsidR="00EA1EDF" w:rsidRPr="007720BC">
        <w:rPr>
          <w:rFonts w:ascii="Times New Roman" w:hAnsi="Times New Roman" w:cs="Times New Roman"/>
          <w:sz w:val="24"/>
          <w:szCs w:val="24"/>
        </w:rPr>
        <w:t>hari</w:t>
      </w:r>
      <w:proofErr w:type="spellEnd"/>
      <w:r w:rsidR="00EA1EDF" w:rsidRPr="007720BC">
        <w:rPr>
          <w:rFonts w:ascii="Times New Roman" w:hAnsi="Times New Roman" w:cs="Times New Roman"/>
          <w:sz w:val="24"/>
          <w:szCs w:val="24"/>
        </w:rPr>
        <w:t xml:space="preserve"> </w:t>
      </w:r>
      <w:proofErr w:type="spellStart"/>
      <w:r w:rsidR="00EA1EDF" w:rsidRPr="007720BC">
        <w:rPr>
          <w:rFonts w:ascii="Times New Roman" w:hAnsi="Times New Roman" w:cs="Times New Roman"/>
          <w:sz w:val="24"/>
          <w:szCs w:val="24"/>
        </w:rPr>
        <w:t>pertama</w:t>
      </w:r>
      <w:proofErr w:type="spellEnd"/>
      <w:r w:rsidR="00EA1EDF" w:rsidRPr="007720BC">
        <w:rPr>
          <w:rFonts w:ascii="Times New Roman" w:hAnsi="Times New Roman" w:cs="Times New Roman"/>
          <w:sz w:val="24"/>
          <w:szCs w:val="24"/>
        </w:rPr>
        <w:t>.</w:t>
      </w:r>
      <w:r w:rsidR="000033AC" w:rsidRPr="007720BC">
        <w:rPr>
          <w:rFonts w:ascii="Times New Roman" w:hAnsi="Times New Roman" w:cs="Times New Roman"/>
          <w:sz w:val="24"/>
          <w:szCs w:val="24"/>
        </w:rPr>
        <w:t xml:space="preserve"> </w:t>
      </w:r>
      <w:proofErr w:type="spellStart"/>
      <w:r w:rsidR="000033AC" w:rsidRPr="007720BC">
        <w:rPr>
          <w:rFonts w:ascii="Times New Roman" w:hAnsi="Times New Roman" w:cs="Times New Roman"/>
          <w:sz w:val="24"/>
          <w:szCs w:val="24"/>
        </w:rPr>
        <w:t>Selanjutnya</w:t>
      </w:r>
      <w:proofErr w:type="spellEnd"/>
      <w:r w:rsidR="000033AC" w:rsidRPr="007720BC">
        <w:rPr>
          <w:rFonts w:ascii="Times New Roman" w:hAnsi="Times New Roman" w:cs="Times New Roman"/>
          <w:sz w:val="24"/>
          <w:szCs w:val="24"/>
        </w:rPr>
        <w:t xml:space="preserve"> </w:t>
      </w:r>
      <w:r w:rsidR="000033AC" w:rsidRPr="007720BC">
        <w:rPr>
          <w:rFonts w:ascii="Times New Roman" w:hAnsi="Times New Roman" w:cs="Times New Roman"/>
          <w:sz w:val="24"/>
          <w:szCs w:val="24"/>
        </w:rPr>
        <w:fldChar w:fldCharType="begin" w:fldLock="1"/>
      </w:r>
      <w:r w:rsidR="0005519A" w:rsidRPr="007720BC">
        <w:rPr>
          <w:rFonts w:ascii="Times New Roman" w:hAnsi="Times New Roman" w:cs="Times New Roman"/>
          <w:sz w:val="24"/>
          <w:szCs w:val="24"/>
        </w:rPr>
        <w:instrText>ADDIN CSL_CITATION {"citationItems":[{"id":"ITEM-1","itemData":{"DOI":"10.1093/ajcn/nqaa164","ISSN":"19383207","PMID":"32860403","abstract":"Background: Peru reduced its under-5 child stunting prevalence notably from 31.3% in 2000 to 13.1% in 2016. Objectives: We aimed to study factors and key enablers of child stunting reduction in Peru from 2000–2016. Methods: Demographic and Health Surveys were used to conduct descriptive analyses [height-for-age z scores (HAZ) means and distributions, equity analysis, predicted child growth curves through polynomial regressions] and advanced regression analyses. An ecological (at department level) multilevel regression analysis was conducted to identify the major predictors of stunting decline from 2000 to 2016, and Oaxaca–Blinder decomposition was conducted to identify the relative contribution of each factor to child HAZ change. A systematic literature review, policy and program analysis, and interviews with relevant stakeholders were conducted to understand key drivers of stunting decline in Peru. Results: The distribution of HAZ scores showed a slight rightward shift from 2000 to 2007/2008, and a greater shift from 2007/2008 to 2016. Stunting reduction was higher in the lowest wealth quintile, in rural areas, and among children with the least educated mothers. Decomposing predicted changes showed that the most important factors were increased maternal BMI and maternal height, improved maternal and newborn health care, increased parental education, migration to urban areas, and reduced fertility. Key drivers included the advocacy role of civil society and political leadership around poverty and stunting reduction since the early 2000s. Key enablers included the economic growth and the consolidation of democracy since the early 2000s, and the acknowledgement that stunting reduction needs much more than food supplementation. Conclusions: Peru reduced child stunting owing to improved socioeconomic determinants, sustained implementation of out-of-health-sector and within-health-sector changes, and implementation of health interventions. These efforts were driven through a multisectoral approach, strong civil society advocacy, and keen political leadership. Peru’s experience offers useful lessons on how to tackle the problem of stunting under differing scenarios, with the participation of multiple sectors. Am J Clin Nutr 2020;112(Suppl):816S–829S.","author":[{"dropping-particle":"","family":"Huicho","given":"Luis","non-dropping-particle":"","parse-names":false,"suffix":""},{"dropping-particle":"","family":"Vidal-Cárdenas","given":"Elisa","non-dropping-particle":"","parse-names":false,"suffix":""},{"dropping-particle":"","family":"Akseer","given":"Nadia","non-dropping-particle":"","parse-names":false,"suffix":""},{"dropping-particle":"","family":"Brar","given":"Samanpreet","non-dropping-particle":"","parse-names":false,"suffix":""},{"dropping-particle":"","family":"Conway","given":"Kaitlin","non-dropping-particle":"","parse-names":false,"suffix":""},{"dropping-particle":"","family":"Islam","given":"Muhammad","non-dropping-particle":"","parse-names":false,"suffix":""},{"dropping-particle":"","family":"Juarez","given":"Elisa","non-dropping-particle":"","parse-names":false,"suffix":""},{"dropping-particle":"","family":"Rappaport","given":"Aviva","non-dropping-particle":"","parse-names":false,"suffix":""},{"dropping-particle":"","family":"Tasic","given":"Hana","non-dropping-particle":"","parse-names":false,"suffix":""},{"dropping-particle":"","family":"Vaivada","given":"Tyler","non-dropping-particle":"","parse-names":false,"suffix":""},{"dropping-particle":"","family":"Wigle","given":"Jannah","non-dropping-particle":"","parse-names":false,"suffix":""},{"dropping-particle":"","family":"Bhutta","given":"Zulfiqar A.","non-dropping-particle":"","parse-names":false,"suffix":""}],"container-title":"American Journal of Clinical Nutrition","id":"ITEM-1","issued":{"date-parts":[["2020"]]},"page":"816S-829S","publisher":"American Society for Nutrition.","title":"Drivers of stunting reduction in Peru: A country case study","type":"article-journal","volume":"112"},"uris":["http://www.mendeley.com/documents/?uuid=a3cae4eb-710d-4643-8127-5848192f7479"]}],"mendeley":{"formattedCitation":"(Huicho et al. 2020)","plainTextFormattedCitation":"(Huicho et al. 2020)","previouslyFormattedCitation":"(Huicho et al. 2020)"},"properties":{"noteIndex":0},"schema":"https://github.com/citation-style-language/schema/raw/master/csl-citation.json"}</w:instrText>
      </w:r>
      <w:r w:rsidR="000033AC" w:rsidRPr="007720BC">
        <w:rPr>
          <w:rFonts w:ascii="Times New Roman" w:hAnsi="Times New Roman" w:cs="Times New Roman"/>
          <w:sz w:val="24"/>
          <w:szCs w:val="24"/>
        </w:rPr>
        <w:fldChar w:fldCharType="separate"/>
      </w:r>
      <w:r w:rsidR="000033AC" w:rsidRPr="007720BC">
        <w:rPr>
          <w:rFonts w:ascii="Times New Roman" w:hAnsi="Times New Roman" w:cs="Times New Roman"/>
          <w:noProof/>
          <w:sz w:val="24"/>
          <w:szCs w:val="24"/>
        </w:rPr>
        <w:t>(Huicho et al. 2020)</w:t>
      </w:r>
      <w:r w:rsidR="000033AC" w:rsidRPr="007720BC">
        <w:rPr>
          <w:rFonts w:ascii="Times New Roman" w:hAnsi="Times New Roman" w:cs="Times New Roman"/>
          <w:sz w:val="24"/>
          <w:szCs w:val="24"/>
        </w:rPr>
        <w:fldChar w:fldCharType="end"/>
      </w:r>
      <w:r w:rsidR="000033AC" w:rsidRPr="007720BC">
        <w:rPr>
          <w:rFonts w:ascii="Times New Roman" w:hAnsi="Times New Roman" w:cs="Times New Roman"/>
          <w:sz w:val="24"/>
          <w:szCs w:val="24"/>
        </w:rPr>
        <w:t xml:space="preserve"> </w:t>
      </w:r>
      <w:proofErr w:type="spellStart"/>
      <w:r w:rsidR="000033AC" w:rsidRPr="007720BC">
        <w:rPr>
          <w:rFonts w:ascii="Times New Roman" w:hAnsi="Times New Roman" w:cs="Times New Roman"/>
          <w:sz w:val="24"/>
          <w:szCs w:val="24"/>
        </w:rPr>
        <w:t>dalam</w:t>
      </w:r>
      <w:proofErr w:type="spellEnd"/>
      <w:r w:rsidR="000033AC" w:rsidRPr="007720BC">
        <w:rPr>
          <w:rFonts w:ascii="Times New Roman" w:hAnsi="Times New Roman" w:cs="Times New Roman"/>
          <w:sz w:val="24"/>
          <w:szCs w:val="24"/>
        </w:rPr>
        <w:t xml:space="preserve"> </w:t>
      </w:r>
      <w:proofErr w:type="spellStart"/>
      <w:r w:rsidR="000033AC" w:rsidRPr="007720BC">
        <w:rPr>
          <w:rFonts w:ascii="Times New Roman" w:hAnsi="Times New Roman" w:cs="Times New Roman"/>
          <w:sz w:val="24"/>
          <w:szCs w:val="24"/>
        </w:rPr>
        <w:t>hasil</w:t>
      </w:r>
      <w:proofErr w:type="spellEnd"/>
      <w:r w:rsidR="000033AC" w:rsidRPr="007720BC">
        <w:rPr>
          <w:rFonts w:ascii="Times New Roman" w:hAnsi="Times New Roman" w:cs="Times New Roman"/>
          <w:sz w:val="24"/>
          <w:szCs w:val="24"/>
        </w:rPr>
        <w:t xml:space="preserve"> </w:t>
      </w:r>
      <w:proofErr w:type="spellStart"/>
      <w:r w:rsidR="000033AC" w:rsidRPr="007720BC">
        <w:rPr>
          <w:rFonts w:ascii="Times New Roman" w:hAnsi="Times New Roman" w:cs="Times New Roman"/>
          <w:sz w:val="24"/>
          <w:szCs w:val="24"/>
        </w:rPr>
        <w:t>penelitiannya</w:t>
      </w:r>
      <w:proofErr w:type="spellEnd"/>
      <w:r w:rsidR="000033AC" w:rsidRPr="007720BC">
        <w:rPr>
          <w:rFonts w:ascii="Times New Roman" w:hAnsi="Times New Roman" w:cs="Times New Roman"/>
          <w:sz w:val="24"/>
          <w:szCs w:val="24"/>
        </w:rPr>
        <w:t xml:space="preserve"> </w:t>
      </w:r>
      <w:r w:rsidR="009477A6" w:rsidRPr="007720BC">
        <w:rPr>
          <w:rFonts w:ascii="Times New Roman" w:hAnsi="Times New Roman" w:cs="Times New Roman"/>
          <w:sz w:val="24"/>
          <w:szCs w:val="24"/>
        </w:rPr>
        <w:t xml:space="preserve">di Peru </w:t>
      </w:r>
      <w:proofErr w:type="spellStart"/>
      <w:r w:rsidR="000033AC" w:rsidRPr="007720BC">
        <w:rPr>
          <w:rFonts w:ascii="Times New Roman" w:hAnsi="Times New Roman" w:cs="Times New Roman"/>
          <w:sz w:val="24"/>
          <w:szCs w:val="24"/>
        </w:rPr>
        <w:t>mengatakan</w:t>
      </w:r>
      <w:proofErr w:type="spellEnd"/>
      <w:r w:rsidR="000033AC" w:rsidRPr="007720BC">
        <w:rPr>
          <w:rFonts w:ascii="Times New Roman" w:hAnsi="Times New Roman" w:cs="Times New Roman"/>
          <w:sz w:val="24"/>
          <w:szCs w:val="24"/>
        </w:rPr>
        <w:t xml:space="preserve"> </w:t>
      </w:r>
      <w:proofErr w:type="spellStart"/>
      <w:r w:rsidR="000033AC" w:rsidRPr="007720BC">
        <w:rPr>
          <w:rFonts w:ascii="Times New Roman" w:hAnsi="Times New Roman" w:cs="Times New Roman"/>
          <w:sz w:val="24"/>
          <w:szCs w:val="24"/>
        </w:rPr>
        <w:t>penurunan</w:t>
      </w:r>
      <w:proofErr w:type="spellEnd"/>
      <w:r w:rsidR="000033AC" w:rsidRPr="007720BC">
        <w:rPr>
          <w:rFonts w:ascii="Times New Roman" w:hAnsi="Times New Roman" w:cs="Times New Roman"/>
          <w:sz w:val="24"/>
          <w:szCs w:val="24"/>
        </w:rPr>
        <w:t xml:space="preserve"> stunting </w:t>
      </w:r>
      <w:proofErr w:type="spellStart"/>
      <w:r w:rsidR="000033AC" w:rsidRPr="007720BC">
        <w:rPr>
          <w:rFonts w:ascii="Times New Roman" w:hAnsi="Times New Roman" w:cs="Times New Roman"/>
          <w:sz w:val="24"/>
          <w:szCs w:val="24"/>
        </w:rPr>
        <w:t>dapat</w:t>
      </w:r>
      <w:proofErr w:type="spellEnd"/>
      <w:r w:rsidR="000033AC" w:rsidRPr="007720BC">
        <w:rPr>
          <w:rFonts w:ascii="Times New Roman" w:hAnsi="Times New Roman" w:cs="Times New Roman"/>
          <w:sz w:val="24"/>
          <w:szCs w:val="24"/>
        </w:rPr>
        <w:t xml:space="preserve"> </w:t>
      </w:r>
      <w:proofErr w:type="spellStart"/>
      <w:r w:rsidR="000033AC" w:rsidRPr="007720BC">
        <w:rPr>
          <w:rFonts w:ascii="Times New Roman" w:hAnsi="Times New Roman" w:cs="Times New Roman"/>
          <w:sz w:val="24"/>
          <w:szCs w:val="24"/>
        </w:rPr>
        <w:t>dilakukan</w:t>
      </w:r>
      <w:proofErr w:type="spellEnd"/>
      <w:r w:rsidR="000033AC" w:rsidRPr="007720BC">
        <w:rPr>
          <w:rFonts w:ascii="Times New Roman" w:hAnsi="Times New Roman" w:cs="Times New Roman"/>
          <w:sz w:val="24"/>
          <w:szCs w:val="24"/>
        </w:rPr>
        <w:t xml:space="preserve"> </w:t>
      </w:r>
      <w:proofErr w:type="spellStart"/>
      <w:r w:rsidR="000033AC" w:rsidRPr="007720BC">
        <w:rPr>
          <w:rFonts w:ascii="Times New Roman" w:hAnsi="Times New Roman" w:cs="Times New Roman"/>
          <w:sz w:val="24"/>
          <w:szCs w:val="24"/>
        </w:rPr>
        <w:t>melalui</w:t>
      </w:r>
      <w:proofErr w:type="spellEnd"/>
      <w:r w:rsidR="000033AC" w:rsidRPr="007720BC">
        <w:rPr>
          <w:rFonts w:ascii="Times New Roman" w:hAnsi="Times New Roman" w:cs="Times New Roman"/>
          <w:sz w:val="24"/>
          <w:szCs w:val="24"/>
        </w:rPr>
        <w:t xml:space="preserve"> </w:t>
      </w:r>
      <w:proofErr w:type="spellStart"/>
      <w:r w:rsidR="009477A6" w:rsidRPr="007720BC">
        <w:rPr>
          <w:rFonts w:ascii="Times New Roman" w:hAnsi="Times New Roman" w:cs="Times New Roman"/>
          <w:sz w:val="24"/>
          <w:szCs w:val="24"/>
        </w:rPr>
        <w:t>faktor</w:t>
      </w:r>
      <w:proofErr w:type="spellEnd"/>
      <w:r w:rsidR="009477A6" w:rsidRPr="007720BC">
        <w:rPr>
          <w:rFonts w:ascii="Times New Roman" w:hAnsi="Times New Roman" w:cs="Times New Roman"/>
          <w:sz w:val="24"/>
          <w:szCs w:val="24"/>
        </w:rPr>
        <w:t xml:space="preserve"> </w:t>
      </w:r>
      <w:r w:rsidR="000033AC" w:rsidRPr="007720BC">
        <w:rPr>
          <w:rStyle w:val="rynqvb"/>
          <w:rFonts w:ascii="Times New Roman" w:hAnsi="Times New Roman" w:cs="Times New Roman"/>
          <w:sz w:val="24"/>
          <w:szCs w:val="24"/>
          <w:lang w:val="id-ID"/>
        </w:rPr>
        <w:t>sosial ekonomi yang</w:t>
      </w:r>
      <w:r w:rsidR="009477A6" w:rsidRPr="007720BC">
        <w:rPr>
          <w:rStyle w:val="rynqvb"/>
          <w:rFonts w:ascii="Times New Roman" w:hAnsi="Times New Roman" w:cs="Times New Roman"/>
          <w:sz w:val="24"/>
          <w:szCs w:val="24"/>
          <w:lang w:val="en-US"/>
        </w:rPr>
        <w:t xml:space="preserve"> </w:t>
      </w:r>
      <w:proofErr w:type="spellStart"/>
      <w:r w:rsidR="009477A6" w:rsidRPr="007720BC">
        <w:rPr>
          <w:rStyle w:val="rynqvb"/>
          <w:rFonts w:ascii="Times New Roman" w:hAnsi="Times New Roman" w:cs="Times New Roman"/>
          <w:sz w:val="24"/>
          <w:szCs w:val="24"/>
          <w:lang w:val="en-US"/>
        </w:rPr>
        <w:t>lebih</w:t>
      </w:r>
      <w:proofErr w:type="spellEnd"/>
      <w:r w:rsidR="009477A6" w:rsidRPr="007720BC">
        <w:rPr>
          <w:rStyle w:val="rynqvb"/>
          <w:rFonts w:ascii="Times New Roman" w:hAnsi="Times New Roman" w:cs="Times New Roman"/>
          <w:sz w:val="24"/>
          <w:szCs w:val="24"/>
          <w:lang w:val="en-US"/>
        </w:rPr>
        <w:t xml:space="preserve"> </w:t>
      </w:r>
      <w:proofErr w:type="spellStart"/>
      <w:r w:rsidR="009477A6" w:rsidRPr="007720BC">
        <w:rPr>
          <w:rStyle w:val="rynqvb"/>
          <w:rFonts w:ascii="Times New Roman" w:hAnsi="Times New Roman" w:cs="Times New Roman"/>
          <w:sz w:val="24"/>
          <w:szCs w:val="24"/>
          <w:lang w:val="en-US"/>
        </w:rPr>
        <w:t>baik</w:t>
      </w:r>
      <w:proofErr w:type="spellEnd"/>
      <w:r w:rsidR="000033AC" w:rsidRPr="007720BC">
        <w:rPr>
          <w:rStyle w:val="rynqvb"/>
          <w:rFonts w:ascii="Times New Roman" w:hAnsi="Times New Roman" w:cs="Times New Roman"/>
          <w:sz w:val="24"/>
          <w:szCs w:val="24"/>
          <w:lang w:val="id-ID"/>
        </w:rPr>
        <w:t>, implementasi yang berkelanjutan dari perubahan di luar sektor kesehatan dan di dalam sektor kesehatan, implementasi intervensi kesehatan</w:t>
      </w:r>
      <w:r w:rsidR="000033AC" w:rsidRPr="007720BC">
        <w:rPr>
          <w:rStyle w:val="rynqvb"/>
          <w:rFonts w:ascii="Times New Roman" w:hAnsi="Times New Roman" w:cs="Times New Roman"/>
          <w:sz w:val="24"/>
          <w:szCs w:val="24"/>
          <w:lang w:val="en-US"/>
        </w:rPr>
        <w:t xml:space="preserve"> </w:t>
      </w:r>
      <w:proofErr w:type="spellStart"/>
      <w:r w:rsidR="000033AC" w:rsidRPr="007720BC">
        <w:rPr>
          <w:rStyle w:val="rynqvb"/>
          <w:rFonts w:ascii="Times New Roman" w:hAnsi="Times New Roman" w:cs="Times New Roman"/>
          <w:sz w:val="24"/>
          <w:szCs w:val="24"/>
          <w:lang w:val="en-US"/>
        </w:rPr>
        <w:t>serta</w:t>
      </w:r>
      <w:proofErr w:type="spellEnd"/>
      <w:r w:rsidR="000033AC" w:rsidRPr="007720BC">
        <w:rPr>
          <w:rStyle w:val="rynqvb"/>
          <w:rFonts w:ascii="Times New Roman" w:hAnsi="Times New Roman" w:cs="Times New Roman"/>
          <w:sz w:val="24"/>
          <w:szCs w:val="24"/>
          <w:lang w:val="en-US"/>
        </w:rPr>
        <w:t xml:space="preserve"> </w:t>
      </w:r>
      <w:proofErr w:type="spellStart"/>
      <w:r w:rsidR="000033AC" w:rsidRPr="007720BC">
        <w:rPr>
          <w:rStyle w:val="rynqvb"/>
          <w:rFonts w:ascii="Times New Roman" w:hAnsi="Times New Roman" w:cs="Times New Roman"/>
          <w:sz w:val="24"/>
          <w:szCs w:val="24"/>
          <w:lang w:val="en-US"/>
        </w:rPr>
        <w:t>didorong</w:t>
      </w:r>
      <w:proofErr w:type="spellEnd"/>
      <w:r w:rsidR="000033AC" w:rsidRPr="007720BC">
        <w:rPr>
          <w:rStyle w:val="rynqvb"/>
          <w:rFonts w:ascii="Times New Roman" w:hAnsi="Times New Roman" w:cs="Times New Roman"/>
          <w:sz w:val="24"/>
          <w:szCs w:val="24"/>
          <w:lang w:val="en-US"/>
        </w:rPr>
        <w:t xml:space="preserve"> </w:t>
      </w:r>
      <w:r w:rsidR="000033AC" w:rsidRPr="007720BC">
        <w:rPr>
          <w:rStyle w:val="rynqvb"/>
          <w:rFonts w:ascii="Times New Roman" w:hAnsi="Times New Roman" w:cs="Times New Roman"/>
          <w:sz w:val="24"/>
          <w:szCs w:val="24"/>
          <w:lang w:val="id-ID"/>
        </w:rPr>
        <w:t>pendekatan multisektoral, advokasi masyarakat sipil yang kuat, dan kepemimpinan politik yang tajam.</w:t>
      </w:r>
      <w:r w:rsidR="000033AC" w:rsidRPr="007720BC">
        <w:rPr>
          <w:rStyle w:val="hwtze"/>
          <w:rFonts w:ascii="Times New Roman" w:hAnsi="Times New Roman" w:cs="Times New Roman"/>
          <w:sz w:val="24"/>
          <w:szCs w:val="24"/>
          <w:lang w:val="id-ID"/>
        </w:rPr>
        <w:t xml:space="preserve"> </w:t>
      </w:r>
      <w:r w:rsidR="004D0B02" w:rsidRPr="007720BC">
        <w:rPr>
          <w:rStyle w:val="hwtze"/>
          <w:rFonts w:ascii="Times New Roman" w:hAnsi="Times New Roman" w:cs="Times New Roman"/>
          <w:sz w:val="24"/>
          <w:szCs w:val="24"/>
          <w:lang w:val="en-US"/>
        </w:rPr>
        <w:t xml:space="preserve"> </w:t>
      </w:r>
      <w:r w:rsidR="00A12978" w:rsidRPr="007720BC">
        <w:rPr>
          <w:rFonts w:ascii="Times New Roman" w:eastAsia="Times New Roman" w:hAnsi="Times New Roman" w:cs="Times New Roman"/>
          <w:kern w:val="0"/>
          <w:sz w:val="24"/>
          <w:szCs w:val="24"/>
          <w:lang w:eastAsia="en-ID"/>
          <w14:ligatures w14:val="none"/>
        </w:rPr>
        <w:t xml:space="preserve">Di Bangladesh, </w:t>
      </w:r>
      <w:proofErr w:type="spellStart"/>
      <w:r w:rsidR="00A12978" w:rsidRPr="007720BC">
        <w:rPr>
          <w:rFonts w:ascii="Times New Roman" w:eastAsia="Times New Roman" w:hAnsi="Times New Roman" w:cs="Times New Roman"/>
          <w:kern w:val="0"/>
          <w:sz w:val="24"/>
          <w:szCs w:val="24"/>
          <w:lang w:eastAsia="en-ID"/>
          <w14:ligatures w14:val="none"/>
        </w:rPr>
        <w:t>hampir</w:t>
      </w:r>
      <w:proofErr w:type="spellEnd"/>
      <w:r w:rsidR="00A12978" w:rsidRPr="007720BC">
        <w:rPr>
          <w:rFonts w:ascii="Times New Roman" w:eastAsia="Times New Roman" w:hAnsi="Times New Roman" w:cs="Times New Roman"/>
          <w:kern w:val="0"/>
          <w:sz w:val="24"/>
          <w:szCs w:val="24"/>
          <w:lang w:eastAsia="en-ID"/>
          <w14:ligatures w14:val="none"/>
        </w:rPr>
        <w:t xml:space="preserve"> </w:t>
      </w:r>
      <w:proofErr w:type="spellStart"/>
      <w:r w:rsidR="00B90489" w:rsidRPr="007720BC">
        <w:rPr>
          <w:rFonts w:ascii="Times New Roman" w:eastAsia="Times New Roman" w:hAnsi="Times New Roman" w:cs="Times New Roman"/>
          <w:kern w:val="0"/>
          <w:sz w:val="24"/>
          <w:szCs w:val="24"/>
          <w:lang w:eastAsia="en-ID"/>
          <w14:ligatures w14:val="none"/>
        </w:rPr>
        <w:t>s</w:t>
      </w:r>
      <w:r w:rsidR="00A12978" w:rsidRPr="007720BC">
        <w:rPr>
          <w:rFonts w:ascii="Times New Roman" w:eastAsia="Times New Roman" w:hAnsi="Times New Roman" w:cs="Times New Roman"/>
          <w:kern w:val="0"/>
          <w:sz w:val="24"/>
          <w:szCs w:val="24"/>
          <w:lang w:eastAsia="en-ID"/>
          <w14:ligatures w14:val="none"/>
        </w:rPr>
        <w:t>ebagian</w:t>
      </w:r>
      <w:proofErr w:type="spellEnd"/>
      <w:r w:rsidR="00A12978" w:rsidRPr="007720BC">
        <w:rPr>
          <w:rFonts w:ascii="Times New Roman" w:eastAsia="Times New Roman" w:hAnsi="Times New Roman" w:cs="Times New Roman"/>
          <w:kern w:val="0"/>
          <w:sz w:val="24"/>
          <w:szCs w:val="24"/>
          <w:lang w:eastAsia="en-ID"/>
          <w14:ligatures w14:val="none"/>
        </w:rPr>
        <w:t xml:space="preserve"> </w:t>
      </w:r>
      <w:proofErr w:type="spellStart"/>
      <w:r w:rsidR="00A12978" w:rsidRPr="007720BC">
        <w:rPr>
          <w:rFonts w:ascii="Times New Roman" w:eastAsia="Times New Roman" w:hAnsi="Times New Roman" w:cs="Times New Roman"/>
          <w:kern w:val="0"/>
          <w:sz w:val="24"/>
          <w:szCs w:val="24"/>
          <w:lang w:eastAsia="en-ID"/>
          <w14:ligatures w14:val="none"/>
        </w:rPr>
        <w:t>besar</w:t>
      </w:r>
      <w:proofErr w:type="spellEnd"/>
      <w:r w:rsidR="00A12978" w:rsidRPr="007720BC">
        <w:rPr>
          <w:rFonts w:ascii="Times New Roman" w:eastAsia="Times New Roman" w:hAnsi="Times New Roman" w:cs="Times New Roman"/>
          <w:kern w:val="0"/>
          <w:sz w:val="24"/>
          <w:szCs w:val="24"/>
          <w:lang w:eastAsia="en-ID"/>
          <w14:ligatures w14:val="none"/>
        </w:rPr>
        <w:t xml:space="preserve"> </w:t>
      </w:r>
      <w:proofErr w:type="spellStart"/>
      <w:r w:rsidR="00A12978" w:rsidRPr="007720BC">
        <w:rPr>
          <w:rFonts w:ascii="Times New Roman" w:eastAsia="Times New Roman" w:hAnsi="Times New Roman" w:cs="Times New Roman"/>
          <w:kern w:val="0"/>
          <w:sz w:val="24"/>
          <w:szCs w:val="24"/>
          <w:lang w:eastAsia="en-ID"/>
          <w14:ligatures w14:val="none"/>
        </w:rPr>
        <w:t>sepertiga</w:t>
      </w:r>
      <w:proofErr w:type="spellEnd"/>
      <w:r w:rsidR="00A12978" w:rsidRPr="007720BC">
        <w:rPr>
          <w:rFonts w:ascii="Times New Roman" w:eastAsia="Times New Roman" w:hAnsi="Times New Roman" w:cs="Times New Roman"/>
          <w:kern w:val="0"/>
          <w:sz w:val="24"/>
          <w:szCs w:val="24"/>
          <w:lang w:eastAsia="en-ID"/>
          <w14:ligatures w14:val="none"/>
        </w:rPr>
        <w:t xml:space="preserve"> </w:t>
      </w:r>
      <w:proofErr w:type="spellStart"/>
      <w:r w:rsidR="00A12978" w:rsidRPr="007720BC">
        <w:rPr>
          <w:rFonts w:ascii="Times New Roman" w:eastAsia="Times New Roman" w:hAnsi="Times New Roman" w:cs="Times New Roman"/>
          <w:kern w:val="0"/>
          <w:sz w:val="24"/>
          <w:szCs w:val="24"/>
          <w:lang w:eastAsia="en-ID"/>
          <w14:ligatures w14:val="none"/>
        </w:rPr>
        <w:t>anak</w:t>
      </w:r>
      <w:proofErr w:type="spellEnd"/>
      <w:r w:rsidR="00A12978" w:rsidRPr="007720BC">
        <w:rPr>
          <w:rFonts w:ascii="Times New Roman" w:eastAsia="Times New Roman" w:hAnsi="Times New Roman" w:cs="Times New Roman"/>
          <w:kern w:val="0"/>
          <w:sz w:val="24"/>
          <w:szCs w:val="24"/>
          <w:lang w:eastAsia="en-ID"/>
          <w14:ligatures w14:val="none"/>
        </w:rPr>
        <w:t xml:space="preserve"> di </w:t>
      </w:r>
      <w:proofErr w:type="spellStart"/>
      <w:r w:rsidR="00A12978" w:rsidRPr="007720BC">
        <w:rPr>
          <w:rFonts w:ascii="Times New Roman" w:eastAsia="Times New Roman" w:hAnsi="Times New Roman" w:cs="Times New Roman"/>
          <w:kern w:val="0"/>
          <w:sz w:val="24"/>
          <w:szCs w:val="24"/>
          <w:lang w:eastAsia="en-ID"/>
          <w14:ligatures w14:val="none"/>
        </w:rPr>
        <w:t>bawah</w:t>
      </w:r>
      <w:proofErr w:type="spellEnd"/>
      <w:r w:rsidR="00A12978" w:rsidRPr="007720BC">
        <w:rPr>
          <w:rFonts w:ascii="Times New Roman" w:eastAsia="Times New Roman" w:hAnsi="Times New Roman" w:cs="Times New Roman"/>
          <w:kern w:val="0"/>
          <w:sz w:val="24"/>
          <w:szCs w:val="24"/>
          <w:lang w:eastAsia="en-ID"/>
          <w14:ligatures w14:val="none"/>
        </w:rPr>
        <w:t xml:space="preserve"> </w:t>
      </w:r>
      <w:proofErr w:type="spellStart"/>
      <w:r w:rsidR="00A12978" w:rsidRPr="007720BC">
        <w:rPr>
          <w:rFonts w:ascii="Times New Roman" w:eastAsia="Times New Roman" w:hAnsi="Times New Roman" w:cs="Times New Roman"/>
          <w:kern w:val="0"/>
          <w:sz w:val="24"/>
          <w:szCs w:val="24"/>
          <w:lang w:eastAsia="en-ID"/>
          <w14:ligatures w14:val="none"/>
        </w:rPr>
        <w:t>usia</w:t>
      </w:r>
      <w:proofErr w:type="spellEnd"/>
      <w:r w:rsidR="00A12978" w:rsidRPr="007720BC">
        <w:rPr>
          <w:rFonts w:ascii="Times New Roman" w:eastAsia="Times New Roman" w:hAnsi="Times New Roman" w:cs="Times New Roman"/>
          <w:kern w:val="0"/>
          <w:sz w:val="24"/>
          <w:szCs w:val="24"/>
          <w:lang w:eastAsia="en-ID"/>
          <w14:ligatures w14:val="none"/>
        </w:rPr>
        <w:t xml:space="preserve"> lima </w:t>
      </w:r>
      <w:proofErr w:type="spellStart"/>
      <w:r w:rsidR="00A12978" w:rsidRPr="007720BC">
        <w:rPr>
          <w:rFonts w:ascii="Times New Roman" w:eastAsia="Times New Roman" w:hAnsi="Times New Roman" w:cs="Times New Roman"/>
          <w:kern w:val="0"/>
          <w:sz w:val="24"/>
          <w:szCs w:val="24"/>
          <w:lang w:eastAsia="en-ID"/>
          <w14:ligatures w14:val="none"/>
        </w:rPr>
        <w:t>tahun</w:t>
      </w:r>
      <w:proofErr w:type="spellEnd"/>
      <w:r w:rsidR="00A12978" w:rsidRPr="007720BC">
        <w:rPr>
          <w:rFonts w:ascii="Times New Roman" w:eastAsia="Times New Roman" w:hAnsi="Times New Roman" w:cs="Times New Roman"/>
          <w:kern w:val="0"/>
          <w:sz w:val="24"/>
          <w:szCs w:val="24"/>
          <w:lang w:eastAsia="en-ID"/>
          <w14:ligatures w14:val="none"/>
        </w:rPr>
        <w:t xml:space="preserve"> </w:t>
      </w:r>
      <w:proofErr w:type="spellStart"/>
      <w:r w:rsidR="00A12978" w:rsidRPr="007720BC">
        <w:rPr>
          <w:rFonts w:ascii="Times New Roman" w:eastAsia="Times New Roman" w:hAnsi="Times New Roman" w:cs="Times New Roman"/>
          <w:kern w:val="0"/>
          <w:sz w:val="24"/>
          <w:szCs w:val="24"/>
          <w:lang w:eastAsia="en-ID"/>
          <w14:ligatures w14:val="none"/>
        </w:rPr>
        <w:t>mengalami</w:t>
      </w:r>
      <w:proofErr w:type="spellEnd"/>
      <w:r w:rsidR="00A12978" w:rsidRPr="007720BC">
        <w:rPr>
          <w:rFonts w:ascii="Times New Roman" w:eastAsia="Times New Roman" w:hAnsi="Times New Roman" w:cs="Times New Roman"/>
          <w:kern w:val="0"/>
          <w:sz w:val="24"/>
          <w:szCs w:val="24"/>
          <w:lang w:eastAsia="en-ID"/>
          <w14:ligatures w14:val="none"/>
        </w:rPr>
        <w:t xml:space="preserve"> stunting dan 9% </w:t>
      </w:r>
      <w:proofErr w:type="spellStart"/>
      <w:r w:rsidR="00A12978" w:rsidRPr="007720BC">
        <w:rPr>
          <w:rFonts w:ascii="Times New Roman" w:eastAsia="Times New Roman" w:hAnsi="Times New Roman" w:cs="Times New Roman"/>
          <w:kern w:val="0"/>
          <w:sz w:val="24"/>
          <w:szCs w:val="24"/>
          <w:lang w:eastAsia="en-ID"/>
          <w14:ligatures w14:val="none"/>
        </w:rPr>
        <w:t>mengalami</w:t>
      </w:r>
      <w:proofErr w:type="spellEnd"/>
      <w:r w:rsidR="00A12978" w:rsidRPr="007720BC">
        <w:rPr>
          <w:rFonts w:ascii="Times New Roman" w:eastAsia="Times New Roman" w:hAnsi="Times New Roman" w:cs="Times New Roman"/>
          <w:kern w:val="0"/>
          <w:sz w:val="24"/>
          <w:szCs w:val="24"/>
          <w:lang w:eastAsia="en-ID"/>
          <w14:ligatures w14:val="none"/>
        </w:rPr>
        <w:t xml:space="preserve"> stunting </w:t>
      </w:r>
      <w:proofErr w:type="spellStart"/>
      <w:r w:rsidR="00A12978" w:rsidRPr="007720BC">
        <w:rPr>
          <w:rFonts w:ascii="Times New Roman" w:eastAsia="Times New Roman" w:hAnsi="Times New Roman" w:cs="Times New Roman"/>
          <w:kern w:val="0"/>
          <w:sz w:val="24"/>
          <w:szCs w:val="24"/>
          <w:lang w:eastAsia="en-ID"/>
          <w14:ligatures w14:val="none"/>
        </w:rPr>
        <w:t>parah</w:t>
      </w:r>
      <w:proofErr w:type="spellEnd"/>
      <w:r w:rsidR="00A12978" w:rsidRPr="007720BC">
        <w:rPr>
          <w:rFonts w:ascii="Times New Roman" w:eastAsia="Times New Roman" w:hAnsi="Times New Roman" w:cs="Times New Roman"/>
          <w:kern w:val="0"/>
          <w:sz w:val="24"/>
          <w:szCs w:val="24"/>
          <w:lang w:eastAsia="en-ID"/>
          <w14:ligatures w14:val="none"/>
        </w:rPr>
        <w:t xml:space="preserve"> </w:t>
      </w:r>
      <w:r w:rsidR="00B90489" w:rsidRPr="007720BC">
        <w:rPr>
          <w:rFonts w:ascii="Times New Roman" w:eastAsia="Times New Roman" w:hAnsi="Times New Roman" w:cs="Times New Roman"/>
          <w:kern w:val="0"/>
          <w:sz w:val="24"/>
          <w:szCs w:val="24"/>
          <w:lang w:eastAsia="en-ID"/>
          <w14:ligatures w14:val="none"/>
        </w:rPr>
        <w:fldChar w:fldCharType="begin" w:fldLock="1"/>
      </w:r>
      <w:r w:rsidR="00D44772" w:rsidRPr="007720BC">
        <w:rPr>
          <w:rFonts w:ascii="Times New Roman" w:eastAsia="Times New Roman" w:hAnsi="Times New Roman" w:cs="Times New Roman"/>
          <w:kern w:val="0"/>
          <w:sz w:val="24"/>
          <w:szCs w:val="24"/>
          <w:lang w:eastAsia="en-ID"/>
          <w14:ligatures w14:val="none"/>
        </w:rPr>
        <w:instrText>ADDIN CSL_CITATION {"citationItems":[{"id":"ITEM-1","itemData":{"abstract":"The 2017-18 Bangladesh Demographic and Health Survey (BDHS) is the eighth survey of its kind. Started in 1993, the BDHS is the longest running series of health care surveys in Bangladesh. The 2017-18 BDHS was implemented through a collaborative effort of the National Institute of Population Research and Training (NIPORT) and ICF. Financial support for the survey was provided by the United States Agency for International Development (USAID)/Bangladesh. The 2017-18 BDHS generates evidence on basic national indicators of social progress including fertility, childhood mortality, fertility preferences and fertility regulation, maternal and child health, and the nutritional status of mothers and children. It highlights the major changes that have taken place in Bangladesh’s demographic and health situation since 1993-94. As a major source of data for program monitoring, the 2017-18 BDHS provides information for monitoring and evaluation of the performance of the 4th Health, Population and Nutrition Sector Program (4th HPNSP) and the attainment of the Sustainable Development Goals (SDGs) to improve health services for the Bangladeshi population. This report provides estimates for 14 indicators of the results framework of the 4th HPNSP. Several indicators have shown steady improvements in child nutritional status and coverage of antenatal care and skilled delivery services over the years.","author":[{"dropping-particle":"","family":"NIPORT","given":"","non-dropping-particle":"","parse-names":false,"suffix":""}],"container-title":"Dhaka, Bangladesh, and Rockville, Maryland, USA: NIPORT and ICF","id":"ITEM-1","issued":{"date-parts":[["2020"]]},"number-of-pages":"1-511","publisher":"National Institute of Population Research and Training (NIPORT); ICF International","title":"Bangladesh Demographic and Health Survey 2017-18","type":"book"},"uris":["http://www.mendeley.com/documents/?uuid=baee3a04-8218-4204-b509-b582e71bf881"]}],"mendeley":{"formattedCitation":"(NIPORT 2020)","plainTextFormattedCitation":"(NIPORT 2020)","previouslyFormattedCitation":"(NIPORT 2020)"},"properties":{"noteIndex":0},"schema":"https://github.com/citation-style-language/schema/raw/master/csl-citation.json"}</w:instrText>
      </w:r>
      <w:r w:rsidR="00B90489" w:rsidRPr="007720BC">
        <w:rPr>
          <w:rFonts w:ascii="Times New Roman" w:eastAsia="Times New Roman" w:hAnsi="Times New Roman" w:cs="Times New Roman"/>
          <w:kern w:val="0"/>
          <w:sz w:val="24"/>
          <w:szCs w:val="24"/>
          <w:lang w:eastAsia="en-ID"/>
          <w14:ligatures w14:val="none"/>
        </w:rPr>
        <w:fldChar w:fldCharType="separate"/>
      </w:r>
      <w:r w:rsidR="00384FC7" w:rsidRPr="007720BC">
        <w:rPr>
          <w:rFonts w:ascii="Times New Roman" w:eastAsia="Times New Roman" w:hAnsi="Times New Roman" w:cs="Times New Roman"/>
          <w:noProof/>
          <w:kern w:val="0"/>
          <w:sz w:val="24"/>
          <w:szCs w:val="24"/>
          <w:lang w:eastAsia="en-ID"/>
          <w14:ligatures w14:val="none"/>
        </w:rPr>
        <w:t>(NIPORT 2020)</w:t>
      </w:r>
      <w:r w:rsidR="00B90489" w:rsidRPr="007720BC">
        <w:rPr>
          <w:rFonts w:ascii="Times New Roman" w:eastAsia="Times New Roman" w:hAnsi="Times New Roman" w:cs="Times New Roman"/>
          <w:kern w:val="0"/>
          <w:sz w:val="24"/>
          <w:szCs w:val="24"/>
          <w:lang w:eastAsia="en-ID"/>
          <w14:ligatures w14:val="none"/>
        </w:rPr>
        <w:fldChar w:fldCharType="end"/>
      </w:r>
      <w:r w:rsidR="00B90489" w:rsidRPr="007720BC">
        <w:rPr>
          <w:rFonts w:ascii="Times New Roman" w:eastAsia="Times New Roman" w:hAnsi="Times New Roman" w:cs="Times New Roman"/>
          <w:kern w:val="0"/>
          <w:sz w:val="24"/>
          <w:szCs w:val="24"/>
          <w:lang w:eastAsia="en-ID"/>
          <w14:ligatures w14:val="none"/>
        </w:rPr>
        <w:t>.</w:t>
      </w:r>
      <w:r w:rsidR="00C1136B" w:rsidRPr="007720BC">
        <w:rPr>
          <w:rFonts w:ascii="Times New Roman" w:eastAsia="Times New Roman" w:hAnsi="Times New Roman" w:cs="Times New Roman"/>
          <w:kern w:val="0"/>
          <w:sz w:val="24"/>
          <w:szCs w:val="24"/>
          <w:lang w:eastAsia="en-ID"/>
          <w14:ligatures w14:val="none"/>
        </w:rPr>
        <w:t xml:space="preserve"> </w:t>
      </w:r>
      <w:r w:rsidR="00B90489" w:rsidRPr="007720BC">
        <w:rPr>
          <w:rFonts w:ascii="Times New Roman" w:eastAsia="Times New Roman" w:hAnsi="Times New Roman" w:cs="Times New Roman"/>
          <w:kern w:val="0"/>
          <w:sz w:val="24"/>
          <w:szCs w:val="24"/>
          <w:lang w:eastAsia="en-ID"/>
          <w14:ligatures w14:val="none"/>
        </w:rPr>
        <w:t xml:space="preserve">Akan </w:t>
      </w:r>
      <w:proofErr w:type="spellStart"/>
      <w:r w:rsidR="00B90489" w:rsidRPr="007720BC">
        <w:rPr>
          <w:rFonts w:ascii="Times New Roman" w:eastAsia="Times New Roman" w:hAnsi="Times New Roman" w:cs="Times New Roman"/>
          <w:kern w:val="0"/>
          <w:sz w:val="24"/>
          <w:szCs w:val="24"/>
          <w:lang w:eastAsia="en-ID"/>
          <w14:ligatures w14:val="none"/>
        </w:rPr>
        <w:t>tetapi</w:t>
      </w:r>
      <w:proofErr w:type="spellEnd"/>
      <w:r w:rsidR="00B90489" w:rsidRPr="007720BC">
        <w:rPr>
          <w:rFonts w:ascii="Times New Roman" w:eastAsia="Times New Roman" w:hAnsi="Times New Roman" w:cs="Times New Roman"/>
          <w:kern w:val="0"/>
          <w:sz w:val="24"/>
          <w:szCs w:val="24"/>
          <w:lang w:eastAsia="en-ID"/>
          <w14:ligatures w14:val="none"/>
        </w:rPr>
        <w:t xml:space="preserve"> Bangladesh </w:t>
      </w:r>
      <w:proofErr w:type="spellStart"/>
      <w:r w:rsidR="00B90489" w:rsidRPr="007720BC">
        <w:rPr>
          <w:rFonts w:ascii="Times New Roman" w:eastAsia="Times New Roman" w:hAnsi="Times New Roman" w:cs="Times New Roman"/>
          <w:kern w:val="0"/>
          <w:sz w:val="24"/>
          <w:szCs w:val="24"/>
          <w:lang w:eastAsia="en-ID"/>
          <w14:ligatures w14:val="none"/>
        </w:rPr>
        <w:t>sudah</w:t>
      </w:r>
      <w:proofErr w:type="spellEnd"/>
      <w:r w:rsidR="00B90489" w:rsidRPr="007720BC">
        <w:rPr>
          <w:rFonts w:ascii="Times New Roman" w:eastAsia="Times New Roman" w:hAnsi="Times New Roman" w:cs="Times New Roman"/>
          <w:kern w:val="0"/>
          <w:sz w:val="24"/>
          <w:szCs w:val="24"/>
          <w:lang w:eastAsia="en-ID"/>
          <w14:ligatures w14:val="none"/>
        </w:rPr>
        <w:t xml:space="preserve"> </w:t>
      </w:r>
      <w:proofErr w:type="spellStart"/>
      <w:r w:rsidR="00B90489" w:rsidRPr="007720BC">
        <w:rPr>
          <w:rFonts w:ascii="Times New Roman" w:eastAsia="Times New Roman" w:hAnsi="Times New Roman" w:cs="Times New Roman"/>
          <w:kern w:val="0"/>
          <w:sz w:val="24"/>
          <w:szCs w:val="24"/>
          <w:lang w:eastAsia="en-ID"/>
          <w14:ligatures w14:val="none"/>
        </w:rPr>
        <w:t>mengambil</w:t>
      </w:r>
      <w:proofErr w:type="spellEnd"/>
      <w:r w:rsidR="00B90489" w:rsidRPr="007720BC">
        <w:rPr>
          <w:rFonts w:ascii="Times New Roman" w:eastAsia="Times New Roman" w:hAnsi="Times New Roman" w:cs="Times New Roman"/>
          <w:kern w:val="0"/>
          <w:sz w:val="24"/>
          <w:szCs w:val="24"/>
          <w:lang w:eastAsia="en-ID"/>
          <w14:ligatures w14:val="none"/>
        </w:rPr>
        <w:t xml:space="preserve"> </w:t>
      </w:r>
      <w:proofErr w:type="spellStart"/>
      <w:r w:rsidR="00B90489" w:rsidRPr="007720BC">
        <w:rPr>
          <w:rFonts w:ascii="Times New Roman" w:eastAsia="Times New Roman" w:hAnsi="Times New Roman" w:cs="Times New Roman"/>
          <w:kern w:val="0"/>
          <w:sz w:val="24"/>
          <w:szCs w:val="24"/>
          <w:lang w:eastAsia="en-ID"/>
          <w14:ligatures w14:val="none"/>
        </w:rPr>
        <w:t>kebijakan</w:t>
      </w:r>
      <w:proofErr w:type="spellEnd"/>
      <w:r w:rsidR="00B90489" w:rsidRPr="007720BC">
        <w:rPr>
          <w:rFonts w:ascii="Times New Roman" w:eastAsia="Times New Roman" w:hAnsi="Times New Roman" w:cs="Times New Roman"/>
          <w:kern w:val="0"/>
          <w:sz w:val="24"/>
          <w:szCs w:val="24"/>
          <w:lang w:eastAsia="en-ID"/>
          <w14:ligatures w14:val="none"/>
        </w:rPr>
        <w:t xml:space="preserve"> yang </w:t>
      </w:r>
      <w:proofErr w:type="spellStart"/>
      <w:r w:rsidR="00B90489" w:rsidRPr="007720BC">
        <w:rPr>
          <w:rFonts w:ascii="Times New Roman" w:eastAsia="Times New Roman" w:hAnsi="Times New Roman" w:cs="Times New Roman"/>
          <w:kern w:val="0"/>
          <w:sz w:val="24"/>
          <w:szCs w:val="24"/>
          <w:lang w:eastAsia="en-ID"/>
          <w14:ligatures w14:val="none"/>
        </w:rPr>
        <w:t>tepat</w:t>
      </w:r>
      <w:proofErr w:type="spellEnd"/>
      <w:r w:rsidR="00B90489" w:rsidRPr="007720BC">
        <w:rPr>
          <w:rFonts w:ascii="Times New Roman" w:eastAsia="Times New Roman" w:hAnsi="Times New Roman" w:cs="Times New Roman"/>
          <w:kern w:val="0"/>
          <w:sz w:val="24"/>
          <w:szCs w:val="24"/>
          <w:lang w:eastAsia="en-ID"/>
          <w14:ligatures w14:val="none"/>
        </w:rPr>
        <w:t xml:space="preserve"> </w:t>
      </w:r>
      <w:proofErr w:type="spellStart"/>
      <w:r w:rsidR="00B90489" w:rsidRPr="007720BC">
        <w:rPr>
          <w:rFonts w:ascii="Times New Roman" w:eastAsia="Times New Roman" w:hAnsi="Times New Roman" w:cs="Times New Roman"/>
          <w:kern w:val="0"/>
          <w:sz w:val="24"/>
          <w:szCs w:val="24"/>
          <w:lang w:eastAsia="en-ID"/>
          <w14:ligatures w14:val="none"/>
        </w:rPr>
        <w:t>dalam</w:t>
      </w:r>
      <w:proofErr w:type="spellEnd"/>
      <w:r w:rsidR="00B90489" w:rsidRPr="007720BC">
        <w:rPr>
          <w:rFonts w:ascii="Times New Roman" w:eastAsia="Times New Roman" w:hAnsi="Times New Roman" w:cs="Times New Roman"/>
          <w:kern w:val="0"/>
          <w:sz w:val="24"/>
          <w:szCs w:val="24"/>
          <w:lang w:eastAsia="en-ID"/>
          <w14:ligatures w14:val="none"/>
        </w:rPr>
        <w:t xml:space="preserve"> </w:t>
      </w:r>
      <w:proofErr w:type="spellStart"/>
      <w:r w:rsidR="00B90489" w:rsidRPr="007720BC">
        <w:rPr>
          <w:rFonts w:ascii="Times New Roman" w:eastAsia="Times New Roman" w:hAnsi="Times New Roman" w:cs="Times New Roman"/>
          <w:kern w:val="0"/>
          <w:sz w:val="24"/>
          <w:szCs w:val="24"/>
          <w:lang w:eastAsia="en-ID"/>
          <w14:ligatures w14:val="none"/>
        </w:rPr>
        <w:t>penanganan</w:t>
      </w:r>
      <w:proofErr w:type="spellEnd"/>
      <w:r w:rsidR="00B90489" w:rsidRPr="007720BC">
        <w:rPr>
          <w:rFonts w:ascii="Times New Roman" w:eastAsia="Times New Roman" w:hAnsi="Times New Roman" w:cs="Times New Roman"/>
          <w:kern w:val="0"/>
          <w:sz w:val="24"/>
          <w:szCs w:val="24"/>
          <w:lang w:eastAsia="en-ID"/>
          <w14:ligatures w14:val="none"/>
        </w:rPr>
        <w:t xml:space="preserve"> stunting dan </w:t>
      </w:r>
      <w:proofErr w:type="spellStart"/>
      <w:r w:rsidR="00B90489" w:rsidRPr="007720BC">
        <w:rPr>
          <w:rFonts w:ascii="Times New Roman" w:eastAsia="Times New Roman" w:hAnsi="Times New Roman" w:cs="Times New Roman"/>
          <w:kern w:val="0"/>
          <w:sz w:val="24"/>
          <w:szCs w:val="24"/>
          <w:lang w:eastAsia="en-ID"/>
          <w14:ligatures w14:val="none"/>
        </w:rPr>
        <w:t>jika</w:t>
      </w:r>
      <w:proofErr w:type="spellEnd"/>
      <w:r w:rsidR="00B90489" w:rsidRPr="007720BC">
        <w:rPr>
          <w:rFonts w:ascii="Times New Roman" w:eastAsia="Times New Roman" w:hAnsi="Times New Roman" w:cs="Times New Roman"/>
          <w:kern w:val="0"/>
          <w:sz w:val="24"/>
          <w:szCs w:val="24"/>
          <w:lang w:eastAsia="en-ID"/>
          <w14:ligatures w14:val="none"/>
        </w:rPr>
        <w:t xml:space="preserve"> </w:t>
      </w:r>
      <w:proofErr w:type="spellStart"/>
      <w:r w:rsidR="00B90489" w:rsidRPr="007720BC">
        <w:rPr>
          <w:rFonts w:ascii="Times New Roman" w:eastAsia="Times New Roman" w:hAnsi="Times New Roman" w:cs="Times New Roman"/>
          <w:kern w:val="0"/>
          <w:sz w:val="24"/>
          <w:szCs w:val="24"/>
          <w:lang w:eastAsia="en-ID"/>
          <w14:ligatures w14:val="none"/>
        </w:rPr>
        <w:t>sesuai</w:t>
      </w:r>
      <w:proofErr w:type="spellEnd"/>
      <w:r w:rsidR="00B90489" w:rsidRPr="007720BC">
        <w:rPr>
          <w:rFonts w:ascii="Times New Roman" w:eastAsia="Times New Roman" w:hAnsi="Times New Roman" w:cs="Times New Roman"/>
          <w:kern w:val="0"/>
          <w:sz w:val="24"/>
          <w:szCs w:val="24"/>
          <w:lang w:eastAsia="en-ID"/>
          <w14:ligatures w14:val="none"/>
        </w:rPr>
        <w:t xml:space="preserve"> </w:t>
      </w:r>
      <w:proofErr w:type="spellStart"/>
      <w:r w:rsidR="00B90489" w:rsidRPr="007720BC">
        <w:rPr>
          <w:rFonts w:ascii="Times New Roman" w:eastAsia="Times New Roman" w:hAnsi="Times New Roman" w:cs="Times New Roman"/>
          <w:kern w:val="0"/>
          <w:sz w:val="24"/>
          <w:szCs w:val="24"/>
          <w:lang w:eastAsia="en-ID"/>
          <w14:ligatures w14:val="none"/>
        </w:rPr>
        <w:t>dengan</w:t>
      </w:r>
      <w:proofErr w:type="spellEnd"/>
      <w:r w:rsidR="00B90489" w:rsidRPr="007720BC">
        <w:rPr>
          <w:rFonts w:ascii="Times New Roman" w:eastAsia="Times New Roman" w:hAnsi="Times New Roman" w:cs="Times New Roman"/>
          <w:kern w:val="0"/>
          <w:sz w:val="24"/>
          <w:szCs w:val="24"/>
          <w:lang w:eastAsia="en-ID"/>
          <w14:ligatures w14:val="none"/>
        </w:rPr>
        <w:t xml:space="preserve"> </w:t>
      </w:r>
      <w:proofErr w:type="spellStart"/>
      <w:r w:rsidR="00C1136B" w:rsidRPr="007720BC">
        <w:rPr>
          <w:rFonts w:ascii="Times New Roman" w:eastAsia="Times New Roman" w:hAnsi="Times New Roman" w:cs="Times New Roman"/>
          <w:kern w:val="0"/>
          <w:sz w:val="24"/>
          <w:szCs w:val="24"/>
          <w:lang w:eastAsia="en-ID"/>
          <w14:ligatures w14:val="none"/>
        </w:rPr>
        <w:t>tingkat</w:t>
      </w:r>
      <w:proofErr w:type="spellEnd"/>
      <w:r w:rsidR="00C1136B" w:rsidRPr="007720BC">
        <w:rPr>
          <w:rFonts w:ascii="Times New Roman" w:eastAsia="Times New Roman" w:hAnsi="Times New Roman" w:cs="Times New Roman"/>
          <w:kern w:val="0"/>
          <w:sz w:val="24"/>
          <w:szCs w:val="24"/>
          <w:lang w:eastAsia="en-ID"/>
          <w14:ligatures w14:val="none"/>
        </w:rPr>
        <w:t xml:space="preserve"> </w:t>
      </w:r>
      <w:proofErr w:type="spellStart"/>
      <w:r w:rsidR="00C1136B" w:rsidRPr="007720BC">
        <w:rPr>
          <w:rFonts w:ascii="Times New Roman" w:eastAsia="Times New Roman" w:hAnsi="Times New Roman" w:cs="Times New Roman"/>
          <w:kern w:val="0"/>
          <w:sz w:val="24"/>
          <w:szCs w:val="24"/>
          <w:lang w:eastAsia="en-ID"/>
          <w14:ligatures w14:val="none"/>
        </w:rPr>
        <w:t>perkembangan</w:t>
      </w:r>
      <w:proofErr w:type="spellEnd"/>
      <w:r w:rsidR="00C1136B" w:rsidRPr="007720BC">
        <w:rPr>
          <w:rFonts w:ascii="Times New Roman" w:eastAsia="Times New Roman" w:hAnsi="Times New Roman" w:cs="Times New Roman"/>
          <w:kern w:val="0"/>
          <w:sz w:val="24"/>
          <w:szCs w:val="24"/>
          <w:lang w:eastAsia="en-ID"/>
          <w14:ligatures w14:val="none"/>
        </w:rPr>
        <w:t xml:space="preserve"> </w:t>
      </w:r>
      <w:proofErr w:type="spellStart"/>
      <w:r w:rsidR="00C1136B" w:rsidRPr="007720BC">
        <w:rPr>
          <w:rFonts w:ascii="Times New Roman" w:eastAsia="Times New Roman" w:hAnsi="Times New Roman" w:cs="Times New Roman"/>
          <w:kern w:val="0"/>
          <w:sz w:val="24"/>
          <w:szCs w:val="24"/>
          <w:lang w:eastAsia="en-ID"/>
          <w14:ligatures w14:val="none"/>
        </w:rPr>
        <w:t>maka</w:t>
      </w:r>
      <w:proofErr w:type="spellEnd"/>
      <w:r w:rsidR="00B90489" w:rsidRPr="007720BC">
        <w:rPr>
          <w:rFonts w:ascii="Times New Roman" w:eastAsia="Times New Roman" w:hAnsi="Times New Roman" w:cs="Times New Roman"/>
          <w:kern w:val="0"/>
          <w:sz w:val="24"/>
          <w:szCs w:val="24"/>
          <w:lang w:eastAsia="en-ID"/>
          <w14:ligatures w14:val="none"/>
        </w:rPr>
        <w:t xml:space="preserve"> </w:t>
      </w:r>
      <w:proofErr w:type="spellStart"/>
      <w:r w:rsidR="00A12978" w:rsidRPr="007720BC">
        <w:rPr>
          <w:rFonts w:ascii="Times New Roman" w:eastAsia="Times New Roman" w:hAnsi="Times New Roman" w:cs="Times New Roman"/>
          <w:kern w:val="0"/>
          <w:sz w:val="24"/>
          <w:szCs w:val="24"/>
          <w:lang w:eastAsia="en-ID"/>
          <w14:ligatures w14:val="none"/>
        </w:rPr>
        <w:t>prevalensi</w:t>
      </w:r>
      <w:proofErr w:type="spellEnd"/>
      <w:r w:rsidR="00A12978" w:rsidRPr="007720BC">
        <w:rPr>
          <w:rFonts w:ascii="Times New Roman" w:eastAsia="Times New Roman" w:hAnsi="Times New Roman" w:cs="Times New Roman"/>
          <w:kern w:val="0"/>
          <w:sz w:val="24"/>
          <w:szCs w:val="24"/>
          <w:lang w:eastAsia="en-ID"/>
          <w14:ligatures w14:val="none"/>
        </w:rPr>
        <w:t xml:space="preserve"> stunting </w:t>
      </w:r>
      <w:proofErr w:type="spellStart"/>
      <w:r w:rsidR="00A12978" w:rsidRPr="007720BC">
        <w:rPr>
          <w:rFonts w:ascii="Times New Roman" w:eastAsia="Times New Roman" w:hAnsi="Times New Roman" w:cs="Times New Roman"/>
          <w:kern w:val="0"/>
          <w:sz w:val="24"/>
          <w:szCs w:val="24"/>
          <w:lang w:eastAsia="en-ID"/>
          <w14:ligatures w14:val="none"/>
        </w:rPr>
        <w:t>akan</w:t>
      </w:r>
      <w:proofErr w:type="spellEnd"/>
      <w:r w:rsidR="00A12978" w:rsidRPr="007720BC">
        <w:rPr>
          <w:rFonts w:ascii="Times New Roman" w:eastAsia="Times New Roman" w:hAnsi="Times New Roman" w:cs="Times New Roman"/>
          <w:kern w:val="0"/>
          <w:sz w:val="24"/>
          <w:szCs w:val="24"/>
          <w:lang w:eastAsia="en-ID"/>
          <w14:ligatures w14:val="none"/>
        </w:rPr>
        <w:t xml:space="preserve"> </w:t>
      </w:r>
      <w:proofErr w:type="spellStart"/>
      <w:r w:rsidR="00A12978" w:rsidRPr="007720BC">
        <w:rPr>
          <w:rFonts w:ascii="Times New Roman" w:eastAsia="Times New Roman" w:hAnsi="Times New Roman" w:cs="Times New Roman"/>
          <w:kern w:val="0"/>
          <w:sz w:val="24"/>
          <w:szCs w:val="24"/>
          <w:lang w:eastAsia="en-ID"/>
          <w14:ligatures w14:val="none"/>
        </w:rPr>
        <w:t>men</w:t>
      </w:r>
      <w:r w:rsidR="00B90489" w:rsidRPr="007720BC">
        <w:rPr>
          <w:rFonts w:ascii="Times New Roman" w:eastAsia="Times New Roman" w:hAnsi="Times New Roman" w:cs="Times New Roman"/>
          <w:kern w:val="0"/>
          <w:sz w:val="24"/>
          <w:szCs w:val="24"/>
          <w:lang w:eastAsia="en-ID"/>
          <w14:ligatures w14:val="none"/>
        </w:rPr>
        <w:t>capai</w:t>
      </w:r>
      <w:proofErr w:type="spellEnd"/>
      <w:r w:rsidR="00A12978" w:rsidRPr="007720BC">
        <w:rPr>
          <w:rFonts w:ascii="Times New Roman" w:eastAsia="Times New Roman" w:hAnsi="Times New Roman" w:cs="Times New Roman"/>
          <w:kern w:val="0"/>
          <w:sz w:val="24"/>
          <w:szCs w:val="24"/>
          <w:lang w:eastAsia="en-ID"/>
          <w14:ligatures w14:val="none"/>
        </w:rPr>
        <w:t xml:space="preserve"> 21% pada </w:t>
      </w:r>
      <w:proofErr w:type="spellStart"/>
      <w:r w:rsidR="00C1136B" w:rsidRPr="007720BC">
        <w:rPr>
          <w:rFonts w:ascii="Times New Roman" w:eastAsia="Times New Roman" w:hAnsi="Times New Roman" w:cs="Times New Roman"/>
          <w:kern w:val="0"/>
          <w:sz w:val="24"/>
          <w:szCs w:val="24"/>
          <w:lang w:eastAsia="en-ID"/>
          <w14:ligatures w14:val="none"/>
        </w:rPr>
        <w:t>tahun</w:t>
      </w:r>
      <w:proofErr w:type="spellEnd"/>
      <w:r w:rsidR="00C1136B" w:rsidRPr="007720BC">
        <w:rPr>
          <w:rFonts w:ascii="Times New Roman" w:eastAsia="Times New Roman" w:hAnsi="Times New Roman" w:cs="Times New Roman"/>
          <w:kern w:val="0"/>
          <w:sz w:val="24"/>
          <w:szCs w:val="24"/>
          <w:lang w:eastAsia="en-ID"/>
          <w14:ligatures w14:val="none"/>
        </w:rPr>
        <w:t xml:space="preserve"> </w:t>
      </w:r>
      <w:r w:rsidR="00A12978" w:rsidRPr="007720BC">
        <w:rPr>
          <w:rFonts w:ascii="Times New Roman" w:eastAsia="Times New Roman" w:hAnsi="Times New Roman" w:cs="Times New Roman"/>
          <w:kern w:val="0"/>
          <w:sz w:val="24"/>
          <w:szCs w:val="24"/>
          <w:lang w:eastAsia="en-ID"/>
          <w14:ligatures w14:val="none"/>
        </w:rPr>
        <w:t>2025</w:t>
      </w:r>
      <w:r w:rsidR="00C1136B" w:rsidRPr="007720BC">
        <w:rPr>
          <w:rFonts w:ascii="Times New Roman" w:eastAsia="Times New Roman" w:hAnsi="Times New Roman" w:cs="Times New Roman"/>
          <w:kern w:val="0"/>
          <w:sz w:val="24"/>
          <w:szCs w:val="24"/>
          <w:lang w:eastAsia="en-ID"/>
          <w14:ligatures w14:val="none"/>
        </w:rPr>
        <w:t xml:space="preserve"> </w:t>
      </w:r>
      <w:proofErr w:type="spellStart"/>
      <w:r w:rsidR="00C1136B" w:rsidRPr="007720BC">
        <w:rPr>
          <w:rFonts w:ascii="Times New Roman" w:eastAsia="Times New Roman" w:hAnsi="Times New Roman" w:cs="Times New Roman"/>
          <w:kern w:val="0"/>
          <w:sz w:val="24"/>
          <w:szCs w:val="24"/>
          <w:lang w:eastAsia="en-ID"/>
          <w14:ligatures w14:val="none"/>
        </w:rPr>
        <w:t>melebihi</w:t>
      </w:r>
      <w:proofErr w:type="spellEnd"/>
      <w:r w:rsidR="00C1136B" w:rsidRPr="007720BC">
        <w:rPr>
          <w:rFonts w:ascii="Times New Roman" w:eastAsia="Times New Roman" w:hAnsi="Times New Roman" w:cs="Times New Roman"/>
          <w:kern w:val="0"/>
          <w:sz w:val="24"/>
          <w:szCs w:val="24"/>
          <w:lang w:eastAsia="en-ID"/>
          <w14:ligatures w14:val="none"/>
        </w:rPr>
        <w:t xml:space="preserve"> target</w:t>
      </w:r>
      <w:r w:rsidR="00A12978" w:rsidRPr="007720BC">
        <w:rPr>
          <w:rFonts w:ascii="Times New Roman" w:eastAsia="Times New Roman" w:hAnsi="Times New Roman" w:cs="Times New Roman"/>
          <w:kern w:val="0"/>
          <w:sz w:val="24"/>
          <w:szCs w:val="24"/>
          <w:lang w:eastAsia="en-ID"/>
          <w14:ligatures w14:val="none"/>
        </w:rPr>
        <w:t xml:space="preserve"> 27%</w:t>
      </w:r>
      <w:r w:rsidR="00FF7028" w:rsidRPr="007720BC">
        <w:rPr>
          <w:rFonts w:ascii="Times New Roman" w:eastAsia="Times New Roman" w:hAnsi="Times New Roman" w:cs="Times New Roman"/>
          <w:kern w:val="0"/>
          <w:sz w:val="24"/>
          <w:szCs w:val="24"/>
          <w:lang w:eastAsia="en-ID"/>
          <w14:ligatures w14:val="none"/>
        </w:rPr>
        <w:t xml:space="preserve"> </w:t>
      </w:r>
      <w:r w:rsidR="00FF7028" w:rsidRPr="007720BC">
        <w:rPr>
          <w:rFonts w:ascii="Times New Roman" w:eastAsia="Times New Roman" w:hAnsi="Times New Roman" w:cs="Times New Roman"/>
          <w:kern w:val="0"/>
          <w:sz w:val="24"/>
          <w:szCs w:val="24"/>
          <w:lang w:eastAsia="en-ID"/>
          <w14:ligatures w14:val="none"/>
        </w:rPr>
        <w:fldChar w:fldCharType="begin" w:fldLock="1"/>
      </w:r>
      <w:r w:rsidR="003D7756" w:rsidRPr="007720BC">
        <w:rPr>
          <w:rFonts w:ascii="Times New Roman" w:eastAsia="Times New Roman" w:hAnsi="Times New Roman" w:cs="Times New Roman"/>
          <w:kern w:val="0"/>
          <w:sz w:val="24"/>
          <w:szCs w:val="24"/>
          <w:lang w:eastAsia="en-ID"/>
          <w14:ligatures w14:val="none"/>
        </w:rPr>
        <w:instrText>ADDIN CSL_CITATION {"citationItems":[{"id":"ITEM-1","itemData":{"DOI":"10.1093/infdis/jiab473. PMID: 34668556; PMCID: PMC8687095.","abstract":"Background Bangladesh has experienced remarkable transformation in demographic, health, and nutritional status of the population. The changes have exposed the population to a number of challenges, the detrimental effect of which on health and nutrition is likely to be increased by the coronavirus disease 2019 (COVID-19) pandemic. We provide an overview of health and nutritional challenges in Bangladesh in relation to demographic transition and the COVID-19 pandemic. Methods We identified and reviewed recent reports, published articles, and pertinent gray literature on nutrition and food security in Bangladesh to provide historical and contextual information. Results The review identifies the progress as well as existing burden regarding nutrition and food security in Bangladesh and highlights the challenges in the coming days in regard to population growth and the COVID-19 pandemic. The country is on track to reduce all forms of childhood undernutrition, while the proportion of nutrition-related noncommunicable diseases is rising owing to changes in dietary intake, low physical activity, and sedentary lifestyle. Conclusions Despite remarkable progress, health and nutritional status of the population in Bangladesh faces challenges, particularly in relation to demographic transition and compounded by the COVID-19 pandemic, which require concerted attention from policymakers as well as stakeholders. Keywords: nutrition, food security, nutritional challenges, nutrition-related NCDs, demographic transition, COVID-19, Bangladesh Bangladesh has experienced substantial transformation in demographic, health, and nutritional status of the population since achieving independence in 1971 [1]. From a nation of 75 million people struggling to be emancipated from the clutches of subjugation, food insecurity, and profoundly high rates of malnutrition among children and women, the country is now a nation of 165 million people self-sufficient in the staple rice, fish, and vegetables [2]. Malnutrition rates among children and women have decreased significantly over the past 2 decades [3]. Micronutrient deficiencies are still present, albeit in substantially reduced proportions [4]. There are several contributing factors that have made this possible. Agricultural production has increased many fold, fresh water fish farming as well as catch from the ocean have expanded, and the poultry as well as cattle rearing industries have successfully blossomed, providing eggs and milk…","author":[{"dropping-particle":"","family":"Fahim","given":"Shah Mohammad","non-dropping-particle":"","parse-names":false,"suffix":""},{"dropping-particle":"","family":"Hossain","given":"Md Shabab","non-dropping-particle":"","parse-names":false,"suffix":""},{"dropping-particle":"","family":"Sen","given":"Shimul","non-dropping-particle":"","parse-names":false,"suffix":""},{"dropping-particle":"","family":"Das","given":"Subhasish","non-dropping-particle":"","parse-names":false,"suffix":""},{"dropping-particle":"","family":"Hosssain","given":"Muttaquina","non-dropping-particle":"","parse-names":false,"suffix":""},{"dropping-particle":"","family":"Ahmed","given":"Tahmeed","non-dropping-particle":"","parse-names":false,"suffix":""},{"dropping-particle":"","family":"Rahman","given":"SM Mustafizur","non-dropping-particle":"","parse-names":false,"suffix":""},{"dropping-particle":"","family":"Rahman","given":"Md Khalilur","non-dropping-particle":"","parse-names":false,"suffix":""},{"dropping-particle":"","family":"Alam","given":"Shamsul","non-dropping-particle":"","parse-names":false,"suffix":""}],"container-title":"J Infect Dis","id":"ITEM-1","issue":"224 (","issued":{"date-parts":[["2021"]]},"title":"Nutrition and Food Security in Bangladesh: Achievements, Challenges, and Impact of the COVID-19 Pandemic","type":"article-journal","volume":"20"},"uris":["http://www.mendeley.com/documents/?uuid=b2ba7d5f-4e0b-4d9f-81c1-48ada53477de"]}],"mendeley":{"formattedCitation":"(Fahim et al. 2021)","plainTextFormattedCitation":"(Fahim et al. 2021)","previouslyFormattedCitation":"(Fahim et al. 2021)"},"properties":{"noteIndex":0},"schema":"https://github.com/citation-style-language/schema/raw/master/csl-citation.json"}</w:instrText>
      </w:r>
      <w:r w:rsidR="00FF7028" w:rsidRPr="007720BC">
        <w:rPr>
          <w:rFonts w:ascii="Times New Roman" w:eastAsia="Times New Roman" w:hAnsi="Times New Roman" w:cs="Times New Roman"/>
          <w:kern w:val="0"/>
          <w:sz w:val="24"/>
          <w:szCs w:val="24"/>
          <w:lang w:eastAsia="en-ID"/>
          <w14:ligatures w14:val="none"/>
        </w:rPr>
        <w:fldChar w:fldCharType="separate"/>
      </w:r>
      <w:r w:rsidR="00FF7028" w:rsidRPr="007720BC">
        <w:rPr>
          <w:rFonts w:ascii="Times New Roman" w:eastAsia="Times New Roman" w:hAnsi="Times New Roman" w:cs="Times New Roman"/>
          <w:noProof/>
          <w:kern w:val="0"/>
          <w:sz w:val="24"/>
          <w:szCs w:val="24"/>
          <w:lang w:eastAsia="en-ID"/>
          <w14:ligatures w14:val="none"/>
        </w:rPr>
        <w:t>(Fahim et al. 2021)</w:t>
      </w:r>
      <w:r w:rsidR="00FF7028" w:rsidRPr="007720BC">
        <w:rPr>
          <w:rFonts w:ascii="Times New Roman" w:eastAsia="Times New Roman" w:hAnsi="Times New Roman" w:cs="Times New Roman"/>
          <w:kern w:val="0"/>
          <w:sz w:val="24"/>
          <w:szCs w:val="24"/>
          <w:lang w:eastAsia="en-ID"/>
          <w14:ligatures w14:val="none"/>
        </w:rPr>
        <w:fldChar w:fldCharType="end"/>
      </w:r>
      <w:r w:rsidR="00FF7028" w:rsidRPr="007720BC">
        <w:rPr>
          <w:rFonts w:ascii="Times New Roman" w:eastAsia="Times New Roman" w:hAnsi="Times New Roman" w:cs="Times New Roman"/>
          <w:kern w:val="0"/>
          <w:sz w:val="24"/>
          <w:szCs w:val="24"/>
          <w:lang w:eastAsia="en-ID"/>
          <w14:ligatures w14:val="none"/>
        </w:rPr>
        <w:t xml:space="preserve">. </w:t>
      </w:r>
    </w:p>
    <w:p w14:paraId="56F775E0" w14:textId="483D6E2D" w:rsidR="00CE2D3D" w:rsidRPr="007720BC" w:rsidRDefault="00CE2D3D" w:rsidP="00CB2900">
      <w:pPr>
        <w:spacing w:after="0" w:line="240" w:lineRule="auto"/>
        <w:ind w:firstLine="720"/>
        <w:contextualSpacing/>
        <w:jc w:val="both"/>
        <w:rPr>
          <w:rFonts w:ascii="Times New Roman" w:hAnsi="Times New Roman" w:cs="Times New Roman"/>
          <w:sz w:val="24"/>
          <w:szCs w:val="24"/>
        </w:rPr>
      </w:pPr>
      <w:r w:rsidRPr="007720BC">
        <w:rPr>
          <w:rFonts w:ascii="Times New Roman" w:eastAsia="Times New Roman" w:hAnsi="Times New Roman" w:cs="Times New Roman"/>
          <w:kern w:val="0"/>
          <w:sz w:val="24"/>
          <w:szCs w:val="24"/>
          <w:lang w:eastAsia="en-ID"/>
          <w14:ligatures w14:val="none"/>
        </w:rPr>
        <w:t>D</w:t>
      </w:r>
      <w:r w:rsidR="00CA6C66" w:rsidRPr="007720BC">
        <w:rPr>
          <w:rFonts w:ascii="Times New Roman" w:eastAsia="Times New Roman" w:hAnsi="Times New Roman" w:cs="Times New Roman"/>
          <w:kern w:val="0"/>
          <w:sz w:val="24"/>
          <w:szCs w:val="24"/>
          <w:lang w:eastAsia="en-ID"/>
          <w14:ligatures w14:val="none"/>
        </w:rPr>
        <w:t xml:space="preserve">alam </w:t>
      </w:r>
      <w:proofErr w:type="spellStart"/>
      <w:r w:rsidR="00CA6C66" w:rsidRPr="007720BC">
        <w:rPr>
          <w:rFonts w:ascii="Times New Roman" w:eastAsia="Times New Roman" w:hAnsi="Times New Roman" w:cs="Times New Roman"/>
          <w:kern w:val="0"/>
          <w:sz w:val="24"/>
          <w:szCs w:val="24"/>
          <w:lang w:eastAsia="en-ID"/>
          <w14:ligatures w14:val="none"/>
        </w:rPr>
        <w:t>konteks</w:t>
      </w:r>
      <w:proofErr w:type="spellEnd"/>
      <w:r w:rsidR="00CA6C66" w:rsidRPr="007720BC">
        <w:rPr>
          <w:rFonts w:ascii="Times New Roman" w:eastAsia="Times New Roman" w:hAnsi="Times New Roman" w:cs="Times New Roman"/>
          <w:kern w:val="0"/>
          <w:sz w:val="24"/>
          <w:szCs w:val="24"/>
          <w:lang w:eastAsia="en-ID"/>
          <w14:ligatures w14:val="none"/>
        </w:rPr>
        <w:t xml:space="preserve"> local </w:t>
      </w:r>
      <w:proofErr w:type="spellStart"/>
      <w:r w:rsidRPr="007720BC">
        <w:rPr>
          <w:rFonts w:ascii="Times New Roman" w:eastAsia="Times New Roman" w:hAnsi="Times New Roman" w:cs="Times New Roman"/>
          <w:kern w:val="0"/>
          <w:sz w:val="24"/>
          <w:szCs w:val="24"/>
          <w:lang w:eastAsia="en-ID"/>
          <w14:ligatures w14:val="none"/>
        </w:rPr>
        <w:t>atau</w:t>
      </w:r>
      <w:proofErr w:type="spellEnd"/>
      <w:r w:rsidRPr="007720BC">
        <w:rPr>
          <w:rFonts w:ascii="Times New Roman" w:eastAsia="Times New Roman" w:hAnsi="Times New Roman" w:cs="Times New Roman"/>
          <w:kern w:val="0"/>
          <w:sz w:val="24"/>
          <w:szCs w:val="24"/>
          <w:lang w:eastAsia="en-ID"/>
          <w14:ligatures w14:val="none"/>
        </w:rPr>
        <w:t xml:space="preserve"> Indonesia, </w:t>
      </w:r>
      <w:proofErr w:type="spellStart"/>
      <w:r w:rsidRPr="007720BC">
        <w:rPr>
          <w:rFonts w:ascii="Times New Roman" w:eastAsia="Times New Roman" w:hAnsi="Times New Roman" w:cs="Times New Roman"/>
          <w:kern w:val="0"/>
          <w:sz w:val="24"/>
          <w:szCs w:val="24"/>
          <w:lang w:eastAsia="en-ID"/>
          <w14:ligatures w14:val="none"/>
        </w:rPr>
        <w:t>penelitian</w:t>
      </w:r>
      <w:proofErr w:type="spellEnd"/>
      <w:r w:rsidRPr="007720BC">
        <w:rPr>
          <w:rFonts w:ascii="Times New Roman" w:eastAsia="Times New Roman" w:hAnsi="Times New Roman" w:cs="Times New Roman"/>
          <w:kern w:val="0"/>
          <w:sz w:val="24"/>
          <w:szCs w:val="24"/>
          <w:lang w:eastAsia="en-ID"/>
          <w14:ligatures w14:val="none"/>
        </w:rPr>
        <w:t xml:space="preserve"> </w:t>
      </w:r>
      <w:proofErr w:type="spellStart"/>
      <w:r w:rsidR="00895433" w:rsidRPr="007720BC">
        <w:rPr>
          <w:rFonts w:ascii="Times New Roman" w:eastAsia="Times New Roman" w:hAnsi="Times New Roman" w:cs="Times New Roman"/>
          <w:kern w:val="0"/>
          <w:sz w:val="24"/>
          <w:szCs w:val="24"/>
          <w:lang w:eastAsia="en-ID"/>
          <w14:ligatures w14:val="none"/>
        </w:rPr>
        <w:t>terkait</w:t>
      </w:r>
      <w:proofErr w:type="spellEnd"/>
      <w:r w:rsidR="00895433" w:rsidRPr="007720BC">
        <w:rPr>
          <w:rFonts w:ascii="Times New Roman" w:eastAsia="Times New Roman" w:hAnsi="Times New Roman" w:cs="Times New Roman"/>
          <w:kern w:val="0"/>
          <w:sz w:val="24"/>
          <w:szCs w:val="24"/>
          <w:lang w:eastAsia="en-ID"/>
          <w14:ligatures w14:val="none"/>
        </w:rPr>
        <w:t xml:space="preserve"> </w:t>
      </w:r>
      <w:proofErr w:type="spellStart"/>
      <w:r w:rsidR="00895433" w:rsidRPr="007720BC">
        <w:rPr>
          <w:rFonts w:ascii="Times New Roman" w:eastAsia="Times New Roman" w:hAnsi="Times New Roman" w:cs="Times New Roman"/>
          <w:kern w:val="0"/>
          <w:sz w:val="24"/>
          <w:szCs w:val="24"/>
          <w:lang w:eastAsia="en-ID"/>
          <w14:ligatures w14:val="none"/>
        </w:rPr>
        <w:t>penanganan</w:t>
      </w:r>
      <w:proofErr w:type="spellEnd"/>
      <w:r w:rsidR="00895433" w:rsidRPr="007720BC">
        <w:rPr>
          <w:rFonts w:ascii="Times New Roman" w:eastAsia="Times New Roman" w:hAnsi="Times New Roman" w:cs="Times New Roman"/>
          <w:kern w:val="0"/>
          <w:sz w:val="24"/>
          <w:szCs w:val="24"/>
          <w:lang w:eastAsia="en-ID"/>
          <w14:ligatures w14:val="none"/>
        </w:rPr>
        <w:t xml:space="preserve"> stunting </w:t>
      </w:r>
      <w:proofErr w:type="spellStart"/>
      <w:r w:rsidRPr="007720BC">
        <w:rPr>
          <w:rFonts w:ascii="Times New Roman" w:eastAsia="Times New Roman" w:hAnsi="Times New Roman" w:cs="Times New Roman"/>
          <w:kern w:val="0"/>
          <w:sz w:val="24"/>
          <w:szCs w:val="24"/>
          <w:lang w:eastAsia="en-ID"/>
          <w14:ligatures w14:val="none"/>
        </w:rPr>
        <w:t>diantaranya</w:t>
      </w:r>
      <w:proofErr w:type="spellEnd"/>
      <w:r w:rsidRPr="007720BC">
        <w:rPr>
          <w:rFonts w:ascii="Times New Roman" w:eastAsia="Times New Roman" w:hAnsi="Times New Roman" w:cs="Times New Roman"/>
          <w:kern w:val="0"/>
          <w:sz w:val="24"/>
          <w:szCs w:val="24"/>
          <w:lang w:eastAsia="en-ID"/>
          <w14:ligatures w14:val="none"/>
        </w:rPr>
        <w:t xml:space="preserve"> </w:t>
      </w:r>
      <w:proofErr w:type="spellStart"/>
      <w:r w:rsidR="003D7756" w:rsidRPr="007720BC">
        <w:rPr>
          <w:rFonts w:ascii="Times New Roman" w:eastAsia="Times New Roman" w:hAnsi="Times New Roman" w:cs="Times New Roman"/>
          <w:kern w:val="0"/>
          <w:sz w:val="24"/>
          <w:szCs w:val="24"/>
          <w:lang w:eastAsia="en-ID"/>
          <w14:ligatures w14:val="none"/>
        </w:rPr>
        <w:t>menunjukkan</w:t>
      </w:r>
      <w:proofErr w:type="spellEnd"/>
      <w:r w:rsidR="003D7756" w:rsidRPr="007720BC">
        <w:rPr>
          <w:rFonts w:ascii="Times New Roman" w:eastAsia="Times New Roman" w:hAnsi="Times New Roman" w:cs="Times New Roman"/>
          <w:kern w:val="0"/>
          <w:sz w:val="24"/>
          <w:szCs w:val="24"/>
          <w:lang w:eastAsia="en-ID"/>
          <w14:ligatures w14:val="none"/>
        </w:rPr>
        <w:t xml:space="preserve"> </w:t>
      </w:r>
      <w:proofErr w:type="spellStart"/>
      <w:r w:rsidR="003D7756" w:rsidRPr="007720BC">
        <w:rPr>
          <w:rFonts w:ascii="Times New Roman" w:hAnsi="Times New Roman" w:cs="Times New Roman"/>
          <w:sz w:val="24"/>
          <w:szCs w:val="24"/>
        </w:rPr>
        <w:t>bahwa</w:t>
      </w:r>
      <w:proofErr w:type="spellEnd"/>
      <w:r w:rsidR="003D7756" w:rsidRPr="007720BC">
        <w:rPr>
          <w:rFonts w:ascii="Times New Roman" w:hAnsi="Times New Roman" w:cs="Times New Roman"/>
          <w:sz w:val="24"/>
          <w:szCs w:val="24"/>
        </w:rPr>
        <w:t xml:space="preserve"> </w:t>
      </w:r>
      <w:proofErr w:type="spellStart"/>
      <w:r w:rsidR="003D7756" w:rsidRPr="007720BC">
        <w:rPr>
          <w:rFonts w:ascii="Times New Roman" w:hAnsi="Times New Roman" w:cs="Times New Roman"/>
          <w:sz w:val="24"/>
          <w:szCs w:val="24"/>
        </w:rPr>
        <w:t>intervensi</w:t>
      </w:r>
      <w:proofErr w:type="spellEnd"/>
      <w:r w:rsidR="003D7756" w:rsidRPr="007720BC">
        <w:rPr>
          <w:rFonts w:ascii="Times New Roman" w:hAnsi="Times New Roman" w:cs="Times New Roman"/>
          <w:sz w:val="24"/>
          <w:szCs w:val="24"/>
        </w:rPr>
        <w:t xml:space="preserve"> </w:t>
      </w:r>
      <w:proofErr w:type="spellStart"/>
      <w:r w:rsidR="003D7756" w:rsidRPr="007720BC">
        <w:rPr>
          <w:rFonts w:ascii="Times New Roman" w:hAnsi="Times New Roman" w:cs="Times New Roman"/>
          <w:sz w:val="24"/>
          <w:szCs w:val="24"/>
        </w:rPr>
        <w:t>berbasis</w:t>
      </w:r>
      <w:proofErr w:type="spellEnd"/>
      <w:r w:rsidR="003D7756" w:rsidRPr="007720BC">
        <w:rPr>
          <w:rFonts w:ascii="Times New Roman" w:hAnsi="Times New Roman" w:cs="Times New Roman"/>
          <w:sz w:val="24"/>
          <w:szCs w:val="24"/>
        </w:rPr>
        <w:t xml:space="preserve"> </w:t>
      </w:r>
      <w:proofErr w:type="spellStart"/>
      <w:r w:rsidR="003D7756" w:rsidRPr="007720BC">
        <w:rPr>
          <w:rFonts w:ascii="Times New Roman" w:hAnsi="Times New Roman" w:cs="Times New Roman"/>
          <w:sz w:val="24"/>
          <w:szCs w:val="24"/>
        </w:rPr>
        <w:t>keluarga</w:t>
      </w:r>
      <w:proofErr w:type="spellEnd"/>
      <w:r w:rsidR="003D7756" w:rsidRPr="007720BC">
        <w:rPr>
          <w:rFonts w:ascii="Times New Roman" w:hAnsi="Times New Roman" w:cs="Times New Roman"/>
          <w:sz w:val="24"/>
          <w:szCs w:val="24"/>
        </w:rPr>
        <w:t xml:space="preserve"> </w:t>
      </w:r>
      <w:proofErr w:type="spellStart"/>
      <w:r w:rsidR="003D7756" w:rsidRPr="007720BC">
        <w:rPr>
          <w:rFonts w:ascii="Times New Roman" w:hAnsi="Times New Roman" w:cs="Times New Roman"/>
          <w:sz w:val="24"/>
          <w:szCs w:val="24"/>
        </w:rPr>
        <w:t>melalui</w:t>
      </w:r>
      <w:proofErr w:type="spellEnd"/>
      <w:r w:rsidR="003D7756" w:rsidRPr="007720BC">
        <w:rPr>
          <w:rFonts w:ascii="Times New Roman" w:hAnsi="Times New Roman" w:cs="Times New Roman"/>
          <w:sz w:val="24"/>
          <w:szCs w:val="24"/>
        </w:rPr>
        <w:t xml:space="preserve"> </w:t>
      </w:r>
      <w:proofErr w:type="spellStart"/>
      <w:r w:rsidR="003D7756" w:rsidRPr="007720BC">
        <w:rPr>
          <w:rFonts w:ascii="Times New Roman" w:hAnsi="Times New Roman" w:cs="Times New Roman"/>
          <w:sz w:val="24"/>
          <w:szCs w:val="24"/>
        </w:rPr>
        <w:t>pemberdayaan</w:t>
      </w:r>
      <w:proofErr w:type="spellEnd"/>
      <w:r w:rsidR="003D7756" w:rsidRPr="007720BC">
        <w:rPr>
          <w:rFonts w:ascii="Times New Roman" w:hAnsi="Times New Roman" w:cs="Times New Roman"/>
          <w:sz w:val="24"/>
          <w:szCs w:val="24"/>
        </w:rPr>
        <w:t xml:space="preserve"> </w:t>
      </w:r>
      <w:proofErr w:type="spellStart"/>
      <w:r w:rsidR="003D7756" w:rsidRPr="007720BC">
        <w:rPr>
          <w:rFonts w:ascii="Times New Roman" w:hAnsi="Times New Roman" w:cs="Times New Roman"/>
          <w:sz w:val="24"/>
          <w:szCs w:val="24"/>
        </w:rPr>
        <w:t>keluarga</w:t>
      </w:r>
      <w:proofErr w:type="spellEnd"/>
      <w:r w:rsidR="003D7756" w:rsidRPr="007720BC">
        <w:rPr>
          <w:rFonts w:ascii="Times New Roman" w:hAnsi="Times New Roman" w:cs="Times New Roman"/>
          <w:sz w:val="24"/>
          <w:szCs w:val="24"/>
        </w:rPr>
        <w:t xml:space="preserve"> </w:t>
      </w:r>
      <w:proofErr w:type="spellStart"/>
      <w:r w:rsidR="003D7756" w:rsidRPr="007720BC">
        <w:rPr>
          <w:rFonts w:ascii="Times New Roman" w:hAnsi="Times New Roman" w:cs="Times New Roman"/>
          <w:sz w:val="24"/>
          <w:szCs w:val="24"/>
        </w:rPr>
        <w:t>dapat</w:t>
      </w:r>
      <w:proofErr w:type="spellEnd"/>
      <w:r w:rsidR="003D7756" w:rsidRPr="007720BC">
        <w:rPr>
          <w:rFonts w:ascii="Times New Roman" w:hAnsi="Times New Roman" w:cs="Times New Roman"/>
          <w:sz w:val="24"/>
          <w:szCs w:val="24"/>
        </w:rPr>
        <w:t xml:space="preserve"> </w:t>
      </w:r>
      <w:proofErr w:type="spellStart"/>
      <w:r w:rsidR="003D7756" w:rsidRPr="007720BC">
        <w:rPr>
          <w:rFonts w:ascii="Times New Roman" w:hAnsi="Times New Roman" w:cs="Times New Roman"/>
          <w:sz w:val="24"/>
          <w:szCs w:val="24"/>
        </w:rPr>
        <w:t>meningkatkan</w:t>
      </w:r>
      <w:proofErr w:type="spellEnd"/>
      <w:r w:rsidR="003D7756" w:rsidRPr="007720BC">
        <w:rPr>
          <w:rFonts w:ascii="Times New Roman" w:hAnsi="Times New Roman" w:cs="Times New Roman"/>
          <w:sz w:val="24"/>
          <w:szCs w:val="24"/>
        </w:rPr>
        <w:t xml:space="preserve"> status </w:t>
      </w:r>
      <w:proofErr w:type="spellStart"/>
      <w:r w:rsidR="003D7756" w:rsidRPr="007720BC">
        <w:rPr>
          <w:rFonts w:ascii="Times New Roman" w:hAnsi="Times New Roman" w:cs="Times New Roman"/>
          <w:sz w:val="24"/>
          <w:szCs w:val="24"/>
        </w:rPr>
        <w:t>gizi</w:t>
      </w:r>
      <w:proofErr w:type="spellEnd"/>
      <w:r w:rsidR="003D7756" w:rsidRPr="007720BC">
        <w:rPr>
          <w:rFonts w:ascii="Times New Roman" w:hAnsi="Times New Roman" w:cs="Times New Roman"/>
          <w:sz w:val="24"/>
          <w:szCs w:val="24"/>
        </w:rPr>
        <w:t xml:space="preserve"> </w:t>
      </w:r>
      <w:proofErr w:type="spellStart"/>
      <w:r w:rsidR="003D7756" w:rsidRPr="007720BC">
        <w:rPr>
          <w:rFonts w:ascii="Times New Roman" w:hAnsi="Times New Roman" w:cs="Times New Roman"/>
          <w:sz w:val="24"/>
          <w:szCs w:val="24"/>
        </w:rPr>
        <w:t>anak</w:t>
      </w:r>
      <w:proofErr w:type="spellEnd"/>
      <w:r w:rsidR="003D7756" w:rsidRPr="007720BC">
        <w:rPr>
          <w:rFonts w:ascii="Times New Roman" w:hAnsi="Times New Roman" w:cs="Times New Roman"/>
          <w:sz w:val="24"/>
          <w:szCs w:val="24"/>
        </w:rPr>
        <w:t xml:space="preserve"> stunting </w:t>
      </w:r>
      <w:r w:rsidR="003D7756" w:rsidRPr="007720BC">
        <w:rPr>
          <w:rFonts w:ascii="Times New Roman" w:hAnsi="Times New Roman" w:cs="Times New Roman"/>
          <w:sz w:val="24"/>
          <w:szCs w:val="24"/>
        </w:rPr>
        <w:fldChar w:fldCharType="begin" w:fldLock="1"/>
      </w:r>
      <w:r w:rsidR="00B61E88">
        <w:rPr>
          <w:rFonts w:ascii="Times New Roman" w:hAnsi="Times New Roman" w:cs="Times New Roman"/>
          <w:sz w:val="24"/>
          <w:szCs w:val="24"/>
        </w:rPr>
        <w:instrText>ADDIN CSL_CITATION {"citationItems":[{"id":"ITEM-1","itemData":{"abstract":"Penelitian ini bertujuan untuk mengetahui efektivitas intervensi berbasis keluarga pada anak dengan stunting. Metode yang digunakan adalah tinjauan sistematis tentang intervensi berbasis keluarga untuk anak-anak dengan stunting. Hasil penelitian menunjukkan bahwa intervensi berbasis keluarga berupa penyuluhan kesehatan melalui keluarga dan pemberdayaan keluarga dalam pemberian nutrisi berpengaruh terhadap status gizi anak stunting. Intervensi berbasis keluarga melalui pemberdayaan keluarga dapat meningkatkan status gizi anak stunting. Simpulan, intervensi berbasis keluarga efektif dalam meningkatkan status gizi anak stunting","author":[{"dropping-particle":"","family":"Habibie","given":"Aziz Nashiruddin","non-dropping-particle":"","parse-names":false,"suffix":""},{"dropping-particle":"","family":"Efendi","given":"Ferry","non-dropping-particle":"","parse-names":false,"suffix":""},{"dropping-particle":"","family":"Has","given":"Eka Misbahatul M","non-dropping-particle":"","parse-names":false,"suffix":""}],"container-title":"Journal of Telenursing (JOTING)","id":"ITEM-1","issue":"1","issued":{"date-parts":[["2023"]]},"title":"Intervensi Berbasis Keluarga pada Anak dengan Stunting","type":"article-journal","volume":"5"},"uris":["http://www.mendeley.com/documents/?uuid=42c7c26e-8b42-4b3d-9731-b84e89c35d81"]}],"mendeley":{"formattedCitation":"(Habibie, Efendi, dan Has 2023)","plainTextFormattedCitation":"(Habibie, Efendi, dan Has 2023)"},"properties":{"noteIndex":0},"schema":"https://github.com/citation-style-language/schema/raw/master/csl-citation.json"}</w:instrText>
      </w:r>
      <w:r w:rsidR="003D7756" w:rsidRPr="007720BC">
        <w:rPr>
          <w:rFonts w:ascii="Times New Roman" w:hAnsi="Times New Roman" w:cs="Times New Roman"/>
          <w:sz w:val="24"/>
          <w:szCs w:val="24"/>
        </w:rPr>
        <w:fldChar w:fldCharType="separate"/>
      </w:r>
      <w:r w:rsidR="003D7756" w:rsidRPr="00B61E88">
        <w:rPr>
          <w:rFonts w:ascii="Times New Roman" w:hAnsi="Times New Roman" w:cs="Times New Roman"/>
          <w:noProof/>
          <w:sz w:val="24"/>
          <w:szCs w:val="24"/>
        </w:rPr>
        <w:t>(Habibie, Efendi, dan Has 2023)</w:t>
      </w:r>
      <w:r w:rsidR="003D7756" w:rsidRPr="007720BC">
        <w:rPr>
          <w:rFonts w:ascii="Times New Roman" w:hAnsi="Times New Roman" w:cs="Times New Roman"/>
          <w:sz w:val="24"/>
          <w:szCs w:val="24"/>
        </w:rPr>
        <w:fldChar w:fldCharType="end"/>
      </w:r>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sedangkan</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h</w:t>
      </w:r>
      <w:r w:rsidR="00D51442" w:rsidRPr="007720BC">
        <w:rPr>
          <w:rFonts w:ascii="Times New Roman" w:hAnsi="Times New Roman" w:cs="Times New Roman"/>
          <w:sz w:val="24"/>
          <w:szCs w:val="24"/>
        </w:rPr>
        <w:t>asil</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penelitian</w:t>
      </w:r>
      <w:proofErr w:type="spellEnd"/>
      <w:r w:rsidR="00D51442"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berbeda</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dikemukakan</w:t>
      </w:r>
      <w:proofErr w:type="spellEnd"/>
      <w:r w:rsidR="00D349D8" w:rsidRPr="007720BC">
        <w:rPr>
          <w:rFonts w:ascii="Times New Roman" w:hAnsi="Times New Roman" w:cs="Times New Roman"/>
          <w:sz w:val="24"/>
          <w:szCs w:val="24"/>
        </w:rPr>
        <w:t xml:space="preserve"> oleh </w:t>
      </w:r>
      <w:r w:rsidR="00D51442" w:rsidRPr="007720BC">
        <w:rPr>
          <w:rFonts w:ascii="Times New Roman" w:hAnsi="Times New Roman" w:cs="Times New Roman"/>
          <w:sz w:val="24"/>
          <w:szCs w:val="24"/>
        </w:rPr>
        <w:fldChar w:fldCharType="begin" w:fldLock="1"/>
      </w:r>
      <w:r w:rsidR="004D0B02" w:rsidRPr="007720BC">
        <w:rPr>
          <w:rFonts w:ascii="Times New Roman" w:hAnsi="Times New Roman" w:cs="Times New Roman"/>
          <w:sz w:val="24"/>
          <w:szCs w:val="24"/>
        </w:rPr>
        <w:instrText>ADDIN CSL_CITATION {"citationItems":[{"id":"ITEM-1","itemData":{"abstract":"Stunting merupakan masalah serius di Indonesia yang memerlukan penanganan yang tepat. Dalam kampanye melawan stunting di Indonesia, pemerintah telah menetapkan untuk menurunan Stunting sebesar 14% pada tahun 2024. Tujuan penelitian ini adalah mengevaluasi pengelolaan Kampung Keluarga Berkulitas dalam rangka pencegahan stunting di kota pangkalpinang penelitian ini menggunakan pendekatan kualitatif dengan teknik analisis tematik. Informan 14 orang dipilih secara purposive. Data didapat melalui focus group discussion, indepth interview, observasi dan telaah dokumen. Pengolahan data menggunakan aplikasi Nvivo 12 for windows untuk nenganalisis penelitian ini. Hasil evaluasi input Dana Kampung KB dari APBN Alokasi Khusus (DAK) Non Fisik dalam bentuk Bantuan Operasional Keluarga Berencana (BOKB) dalam bentuk pertemuan, tidak ada dukungan dana APBD. Hasil evaluasi process Tim Pendamping Keluarga (TPK) terdiri dari Bidan, Kader TP PKK dan Kader KB sudah melaksanakan pendampingan kepada calon pengantin, ibu hamil, ibu pasca persalinan, anak usia 0-59 bulan. Ketersediaan Dapur Sehat Atasi Stunting belum berjalan, kegiatan Bina Keluarga Balita (BKB) sudah berjalan sesuai dengan panduan Bina Keluarga Balita. Hasil evaluasi output capaian KB pasca persalinan di Kota Pangkalpinang baik, capaian partisipasi keluarga dalam Bina Keluarga Balita masih rendah terutama partisipasi keluarga yang mengikuti kegiatan BKB. Dari hasil penelitian dapat disimpulkan bahwa pengelolaan Kampung KB dalam rangka pencegahan stunting di Kota Pangkalpinang sudah berjalan dengan baik, namun masih mengalami beberapa kendala seperti Dapur Sehat atasi Stunting belum berjalan sesuai yang diharapkan hanya sebatas penyebaran informasi tentang menu untuk keluarga beresiko stunting, dan dana dari APBD tidak ada yang ada dana pertemuan pokja Kampung KB dan kelompok kegiatan yang didanai dari dana BOKB","author":[{"dropping-particle":"","family":"Alfano","given":"Ewran","non-dropping-particle":"","parse-names":false,"suffix":""},{"dropping-particle":"","family":"Hasyim","given":"Hamzah","non-dropping-particle":"","parse-names":false,"suffix":""},{"dropping-particle":"","family":"Syakurah","given":"Rizma Adlia","non-dropping-particle":"","parse-names":false,"suffix":""}],"container-title":"Jurnal Kesehatan","id":"ITEM-1","issue":"2023","issued":{"date-parts":[["2024"]]},"page":"76-83","title":"Evaluasi Pengelolaan Kampung Keluarga Berkualitas dalam Pencegahan Stunting","type":"article-journal","volume":"1"},"uris":["http://www.mendeley.com/documents/?uuid=8c6eff79-c5e7-4cf6-aa4b-ba91839c7b15"]}],"mendeley":{"formattedCitation":"(Alfano, Hasyim, dan Syakurah 2024)","plainTextFormattedCitation":"(Alfano, Hasyim, dan Syakurah 2024)","previouslyFormattedCitation":"(Alfano, Hasyim, dan Syakurah 2024)"},"properties":{"noteIndex":0},"schema":"https://github.com/citation-style-language/schema/raw/master/csl-citation.json"}</w:instrText>
      </w:r>
      <w:r w:rsidR="00D51442" w:rsidRPr="007720BC">
        <w:rPr>
          <w:rFonts w:ascii="Times New Roman" w:hAnsi="Times New Roman" w:cs="Times New Roman"/>
          <w:sz w:val="24"/>
          <w:szCs w:val="24"/>
        </w:rPr>
        <w:fldChar w:fldCharType="separate"/>
      </w:r>
      <w:r w:rsidR="00D51442" w:rsidRPr="007720BC">
        <w:rPr>
          <w:rFonts w:ascii="Times New Roman" w:hAnsi="Times New Roman" w:cs="Times New Roman"/>
          <w:noProof/>
          <w:sz w:val="24"/>
          <w:szCs w:val="24"/>
        </w:rPr>
        <w:t>(Alfano, Hasyim, dan Syakurah 2024)</w:t>
      </w:r>
      <w:r w:rsidR="00D51442" w:rsidRPr="007720BC">
        <w:rPr>
          <w:rFonts w:ascii="Times New Roman" w:hAnsi="Times New Roman" w:cs="Times New Roman"/>
          <w:sz w:val="24"/>
          <w:szCs w:val="24"/>
        </w:rPr>
        <w:fldChar w:fldCharType="end"/>
      </w:r>
      <w:r w:rsidR="00D51442" w:rsidRPr="007720BC">
        <w:rPr>
          <w:rFonts w:ascii="Times New Roman" w:hAnsi="Times New Roman" w:cs="Times New Roman"/>
          <w:sz w:val="24"/>
          <w:szCs w:val="24"/>
        </w:rPr>
        <w:t xml:space="preserve"> </w:t>
      </w:r>
      <w:r w:rsidR="00D349D8" w:rsidRPr="007720BC">
        <w:rPr>
          <w:rFonts w:ascii="Times New Roman" w:hAnsi="Times New Roman" w:cs="Times New Roman"/>
          <w:sz w:val="24"/>
          <w:szCs w:val="24"/>
        </w:rPr>
        <w:t xml:space="preserve">yang </w:t>
      </w:r>
      <w:proofErr w:type="spellStart"/>
      <w:r w:rsidR="00D51442" w:rsidRPr="007720BC">
        <w:rPr>
          <w:rFonts w:ascii="Times New Roman" w:hAnsi="Times New Roman" w:cs="Times New Roman"/>
          <w:sz w:val="24"/>
          <w:szCs w:val="24"/>
        </w:rPr>
        <w:t>menyimpulkan</w:t>
      </w:r>
      <w:proofErr w:type="spellEnd"/>
      <w:r w:rsidR="00D51442"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b</w:t>
      </w:r>
      <w:r w:rsidR="00D51442" w:rsidRPr="007720BC">
        <w:rPr>
          <w:rFonts w:ascii="Times New Roman" w:hAnsi="Times New Roman" w:cs="Times New Roman"/>
          <w:sz w:val="24"/>
          <w:szCs w:val="24"/>
        </w:rPr>
        <w:t>ahwa</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pengelolaan</w:t>
      </w:r>
      <w:proofErr w:type="spellEnd"/>
      <w:r w:rsidR="00D51442" w:rsidRPr="007720BC">
        <w:rPr>
          <w:rFonts w:ascii="Times New Roman" w:hAnsi="Times New Roman" w:cs="Times New Roman"/>
          <w:sz w:val="24"/>
          <w:szCs w:val="24"/>
        </w:rPr>
        <w:t xml:space="preserve"> Kampung KB </w:t>
      </w:r>
      <w:proofErr w:type="spellStart"/>
      <w:r w:rsidR="00D51442" w:rsidRPr="007720BC">
        <w:rPr>
          <w:rFonts w:ascii="Times New Roman" w:hAnsi="Times New Roman" w:cs="Times New Roman"/>
          <w:sz w:val="24"/>
          <w:szCs w:val="24"/>
        </w:rPr>
        <w:t>dalam</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rangka</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pencegahan</w:t>
      </w:r>
      <w:proofErr w:type="spellEnd"/>
      <w:r w:rsidR="00D51442" w:rsidRPr="007720BC">
        <w:rPr>
          <w:rFonts w:ascii="Times New Roman" w:hAnsi="Times New Roman" w:cs="Times New Roman"/>
          <w:sz w:val="24"/>
          <w:szCs w:val="24"/>
        </w:rPr>
        <w:t xml:space="preserve"> stunting di Kota </w:t>
      </w:r>
      <w:proofErr w:type="spellStart"/>
      <w:r w:rsidR="00D51442" w:rsidRPr="007720BC">
        <w:rPr>
          <w:rFonts w:ascii="Times New Roman" w:hAnsi="Times New Roman" w:cs="Times New Roman"/>
          <w:sz w:val="24"/>
          <w:szCs w:val="24"/>
        </w:rPr>
        <w:t>Pangkalpinang</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sudah</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berjalan</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dengan</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baik</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namun</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masih</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mengalami</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beberapa</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kendala</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seperti</w:t>
      </w:r>
      <w:proofErr w:type="spellEnd"/>
      <w:r w:rsidR="00D51442" w:rsidRPr="007720BC">
        <w:rPr>
          <w:rFonts w:ascii="Times New Roman" w:hAnsi="Times New Roman" w:cs="Times New Roman"/>
          <w:sz w:val="24"/>
          <w:szCs w:val="24"/>
        </w:rPr>
        <w:t xml:space="preserve"> </w:t>
      </w:r>
      <w:r w:rsidR="000264DF" w:rsidRPr="007720BC">
        <w:rPr>
          <w:rFonts w:ascii="Times New Roman" w:hAnsi="Times New Roman" w:cs="Times New Roman"/>
          <w:sz w:val="24"/>
          <w:szCs w:val="24"/>
        </w:rPr>
        <w:t xml:space="preserve">program </w:t>
      </w:r>
      <w:proofErr w:type="spellStart"/>
      <w:r w:rsidR="000264DF" w:rsidRPr="007720BC">
        <w:rPr>
          <w:rFonts w:ascii="Times New Roman" w:hAnsi="Times New Roman" w:cs="Times New Roman"/>
          <w:sz w:val="24"/>
          <w:szCs w:val="24"/>
        </w:rPr>
        <w:t>Dashatd</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belum</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berjalan</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sesuai</w:t>
      </w:r>
      <w:proofErr w:type="spellEnd"/>
      <w:r w:rsidR="00D51442" w:rsidRPr="007720BC">
        <w:rPr>
          <w:rFonts w:ascii="Times New Roman" w:hAnsi="Times New Roman" w:cs="Times New Roman"/>
          <w:sz w:val="24"/>
          <w:szCs w:val="24"/>
        </w:rPr>
        <w:t xml:space="preserve"> yang </w:t>
      </w:r>
      <w:proofErr w:type="spellStart"/>
      <w:r w:rsidR="00D51442" w:rsidRPr="007720BC">
        <w:rPr>
          <w:rFonts w:ascii="Times New Roman" w:hAnsi="Times New Roman" w:cs="Times New Roman"/>
          <w:sz w:val="24"/>
          <w:szCs w:val="24"/>
        </w:rPr>
        <w:t>diharapkan</w:t>
      </w:r>
      <w:proofErr w:type="spellEnd"/>
      <w:r w:rsidR="00D51442" w:rsidRPr="007720BC">
        <w:rPr>
          <w:rFonts w:ascii="Times New Roman" w:hAnsi="Times New Roman" w:cs="Times New Roman"/>
          <w:sz w:val="24"/>
          <w:szCs w:val="24"/>
        </w:rPr>
        <w:t xml:space="preserve"> </w:t>
      </w:r>
      <w:r w:rsidR="000264DF" w:rsidRPr="007720BC">
        <w:rPr>
          <w:rFonts w:ascii="Times New Roman" w:hAnsi="Times New Roman" w:cs="Times New Roman"/>
          <w:sz w:val="24"/>
          <w:szCs w:val="24"/>
        </w:rPr>
        <w:t xml:space="preserve">dan </w:t>
      </w:r>
      <w:proofErr w:type="spellStart"/>
      <w:r w:rsidR="00D51442" w:rsidRPr="007720BC">
        <w:rPr>
          <w:rFonts w:ascii="Times New Roman" w:hAnsi="Times New Roman" w:cs="Times New Roman"/>
          <w:sz w:val="24"/>
          <w:szCs w:val="24"/>
        </w:rPr>
        <w:t>hanya</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sebatas</w:t>
      </w:r>
      <w:proofErr w:type="spellEnd"/>
      <w:r w:rsidR="00D51442" w:rsidRPr="007720BC">
        <w:rPr>
          <w:rFonts w:ascii="Times New Roman" w:hAnsi="Times New Roman" w:cs="Times New Roman"/>
          <w:sz w:val="24"/>
          <w:szCs w:val="24"/>
        </w:rPr>
        <w:t xml:space="preserve"> </w:t>
      </w:r>
      <w:r w:rsidR="000264DF" w:rsidRPr="007720BC">
        <w:rPr>
          <w:rFonts w:ascii="Times New Roman" w:hAnsi="Times New Roman" w:cs="Times New Roman"/>
          <w:sz w:val="24"/>
          <w:szCs w:val="24"/>
        </w:rPr>
        <w:t xml:space="preserve">pada </w:t>
      </w:r>
      <w:proofErr w:type="spellStart"/>
      <w:r w:rsidR="00D51442" w:rsidRPr="007720BC">
        <w:rPr>
          <w:rFonts w:ascii="Times New Roman" w:hAnsi="Times New Roman" w:cs="Times New Roman"/>
          <w:sz w:val="24"/>
          <w:szCs w:val="24"/>
        </w:rPr>
        <w:t>penyebaran</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informasi</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tentang</w:t>
      </w:r>
      <w:proofErr w:type="spellEnd"/>
      <w:r w:rsidR="00D51442" w:rsidRPr="007720BC">
        <w:rPr>
          <w:rFonts w:ascii="Times New Roman" w:hAnsi="Times New Roman" w:cs="Times New Roman"/>
          <w:sz w:val="24"/>
          <w:szCs w:val="24"/>
        </w:rPr>
        <w:t xml:space="preserve"> menu </w:t>
      </w:r>
      <w:proofErr w:type="spellStart"/>
      <w:r w:rsidR="00D51442" w:rsidRPr="007720BC">
        <w:rPr>
          <w:rFonts w:ascii="Times New Roman" w:hAnsi="Times New Roman" w:cs="Times New Roman"/>
          <w:sz w:val="24"/>
          <w:szCs w:val="24"/>
        </w:rPr>
        <w:t>untuk</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keluarga</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beresiko</w:t>
      </w:r>
      <w:proofErr w:type="spellEnd"/>
      <w:r w:rsidR="00D51442" w:rsidRPr="007720BC">
        <w:rPr>
          <w:rFonts w:ascii="Times New Roman" w:hAnsi="Times New Roman" w:cs="Times New Roman"/>
          <w:sz w:val="24"/>
          <w:szCs w:val="24"/>
        </w:rPr>
        <w:t xml:space="preserve"> stunting, </w:t>
      </w:r>
      <w:proofErr w:type="spellStart"/>
      <w:r w:rsidR="000264DF" w:rsidRPr="007720BC">
        <w:rPr>
          <w:rFonts w:ascii="Times New Roman" w:hAnsi="Times New Roman" w:cs="Times New Roman"/>
          <w:sz w:val="24"/>
          <w:szCs w:val="24"/>
        </w:rPr>
        <w:t>tidak</w:t>
      </w:r>
      <w:proofErr w:type="spellEnd"/>
      <w:r w:rsidR="000264DF" w:rsidRPr="007720BC">
        <w:rPr>
          <w:rFonts w:ascii="Times New Roman" w:hAnsi="Times New Roman" w:cs="Times New Roman"/>
          <w:sz w:val="24"/>
          <w:szCs w:val="24"/>
        </w:rPr>
        <w:t xml:space="preserve"> </w:t>
      </w:r>
      <w:proofErr w:type="spellStart"/>
      <w:r w:rsidR="000264DF" w:rsidRPr="007720BC">
        <w:rPr>
          <w:rFonts w:ascii="Times New Roman" w:hAnsi="Times New Roman" w:cs="Times New Roman"/>
          <w:sz w:val="24"/>
          <w:szCs w:val="24"/>
        </w:rPr>
        <w:t>adanya</w:t>
      </w:r>
      <w:proofErr w:type="spellEnd"/>
      <w:r w:rsidR="000264DF" w:rsidRPr="007720BC">
        <w:rPr>
          <w:rFonts w:ascii="Times New Roman" w:hAnsi="Times New Roman" w:cs="Times New Roman"/>
          <w:sz w:val="24"/>
          <w:szCs w:val="24"/>
        </w:rPr>
        <w:t xml:space="preserve"> dana </w:t>
      </w:r>
      <w:proofErr w:type="spellStart"/>
      <w:r w:rsidR="000264DF" w:rsidRPr="007720BC">
        <w:rPr>
          <w:rFonts w:ascii="Times New Roman" w:hAnsi="Times New Roman" w:cs="Times New Roman"/>
          <w:sz w:val="24"/>
          <w:szCs w:val="24"/>
        </w:rPr>
        <w:t>dari</w:t>
      </w:r>
      <w:proofErr w:type="spellEnd"/>
      <w:r w:rsidR="00D51442" w:rsidRPr="007720BC">
        <w:rPr>
          <w:rFonts w:ascii="Times New Roman" w:hAnsi="Times New Roman" w:cs="Times New Roman"/>
          <w:sz w:val="24"/>
          <w:szCs w:val="24"/>
        </w:rPr>
        <w:t xml:space="preserve"> APBD </w:t>
      </w:r>
      <w:proofErr w:type="spellStart"/>
      <w:r w:rsidR="000264DF" w:rsidRPr="007720BC">
        <w:rPr>
          <w:rFonts w:ascii="Times New Roman" w:hAnsi="Times New Roman" w:cs="Times New Roman"/>
          <w:sz w:val="24"/>
          <w:szCs w:val="24"/>
        </w:rPr>
        <w:t>sehingga</w:t>
      </w:r>
      <w:proofErr w:type="spellEnd"/>
      <w:r w:rsidR="000264DF" w:rsidRPr="007720BC">
        <w:rPr>
          <w:rFonts w:ascii="Times New Roman" w:hAnsi="Times New Roman" w:cs="Times New Roman"/>
          <w:sz w:val="24"/>
          <w:szCs w:val="24"/>
        </w:rPr>
        <w:t xml:space="preserve"> </w:t>
      </w:r>
      <w:proofErr w:type="spellStart"/>
      <w:r w:rsidR="000264DF" w:rsidRPr="007720BC">
        <w:rPr>
          <w:rFonts w:ascii="Times New Roman" w:hAnsi="Times New Roman" w:cs="Times New Roman"/>
          <w:sz w:val="24"/>
          <w:szCs w:val="24"/>
        </w:rPr>
        <w:t>menghambat</w:t>
      </w:r>
      <w:proofErr w:type="spellEnd"/>
      <w:r w:rsidR="000264DF" w:rsidRPr="007720BC">
        <w:rPr>
          <w:rFonts w:ascii="Times New Roman" w:hAnsi="Times New Roman" w:cs="Times New Roman"/>
          <w:sz w:val="24"/>
          <w:szCs w:val="24"/>
        </w:rPr>
        <w:t xml:space="preserve"> </w:t>
      </w:r>
      <w:proofErr w:type="spellStart"/>
      <w:r w:rsidR="000264DF" w:rsidRPr="007720BC">
        <w:rPr>
          <w:rFonts w:ascii="Times New Roman" w:hAnsi="Times New Roman" w:cs="Times New Roman"/>
          <w:sz w:val="24"/>
          <w:szCs w:val="24"/>
        </w:rPr>
        <w:t>kegiatan</w:t>
      </w:r>
      <w:proofErr w:type="spellEnd"/>
      <w:r w:rsidR="00D51442" w:rsidRPr="007720BC">
        <w:rPr>
          <w:rFonts w:ascii="Times New Roman" w:hAnsi="Times New Roman" w:cs="Times New Roman"/>
          <w:sz w:val="24"/>
          <w:szCs w:val="24"/>
        </w:rPr>
        <w:t xml:space="preserve"> </w:t>
      </w:r>
      <w:proofErr w:type="spellStart"/>
      <w:r w:rsidR="00D51442" w:rsidRPr="007720BC">
        <w:rPr>
          <w:rFonts w:ascii="Times New Roman" w:hAnsi="Times New Roman" w:cs="Times New Roman"/>
          <w:sz w:val="24"/>
          <w:szCs w:val="24"/>
        </w:rPr>
        <w:t>pertemuan</w:t>
      </w:r>
      <w:proofErr w:type="spellEnd"/>
      <w:r w:rsidR="00D51442"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P</w:t>
      </w:r>
      <w:r w:rsidR="00D51442" w:rsidRPr="007720BC">
        <w:rPr>
          <w:rFonts w:ascii="Times New Roman" w:hAnsi="Times New Roman" w:cs="Times New Roman"/>
          <w:sz w:val="24"/>
          <w:szCs w:val="24"/>
        </w:rPr>
        <w:t>okja</w:t>
      </w:r>
      <w:proofErr w:type="spellEnd"/>
      <w:r w:rsidR="00D51442" w:rsidRPr="007720BC">
        <w:rPr>
          <w:rFonts w:ascii="Times New Roman" w:hAnsi="Times New Roman" w:cs="Times New Roman"/>
          <w:sz w:val="24"/>
          <w:szCs w:val="24"/>
        </w:rPr>
        <w:t xml:space="preserve"> Kampung KB</w:t>
      </w:r>
      <w:r w:rsidR="000264DF" w:rsidRPr="007720BC">
        <w:rPr>
          <w:rFonts w:ascii="Times New Roman" w:hAnsi="Times New Roman" w:cs="Times New Roman"/>
          <w:sz w:val="24"/>
          <w:szCs w:val="24"/>
        </w:rPr>
        <w:t>.</w:t>
      </w:r>
      <w:r w:rsidR="004D0B02"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Kemudian</w:t>
      </w:r>
      <w:proofErr w:type="spellEnd"/>
      <w:r w:rsidR="00D349D8" w:rsidRPr="007720BC">
        <w:rPr>
          <w:rFonts w:ascii="Times New Roman" w:hAnsi="Times New Roman" w:cs="Times New Roman"/>
          <w:sz w:val="24"/>
          <w:szCs w:val="24"/>
        </w:rPr>
        <w:t xml:space="preserve"> </w:t>
      </w:r>
      <w:proofErr w:type="spellStart"/>
      <w:r w:rsidR="00C649E9" w:rsidRPr="007720BC">
        <w:rPr>
          <w:rFonts w:ascii="Times New Roman" w:hAnsi="Times New Roman" w:cs="Times New Roman"/>
          <w:sz w:val="24"/>
          <w:szCs w:val="24"/>
        </w:rPr>
        <w:t>hasil</w:t>
      </w:r>
      <w:proofErr w:type="spellEnd"/>
      <w:r w:rsidR="00C649E9"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penelitian</w:t>
      </w:r>
      <w:proofErr w:type="spellEnd"/>
      <w:r w:rsidR="00D349D8" w:rsidRPr="007720BC">
        <w:rPr>
          <w:rFonts w:ascii="Times New Roman" w:hAnsi="Times New Roman" w:cs="Times New Roman"/>
          <w:sz w:val="24"/>
          <w:szCs w:val="24"/>
        </w:rPr>
        <w:t xml:space="preserve"> </w:t>
      </w:r>
      <w:r w:rsidR="004D0B02" w:rsidRPr="007720BC">
        <w:rPr>
          <w:rFonts w:ascii="Times New Roman" w:hAnsi="Times New Roman" w:cs="Times New Roman"/>
          <w:sz w:val="24"/>
          <w:szCs w:val="24"/>
        </w:rPr>
        <w:fldChar w:fldCharType="begin" w:fldLock="1"/>
      </w:r>
      <w:r w:rsidR="00290E9C" w:rsidRPr="007720BC">
        <w:rPr>
          <w:rFonts w:ascii="Times New Roman" w:hAnsi="Times New Roman" w:cs="Times New Roman"/>
          <w:sz w:val="24"/>
          <w:szCs w:val="24"/>
        </w:rPr>
        <w:instrText>ADDIN CSL_CITATION {"citationItems":[{"id":"ITEM-1","itemData":{"abstract":"Travel entertainment karaoke located in the village of Kediri, or more commonly known sembir, in the beginning is the place of localization. In 1998, transformed the concept into a tourist area karaoke. Based on the decision of the mayor of the middle number 462.3/328/1998 July 1, 1998 on the cessation and removal of all forms of activities of the prostitute and the business of rehabilitation and resocialization in the system of localization in Sarirejo. There are immigrant population of 196 inmates who work as guides karaoke and 82 as the operator. Means health region sarirejo very note because of the job guide karaoke is often disabled as the commercial sex workers who have a high risk of the disease. NGOS that are in the village to do health checks every 2 times in a week i.e. every Tuesday and Thursday. This study aims to determine the factors that affect the risk of incidence of sexually transmitted infections a guide karaoke in access karaoke entertainment Jl (sembir) Salatiga. This research type is quantitative research with cross sectional method. The study sample of 102 guide karaoke in access karaoke entertainment Salatiga. A statistical test wear Test of Chi-Square with the research tool was a questionnaire. Of the 102 respondents that were studied and tested using Chi-Square Test obtained the results of health service factors showing P-value (0.000) &lt; 0.05, the factor of health behavior shows the P-value (0.000) &lt; 0.05, the environmental factors showing P- value (0.00) &lt; 0.05. It means that each of the factors studied affect the risk of incidence of sexually transmitted infections.","author":[{"dropping-particle":"","family":"Lisatriana","given":"Biyanti","non-dropping-particle":"","parse-names":false,"suffix":""},{"dropping-particle":"","family":"Pramudho","given":"PA Kodrat","non-dropping-particle":"","parse-names":false,"suffix":""},{"dropping-particle":"","family":"Putri","given":"Dian Utama Pratiwi","non-dropping-particle":"","parse-names":false,"suffix":""},{"dropping-particle":"","family":"Adyas","given":"Atikah","non-dropping-particle":"","parse-names":false,"suffix":""},{"dropping-particle":"","family":"Irianto","given":"Sugeng Eko","non-dropping-particle":"","parse-names":false,"suffix":""}],"container-title":"Jurnal Ilmiah Permas: Jurnal Ilmiah STIKES Kendal","id":"ITEM-1","issued":{"date-parts":[["2022"]]},"page":"1-8","title":"Faktor-Faktor Yang Berhubungan Dengan Kinerja Penyuluh Keluarga Berencana Dalam Pendampingan Keluarga Berisiko Stunting","type":"article-journal","volume":"12"},"uris":["http://www.mendeley.com/documents/?uuid=5b23af72-10fa-4a37-9a13-c3a069ab4352"]}],"mendeley":{"formattedCitation":"(Lisatriana et al. 2022)","plainTextFormattedCitation":"(Lisatriana et al. 2022)","previouslyFormattedCitation":"(Lisatriana et al. 2022)"},"properties":{"noteIndex":0},"schema":"https://github.com/citation-style-language/schema/raw/master/csl-citation.json"}</w:instrText>
      </w:r>
      <w:r w:rsidR="004D0B02" w:rsidRPr="007720BC">
        <w:rPr>
          <w:rFonts w:ascii="Times New Roman" w:hAnsi="Times New Roman" w:cs="Times New Roman"/>
          <w:sz w:val="24"/>
          <w:szCs w:val="24"/>
        </w:rPr>
        <w:fldChar w:fldCharType="separate"/>
      </w:r>
      <w:r w:rsidR="004D0B02" w:rsidRPr="007720BC">
        <w:rPr>
          <w:rFonts w:ascii="Times New Roman" w:hAnsi="Times New Roman" w:cs="Times New Roman"/>
          <w:noProof/>
          <w:sz w:val="24"/>
          <w:szCs w:val="24"/>
        </w:rPr>
        <w:t>(Lisatriana et al. 2022)</w:t>
      </w:r>
      <w:r w:rsidR="004D0B02" w:rsidRPr="007720BC">
        <w:rPr>
          <w:rFonts w:ascii="Times New Roman" w:hAnsi="Times New Roman" w:cs="Times New Roman"/>
          <w:sz w:val="24"/>
          <w:szCs w:val="24"/>
        </w:rPr>
        <w:fldChar w:fldCharType="end"/>
      </w:r>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men</w:t>
      </w:r>
      <w:r w:rsidR="00C649E9" w:rsidRPr="007720BC">
        <w:rPr>
          <w:rFonts w:ascii="Times New Roman" w:hAnsi="Times New Roman" w:cs="Times New Roman"/>
          <w:sz w:val="24"/>
          <w:szCs w:val="24"/>
        </w:rPr>
        <w:t>egaskan</w:t>
      </w:r>
      <w:proofErr w:type="spellEnd"/>
      <w:r w:rsidR="00C649E9"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kepemimpinan</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transformasional</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berhubungan</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kuat</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terhadap</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kinerja</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yaitu</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penyuluh</w:t>
      </w:r>
      <w:proofErr w:type="spellEnd"/>
      <w:r w:rsidR="00D349D8" w:rsidRPr="007720BC">
        <w:rPr>
          <w:rFonts w:ascii="Times New Roman" w:hAnsi="Times New Roman" w:cs="Times New Roman"/>
          <w:sz w:val="24"/>
          <w:szCs w:val="24"/>
        </w:rPr>
        <w:t xml:space="preserve"> KB </w:t>
      </w:r>
      <w:proofErr w:type="spellStart"/>
      <w:r w:rsidR="000264DF" w:rsidRPr="007720BC">
        <w:rPr>
          <w:rFonts w:ascii="Times New Roman" w:hAnsi="Times New Roman" w:cs="Times New Roman"/>
          <w:sz w:val="24"/>
          <w:szCs w:val="24"/>
        </w:rPr>
        <w:t>sehingga</w:t>
      </w:r>
      <w:proofErr w:type="spellEnd"/>
      <w:r w:rsidR="000264DF" w:rsidRPr="007720BC">
        <w:rPr>
          <w:rFonts w:ascii="Times New Roman" w:hAnsi="Times New Roman" w:cs="Times New Roman"/>
          <w:sz w:val="24"/>
          <w:szCs w:val="24"/>
        </w:rPr>
        <w:t xml:space="preserve"> </w:t>
      </w:r>
      <w:proofErr w:type="spellStart"/>
      <w:r w:rsidR="00C649E9" w:rsidRPr="007720BC">
        <w:rPr>
          <w:rFonts w:ascii="Times New Roman" w:hAnsi="Times New Roman" w:cs="Times New Roman"/>
          <w:sz w:val="24"/>
          <w:szCs w:val="24"/>
        </w:rPr>
        <w:t>dapat</w:t>
      </w:r>
      <w:proofErr w:type="spellEnd"/>
      <w:r w:rsidR="00C649E9" w:rsidRPr="007720BC">
        <w:rPr>
          <w:rFonts w:ascii="Times New Roman" w:hAnsi="Times New Roman" w:cs="Times New Roman"/>
          <w:sz w:val="24"/>
          <w:szCs w:val="24"/>
        </w:rPr>
        <w:t xml:space="preserve"> </w:t>
      </w:r>
      <w:proofErr w:type="spellStart"/>
      <w:r w:rsidR="00C649E9" w:rsidRPr="007720BC">
        <w:rPr>
          <w:rFonts w:ascii="Times New Roman" w:hAnsi="Times New Roman" w:cs="Times New Roman"/>
          <w:sz w:val="24"/>
          <w:szCs w:val="24"/>
        </w:rPr>
        <w:t>di</w:t>
      </w:r>
      <w:r w:rsidR="000264DF" w:rsidRPr="007720BC">
        <w:rPr>
          <w:rFonts w:ascii="Times New Roman" w:hAnsi="Times New Roman" w:cs="Times New Roman"/>
          <w:sz w:val="24"/>
          <w:szCs w:val="24"/>
        </w:rPr>
        <w:t>simpulkan</w:t>
      </w:r>
      <w:proofErr w:type="spellEnd"/>
      <w:r w:rsidR="000264DF"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kepemimpinan</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transformasional</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secara</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positif</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memiliki</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kinerja</w:t>
      </w:r>
      <w:proofErr w:type="spellEnd"/>
      <w:r w:rsidR="00D349D8" w:rsidRPr="007720BC">
        <w:rPr>
          <w:rFonts w:ascii="Times New Roman" w:hAnsi="Times New Roman" w:cs="Times New Roman"/>
          <w:sz w:val="24"/>
          <w:szCs w:val="24"/>
        </w:rPr>
        <w:t xml:space="preserve"> yang </w:t>
      </w:r>
      <w:proofErr w:type="spellStart"/>
      <w:r w:rsidR="00D349D8" w:rsidRPr="007720BC">
        <w:rPr>
          <w:rFonts w:ascii="Times New Roman" w:hAnsi="Times New Roman" w:cs="Times New Roman"/>
          <w:sz w:val="24"/>
          <w:szCs w:val="24"/>
        </w:rPr>
        <w:t>aktif</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dalam</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penanganan</w:t>
      </w:r>
      <w:proofErr w:type="spellEnd"/>
      <w:r w:rsidR="00D349D8" w:rsidRPr="007720BC">
        <w:rPr>
          <w:rFonts w:ascii="Times New Roman" w:hAnsi="Times New Roman" w:cs="Times New Roman"/>
          <w:sz w:val="24"/>
          <w:szCs w:val="24"/>
        </w:rPr>
        <w:t xml:space="preserve"> stunting</w:t>
      </w:r>
    </w:p>
    <w:p w14:paraId="385BA111" w14:textId="48EEC076" w:rsidR="004F3057" w:rsidRPr="007720BC" w:rsidRDefault="004F3057" w:rsidP="000459C2">
      <w:pPr>
        <w:spacing w:after="0" w:line="240" w:lineRule="auto"/>
        <w:ind w:firstLine="720"/>
        <w:contextualSpacing/>
        <w:jc w:val="both"/>
        <w:rPr>
          <w:rFonts w:ascii="Times New Roman" w:hAnsi="Times New Roman" w:cs="Times New Roman"/>
          <w:sz w:val="24"/>
          <w:szCs w:val="24"/>
        </w:rPr>
      </w:pPr>
      <w:r w:rsidRPr="007720BC">
        <w:rPr>
          <w:rStyle w:val="jlqj4b"/>
          <w:rFonts w:ascii="Times New Roman" w:hAnsi="Times New Roman" w:cs="Times New Roman"/>
          <w:sz w:val="24"/>
          <w:szCs w:val="24"/>
        </w:rPr>
        <w:t xml:space="preserve">Artikel </w:t>
      </w:r>
      <w:proofErr w:type="spellStart"/>
      <w:r w:rsidRPr="007720BC">
        <w:rPr>
          <w:rStyle w:val="jlqj4b"/>
          <w:rFonts w:ascii="Times New Roman" w:hAnsi="Times New Roman" w:cs="Times New Roman"/>
          <w:sz w:val="24"/>
          <w:szCs w:val="24"/>
        </w:rPr>
        <w:t>ini</w:t>
      </w:r>
      <w:proofErr w:type="spellEnd"/>
      <w:r w:rsidRPr="007720BC">
        <w:rPr>
          <w:rStyle w:val="jlqj4b"/>
          <w:rFonts w:ascii="Times New Roman" w:hAnsi="Times New Roman" w:cs="Times New Roman"/>
          <w:sz w:val="24"/>
          <w:szCs w:val="24"/>
        </w:rPr>
        <w:t xml:space="preserve"> </w:t>
      </w:r>
      <w:proofErr w:type="spellStart"/>
      <w:r w:rsidRPr="007720BC">
        <w:rPr>
          <w:rStyle w:val="jlqj4b"/>
          <w:rFonts w:ascii="Times New Roman" w:hAnsi="Times New Roman" w:cs="Times New Roman"/>
          <w:sz w:val="24"/>
          <w:szCs w:val="24"/>
        </w:rPr>
        <w:t>mendiskusikan</w:t>
      </w:r>
      <w:proofErr w:type="spellEnd"/>
      <w:r w:rsidRPr="007720BC">
        <w:rPr>
          <w:rStyle w:val="jlqj4b"/>
          <w:rFonts w:ascii="Times New Roman" w:hAnsi="Times New Roman" w:cs="Times New Roman"/>
          <w:sz w:val="24"/>
          <w:szCs w:val="24"/>
        </w:rPr>
        <w:t xml:space="preserve"> </w:t>
      </w:r>
      <w:proofErr w:type="spellStart"/>
      <w:r w:rsidRPr="007720BC">
        <w:rPr>
          <w:rStyle w:val="jlqj4b"/>
          <w:rFonts w:ascii="Times New Roman" w:hAnsi="Times New Roman" w:cs="Times New Roman"/>
          <w:sz w:val="24"/>
          <w:szCs w:val="24"/>
        </w:rPr>
        <w:t>efektivitas</w:t>
      </w:r>
      <w:proofErr w:type="spellEnd"/>
      <w:r w:rsidRPr="007720BC">
        <w:rPr>
          <w:rStyle w:val="jlqj4b"/>
          <w:rFonts w:ascii="Times New Roman" w:hAnsi="Times New Roman" w:cs="Times New Roman"/>
          <w:sz w:val="24"/>
          <w:szCs w:val="24"/>
        </w:rPr>
        <w:t xml:space="preserve"> </w:t>
      </w:r>
      <w:proofErr w:type="spellStart"/>
      <w:r w:rsidRPr="007720BC">
        <w:rPr>
          <w:rStyle w:val="jlqj4b"/>
          <w:rFonts w:ascii="Times New Roman" w:hAnsi="Times New Roman" w:cs="Times New Roman"/>
          <w:sz w:val="24"/>
          <w:szCs w:val="24"/>
        </w:rPr>
        <w:t>implementasi</w:t>
      </w:r>
      <w:proofErr w:type="spellEnd"/>
      <w:r w:rsidRPr="007720BC">
        <w:rPr>
          <w:rStyle w:val="jlqj4b"/>
          <w:rFonts w:ascii="Times New Roman" w:hAnsi="Times New Roman" w:cs="Times New Roman"/>
          <w:sz w:val="24"/>
          <w:szCs w:val="24"/>
        </w:rPr>
        <w:t xml:space="preserve"> </w:t>
      </w:r>
      <w:r w:rsidRPr="007720BC">
        <w:rPr>
          <w:rFonts w:ascii="Times New Roman" w:hAnsi="Times New Roman" w:cs="Times New Roman"/>
          <w:sz w:val="24"/>
          <w:szCs w:val="24"/>
          <w:lang w:val="en-US"/>
        </w:rPr>
        <w:t xml:space="preserve">Program Kampung KB Desa </w:t>
      </w:r>
      <w:proofErr w:type="spellStart"/>
      <w:r w:rsidRPr="007720BC">
        <w:rPr>
          <w:rFonts w:ascii="Times New Roman" w:hAnsi="Times New Roman" w:cs="Times New Roman"/>
          <w:sz w:val="24"/>
          <w:szCs w:val="24"/>
          <w:lang w:val="en-US"/>
        </w:rPr>
        <w:t>Mongpok</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Kecamatan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Cikeusal</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Kabupaten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Serang</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dalam</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Lanskap</w:t>
      </w:r>
      <w:proofErr w:type="spellEnd"/>
      <w:r w:rsidRPr="007720BC">
        <w:rPr>
          <w:rFonts w:ascii="Times New Roman" w:hAnsi="Times New Roman" w:cs="Times New Roman"/>
          <w:sz w:val="24"/>
          <w:szCs w:val="24"/>
          <w:lang w:val="en-US"/>
        </w:rPr>
        <w:t xml:space="preserve"> </w:t>
      </w:r>
      <w:proofErr w:type="spellStart"/>
      <w:r w:rsidR="00993746" w:rsidRPr="007720BC">
        <w:rPr>
          <w:rFonts w:ascii="Times New Roman" w:hAnsi="Times New Roman" w:cs="Times New Roman"/>
          <w:sz w:val="24"/>
          <w:szCs w:val="24"/>
          <w:lang w:val="en-US"/>
        </w:rPr>
        <w:t>percepatan</w:t>
      </w:r>
      <w:proofErr w:type="spellEnd"/>
      <w:r w:rsidR="00993746" w:rsidRPr="007720BC">
        <w:rPr>
          <w:rFonts w:ascii="Times New Roman" w:hAnsi="Times New Roman" w:cs="Times New Roman"/>
          <w:sz w:val="24"/>
          <w:szCs w:val="24"/>
          <w:lang w:val="en-US"/>
        </w:rPr>
        <w:t xml:space="preserve"> </w:t>
      </w:r>
      <w:proofErr w:type="spellStart"/>
      <w:r w:rsidR="00993746" w:rsidRPr="007720BC">
        <w:rPr>
          <w:rFonts w:ascii="Times New Roman" w:hAnsi="Times New Roman" w:cs="Times New Roman"/>
          <w:sz w:val="24"/>
          <w:szCs w:val="24"/>
          <w:lang w:val="en-US"/>
        </w:rPr>
        <w:t>penurunan</w:t>
      </w:r>
      <w:proofErr w:type="spellEnd"/>
      <w:r w:rsidRPr="007720BC">
        <w:rPr>
          <w:rFonts w:ascii="Times New Roman" w:hAnsi="Times New Roman" w:cs="Times New Roman"/>
          <w:sz w:val="24"/>
          <w:szCs w:val="24"/>
          <w:lang w:val="en-US"/>
        </w:rPr>
        <w:t xml:space="preserve"> Stunting. Kampung KB </w:t>
      </w:r>
      <w:proofErr w:type="spellStart"/>
      <w:r w:rsidRPr="007720BC">
        <w:rPr>
          <w:rFonts w:ascii="Times New Roman" w:hAnsi="Times New Roman" w:cs="Times New Roman"/>
          <w:sz w:val="24"/>
          <w:szCs w:val="24"/>
          <w:lang w:val="en-US"/>
        </w:rPr>
        <w:t>hadir</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rPr>
        <w:t>sebagai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respon</w:t>
      </w:r>
      <w:proofErr w:type="spellEnd"/>
      <w:r w:rsidRPr="007720BC">
        <w:rPr>
          <w:rFonts w:ascii="Times New Roman" w:hAnsi="Times New Roman" w:cs="Times New Roman"/>
          <w:sz w:val="24"/>
          <w:szCs w:val="24"/>
        </w:rPr>
        <w:t xml:space="preserve"> </w:t>
      </w:r>
      <w:proofErr w:type="spellStart"/>
      <w:r w:rsidR="00C649E9" w:rsidRPr="007720BC">
        <w:rPr>
          <w:rFonts w:ascii="Times New Roman" w:hAnsi="Times New Roman" w:cs="Times New Roman"/>
          <w:sz w:val="24"/>
          <w:szCs w:val="24"/>
        </w:rPr>
        <w:t>terhadap</w:t>
      </w:r>
      <w:proofErr w:type="spellEnd"/>
      <w:r w:rsidR="00C649E9"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semakin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meningkatnya</w:t>
      </w:r>
      <w:proofErr w:type="spellEnd"/>
      <w:r w:rsidRPr="007720BC">
        <w:rPr>
          <w:rFonts w:ascii="Times New Roman" w:hAnsi="Times New Roman" w:cs="Times New Roman"/>
          <w:sz w:val="24"/>
          <w:szCs w:val="24"/>
        </w:rPr>
        <w:t xml:space="preserve"> stunting da</w:t>
      </w:r>
      <w:r w:rsidRPr="007720BC">
        <w:rPr>
          <w:rStyle w:val="jlqj4b"/>
          <w:rFonts w:ascii="Times New Roman" w:hAnsi="Times New Roman" w:cs="Times New Roman"/>
          <w:sz w:val="24"/>
          <w:szCs w:val="24"/>
        </w:rPr>
        <w:t xml:space="preserve">n </w:t>
      </w:r>
      <w:proofErr w:type="spellStart"/>
      <w:r w:rsidRPr="007720BC">
        <w:rPr>
          <w:rStyle w:val="jlqj4b"/>
          <w:rFonts w:ascii="Times New Roman" w:hAnsi="Times New Roman" w:cs="Times New Roman"/>
          <w:sz w:val="24"/>
          <w:szCs w:val="24"/>
        </w:rPr>
        <w:t>menjawab</w:t>
      </w:r>
      <w:proofErr w:type="spellEnd"/>
      <w:r w:rsidRPr="007720BC">
        <w:rPr>
          <w:rStyle w:val="jlqj4b"/>
          <w:rFonts w:ascii="Times New Roman" w:hAnsi="Times New Roman" w:cs="Times New Roman"/>
          <w:sz w:val="24"/>
          <w:szCs w:val="24"/>
        </w:rPr>
        <w:t xml:space="preserve"> </w:t>
      </w:r>
      <w:proofErr w:type="spellStart"/>
      <w:r w:rsidR="00BC15D2" w:rsidRPr="007720BC">
        <w:rPr>
          <w:rStyle w:val="jlqj4b"/>
          <w:rFonts w:ascii="Times New Roman" w:hAnsi="Times New Roman" w:cs="Times New Roman"/>
          <w:sz w:val="24"/>
          <w:szCs w:val="24"/>
        </w:rPr>
        <w:t>tantangan</w:t>
      </w:r>
      <w:proofErr w:type="spellEnd"/>
      <w:r w:rsidR="00BC15D2" w:rsidRPr="007720BC">
        <w:rPr>
          <w:rStyle w:val="jlqj4b"/>
          <w:rFonts w:ascii="Times New Roman" w:hAnsi="Times New Roman" w:cs="Times New Roman"/>
          <w:sz w:val="24"/>
          <w:szCs w:val="24"/>
        </w:rPr>
        <w:t xml:space="preserve"> </w:t>
      </w:r>
      <w:proofErr w:type="spellStart"/>
      <w:r w:rsidR="00BC15D2" w:rsidRPr="007720BC">
        <w:rPr>
          <w:rStyle w:val="jlqj4b"/>
          <w:rFonts w:ascii="Times New Roman" w:hAnsi="Times New Roman" w:cs="Times New Roman"/>
          <w:sz w:val="24"/>
          <w:szCs w:val="24"/>
        </w:rPr>
        <w:t>perubahan</w:t>
      </w:r>
      <w:proofErr w:type="spellEnd"/>
      <w:r w:rsidR="00BC15D2" w:rsidRPr="007720BC">
        <w:rPr>
          <w:rStyle w:val="jlqj4b"/>
          <w:rFonts w:ascii="Times New Roman" w:hAnsi="Times New Roman" w:cs="Times New Roman"/>
          <w:sz w:val="24"/>
          <w:szCs w:val="24"/>
        </w:rPr>
        <w:t xml:space="preserve"> </w:t>
      </w:r>
      <w:proofErr w:type="spellStart"/>
      <w:r w:rsidR="00BC15D2" w:rsidRPr="007720BC">
        <w:rPr>
          <w:rStyle w:val="jlqj4b"/>
          <w:rFonts w:ascii="Times New Roman" w:hAnsi="Times New Roman" w:cs="Times New Roman"/>
          <w:sz w:val="24"/>
          <w:szCs w:val="24"/>
        </w:rPr>
        <w:t>perilaku</w:t>
      </w:r>
      <w:proofErr w:type="spellEnd"/>
      <w:r w:rsidR="00BC15D2" w:rsidRPr="007720BC">
        <w:rPr>
          <w:rStyle w:val="jlqj4b"/>
          <w:rFonts w:ascii="Times New Roman" w:hAnsi="Times New Roman" w:cs="Times New Roman"/>
          <w:sz w:val="24"/>
          <w:szCs w:val="24"/>
        </w:rPr>
        <w:t xml:space="preserve"> </w:t>
      </w:r>
      <w:proofErr w:type="spellStart"/>
      <w:r w:rsidR="00BC15D2" w:rsidRPr="007720BC">
        <w:rPr>
          <w:rStyle w:val="jlqj4b"/>
          <w:rFonts w:ascii="Times New Roman" w:hAnsi="Times New Roman" w:cs="Times New Roman"/>
          <w:sz w:val="24"/>
          <w:szCs w:val="24"/>
        </w:rPr>
        <w:t>hidup</w:t>
      </w:r>
      <w:proofErr w:type="spellEnd"/>
      <w:r w:rsidR="00BC15D2" w:rsidRPr="007720BC">
        <w:rPr>
          <w:rStyle w:val="jlqj4b"/>
          <w:rFonts w:ascii="Times New Roman" w:hAnsi="Times New Roman" w:cs="Times New Roman"/>
          <w:sz w:val="24"/>
          <w:szCs w:val="24"/>
        </w:rPr>
        <w:t xml:space="preserve"> </w:t>
      </w:r>
      <w:proofErr w:type="spellStart"/>
      <w:r w:rsidR="00BC15D2" w:rsidRPr="007720BC">
        <w:rPr>
          <w:rStyle w:val="jlqj4b"/>
          <w:rFonts w:ascii="Times New Roman" w:hAnsi="Times New Roman" w:cs="Times New Roman"/>
          <w:sz w:val="24"/>
          <w:szCs w:val="24"/>
        </w:rPr>
        <w:t>sehat</w:t>
      </w:r>
      <w:proofErr w:type="spellEnd"/>
      <w:r w:rsidR="00BC15D2" w:rsidRPr="007720BC">
        <w:rPr>
          <w:rStyle w:val="jlqj4b"/>
          <w:rFonts w:ascii="Times New Roman" w:hAnsi="Times New Roman" w:cs="Times New Roman"/>
          <w:sz w:val="24"/>
          <w:szCs w:val="24"/>
        </w:rPr>
        <w:t xml:space="preserve"> </w:t>
      </w:r>
      <w:proofErr w:type="spellStart"/>
      <w:r w:rsidR="00C649E9" w:rsidRPr="007720BC">
        <w:rPr>
          <w:rStyle w:val="jlqj4b"/>
          <w:rFonts w:ascii="Times New Roman" w:hAnsi="Times New Roman" w:cs="Times New Roman"/>
          <w:sz w:val="24"/>
          <w:szCs w:val="24"/>
        </w:rPr>
        <w:t>m</w:t>
      </w:r>
      <w:r w:rsidR="00BC15D2" w:rsidRPr="007720BC">
        <w:rPr>
          <w:rStyle w:val="jlqj4b"/>
          <w:rFonts w:ascii="Times New Roman" w:hAnsi="Times New Roman" w:cs="Times New Roman"/>
          <w:sz w:val="24"/>
          <w:szCs w:val="24"/>
        </w:rPr>
        <w:t>asyarakat</w:t>
      </w:r>
      <w:proofErr w:type="spellEnd"/>
      <w:r w:rsidR="00BC15D2" w:rsidRPr="007720BC">
        <w:rPr>
          <w:rStyle w:val="jlqj4b"/>
          <w:rFonts w:ascii="Times New Roman" w:hAnsi="Times New Roman" w:cs="Times New Roman"/>
          <w:sz w:val="24"/>
          <w:szCs w:val="24"/>
        </w:rPr>
        <w:t xml:space="preserve"> dan </w:t>
      </w:r>
      <w:proofErr w:type="spellStart"/>
      <w:r w:rsidR="00BC15D2" w:rsidRPr="007720BC">
        <w:rPr>
          <w:rStyle w:val="jlqj4b"/>
          <w:rFonts w:ascii="Times New Roman" w:hAnsi="Times New Roman" w:cs="Times New Roman"/>
          <w:sz w:val="24"/>
          <w:szCs w:val="24"/>
        </w:rPr>
        <w:t>permasalahan</w:t>
      </w:r>
      <w:proofErr w:type="spellEnd"/>
      <w:r w:rsidR="00BC15D2" w:rsidRPr="007720BC">
        <w:rPr>
          <w:rStyle w:val="jlqj4b"/>
          <w:rFonts w:ascii="Times New Roman" w:hAnsi="Times New Roman" w:cs="Times New Roman"/>
          <w:sz w:val="24"/>
          <w:szCs w:val="24"/>
        </w:rPr>
        <w:t xml:space="preserve"> </w:t>
      </w:r>
      <w:proofErr w:type="spellStart"/>
      <w:r w:rsidR="00BC15D2" w:rsidRPr="007720BC">
        <w:rPr>
          <w:rStyle w:val="jlqj4b"/>
          <w:rFonts w:ascii="Times New Roman" w:hAnsi="Times New Roman" w:cs="Times New Roman"/>
          <w:sz w:val="24"/>
          <w:szCs w:val="24"/>
        </w:rPr>
        <w:t>kurangnya</w:t>
      </w:r>
      <w:proofErr w:type="spellEnd"/>
      <w:r w:rsidR="00BC15D2" w:rsidRPr="007720BC">
        <w:rPr>
          <w:rStyle w:val="jlqj4b"/>
          <w:rFonts w:ascii="Times New Roman" w:hAnsi="Times New Roman" w:cs="Times New Roman"/>
          <w:sz w:val="24"/>
          <w:szCs w:val="24"/>
        </w:rPr>
        <w:t xml:space="preserve"> </w:t>
      </w:r>
      <w:proofErr w:type="spellStart"/>
      <w:r w:rsidR="00BC15D2" w:rsidRPr="007720BC">
        <w:rPr>
          <w:rStyle w:val="jlqj4b"/>
          <w:rFonts w:ascii="Times New Roman" w:hAnsi="Times New Roman" w:cs="Times New Roman"/>
          <w:sz w:val="24"/>
          <w:szCs w:val="24"/>
        </w:rPr>
        <w:t>pemenuhan</w:t>
      </w:r>
      <w:proofErr w:type="spellEnd"/>
      <w:r w:rsidR="00BC15D2" w:rsidRPr="007720BC">
        <w:rPr>
          <w:rStyle w:val="jlqj4b"/>
          <w:rFonts w:ascii="Times New Roman" w:hAnsi="Times New Roman" w:cs="Times New Roman"/>
          <w:sz w:val="24"/>
          <w:szCs w:val="24"/>
        </w:rPr>
        <w:t xml:space="preserve"> </w:t>
      </w:r>
      <w:proofErr w:type="spellStart"/>
      <w:r w:rsidR="00BC15D2" w:rsidRPr="007720BC">
        <w:rPr>
          <w:rStyle w:val="jlqj4b"/>
          <w:rFonts w:ascii="Times New Roman" w:hAnsi="Times New Roman" w:cs="Times New Roman"/>
          <w:sz w:val="24"/>
          <w:szCs w:val="24"/>
        </w:rPr>
        <w:t>gizi</w:t>
      </w:r>
      <w:proofErr w:type="spellEnd"/>
      <w:r w:rsidR="00BC15D2" w:rsidRPr="007720BC">
        <w:rPr>
          <w:rStyle w:val="jlqj4b"/>
          <w:rFonts w:ascii="Times New Roman" w:hAnsi="Times New Roman" w:cs="Times New Roman"/>
          <w:sz w:val="24"/>
          <w:szCs w:val="24"/>
        </w:rPr>
        <w:t xml:space="preserve"> </w:t>
      </w:r>
      <w:proofErr w:type="spellStart"/>
      <w:r w:rsidR="00BC15D2" w:rsidRPr="007720BC">
        <w:rPr>
          <w:rStyle w:val="jlqj4b"/>
          <w:rFonts w:ascii="Times New Roman" w:hAnsi="Times New Roman" w:cs="Times New Roman"/>
          <w:sz w:val="24"/>
          <w:szCs w:val="24"/>
        </w:rPr>
        <w:t>bagi</w:t>
      </w:r>
      <w:proofErr w:type="spellEnd"/>
      <w:r w:rsidR="00BC15D2" w:rsidRPr="007720BC">
        <w:rPr>
          <w:rStyle w:val="jlqj4b"/>
          <w:rFonts w:ascii="Times New Roman" w:hAnsi="Times New Roman" w:cs="Times New Roman"/>
          <w:sz w:val="24"/>
          <w:szCs w:val="24"/>
        </w:rPr>
        <w:t xml:space="preserve"> </w:t>
      </w:r>
      <w:proofErr w:type="spellStart"/>
      <w:r w:rsidR="00BC15D2" w:rsidRPr="007720BC">
        <w:rPr>
          <w:rStyle w:val="jlqj4b"/>
          <w:rFonts w:ascii="Times New Roman" w:hAnsi="Times New Roman" w:cs="Times New Roman"/>
          <w:sz w:val="24"/>
          <w:szCs w:val="24"/>
        </w:rPr>
        <w:t>keluarga</w:t>
      </w:r>
      <w:proofErr w:type="spellEnd"/>
      <w:r w:rsidR="00BC15D2" w:rsidRPr="007720BC">
        <w:rPr>
          <w:rStyle w:val="jlqj4b"/>
          <w:rFonts w:ascii="Times New Roman" w:hAnsi="Times New Roman" w:cs="Times New Roman"/>
          <w:sz w:val="24"/>
          <w:szCs w:val="24"/>
        </w:rPr>
        <w:t>.</w:t>
      </w:r>
      <w:r w:rsidR="000459C2" w:rsidRPr="007720BC">
        <w:rPr>
          <w:rStyle w:val="jlqj4b"/>
          <w:rFonts w:ascii="Times New Roman" w:hAnsi="Times New Roman" w:cs="Times New Roman"/>
          <w:sz w:val="24"/>
          <w:szCs w:val="24"/>
        </w:rPr>
        <w:t xml:space="preserve"> </w:t>
      </w:r>
      <w:r w:rsidRPr="007720BC">
        <w:rPr>
          <w:rFonts w:ascii="Times New Roman" w:hAnsi="Times New Roman" w:cs="Times New Roman"/>
          <w:sz w:val="24"/>
          <w:szCs w:val="24"/>
        </w:rPr>
        <w:t xml:space="preserve">Dari </w:t>
      </w:r>
      <w:proofErr w:type="spellStart"/>
      <w:r w:rsidRPr="007720BC">
        <w:rPr>
          <w:rFonts w:ascii="Times New Roman" w:hAnsi="Times New Roman" w:cs="Times New Roman"/>
          <w:sz w:val="24"/>
          <w:szCs w:val="24"/>
        </w:rPr>
        <w:t>beberapa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bukti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penelitian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terdahulu</w:t>
      </w:r>
      <w:proofErr w:type="spellEnd"/>
      <w:r w:rsidRPr="007720BC">
        <w:rPr>
          <w:rFonts w:ascii="Times New Roman" w:hAnsi="Times New Roman" w:cs="Times New Roman"/>
          <w:sz w:val="24"/>
          <w:szCs w:val="24"/>
        </w:rPr>
        <w:t xml:space="preserve"> yang </w:t>
      </w:r>
      <w:proofErr w:type="spellStart"/>
      <w:r w:rsidRPr="007720BC">
        <w:rPr>
          <w:rFonts w:ascii="Times New Roman" w:hAnsi="Times New Roman" w:cs="Times New Roman"/>
          <w:sz w:val="24"/>
          <w:szCs w:val="24"/>
        </w:rPr>
        <w:t>telah</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diuraikan</w:t>
      </w:r>
      <w:proofErr w:type="spellEnd"/>
      <w:r w:rsidRPr="007720BC">
        <w:rPr>
          <w:rFonts w:ascii="Times New Roman" w:hAnsi="Times New Roman" w:cs="Times New Roman"/>
          <w:sz w:val="24"/>
          <w:szCs w:val="24"/>
        </w:rPr>
        <w:t xml:space="preserve"> di </w:t>
      </w:r>
      <w:proofErr w:type="spellStart"/>
      <w:r w:rsidRPr="007720BC">
        <w:rPr>
          <w:rFonts w:ascii="Times New Roman" w:hAnsi="Times New Roman" w:cs="Times New Roman"/>
          <w:sz w:val="24"/>
          <w:szCs w:val="24"/>
        </w:rPr>
        <w:t>atas</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masih</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terdapat</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aspek</w:t>
      </w:r>
      <w:proofErr w:type="spellEnd"/>
      <w:r w:rsidRPr="007720BC">
        <w:rPr>
          <w:rFonts w:ascii="Times New Roman" w:hAnsi="Times New Roman" w:cs="Times New Roman"/>
          <w:sz w:val="24"/>
          <w:szCs w:val="24"/>
        </w:rPr>
        <w:t xml:space="preserve"> yang </w:t>
      </w:r>
      <w:proofErr w:type="spellStart"/>
      <w:r w:rsidRPr="007720BC">
        <w:rPr>
          <w:rFonts w:ascii="Times New Roman" w:hAnsi="Times New Roman" w:cs="Times New Roman"/>
          <w:sz w:val="24"/>
          <w:szCs w:val="24"/>
        </w:rPr>
        <w:t>belum</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mendapatkan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perhatian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yaitu</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keefektivan</w:t>
      </w:r>
      <w:proofErr w:type="spellEnd"/>
      <w:r w:rsidRPr="007720BC">
        <w:rPr>
          <w:rFonts w:ascii="Times New Roman" w:hAnsi="Times New Roman" w:cs="Times New Roman"/>
          <w:sz w:val="24"/>
          <w:szCs w:val="24"/>
        </w:rPr>
        <w:t xml:space="preserve"> </w:t>
      </w:r>
      <w:r w:rsidR="00BC15D2" w:rsidRPr="007720BC">
        <w:rPr>
          <w:rFonts w:ascii="Times New Roman" w:hAnsi="Times New Roman" w:cs="Times New Roman"/>
          <w:sz w:val="24"/>
          <w:szCs w:val="24"/>
        </w:rPr>
        <w:t>program Kampung KB</w:t>
      </w:r>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terutama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dalam</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perspektif</w:t>
      </w:r>
      <w:proofErr w:type="spellEnd"/>
      <w:r w:rsidRPr="007720BC">
        <w:rPr>
          <w:rFonts w:ascii="Times New Roman" w:hAnsi="Times New Roman" w:cs="Times New Roman"/>
          <w:sz w:val="24"/>
          <w:szCs w:val="24"/>
        </w:rPr>
        <w:t xml:space="preserve"> </w:t>
      </w:r>
      <w:proofErr w:type="spellStart"/>
      <w:r w:rsidR="00BC15D2" w:rsidRPr="007720BC">
        <w:rPr>
          <w:rFonts w:ascii="Times New Roman" w:hAnsi="Times New Roman" w:cs="Times New Roman"/>
          <w:sz w:val="24"/>
          <w:szCs w:val="24"/>
        </w:rPr>
        <w:t>perubahan</w:t>
      </w:r>
      <w:proofErr w:type="spellEnd"/>
      <w:r w:rsidR="00BC15D2" w:rsidRPr="007720BC">
        <w:rPr>
          <w:rFonts w:ascii="Times New Roman" w:hAnsi="Times New Roman" w:cs="Times New Roman"/>
          <w:sz w:val="24"/>
          <w:szCs w:val="24"/>
        </w:rPr>
        <w:t xml:space="preserve"> </w:t>
      </w:r>
      <w:proofErr w:type="spellStart"/>
      <w:r w:rsidR="00BC15D2" w:rsidRPr="007720BC">
        <w:rPr>
          <w:rFonts w:ascii="Times New Roman" w:hAnsi="Times New Roman" w:cs="Times New Roman"/>
          <w:sz w:val="24"/>
          <w:szCs w:val="24"/>
        </w:rPr>
        <w:t>perilaku</w:t>
      </w:r>
      <w:proofErr w:type="spellEnd"/>
      <w:r w:rsidR="00BC15D2" w:rsidRPr="007720BC">
        <w:rPr>
          <w:rFonts w:ascii="Times New Roman" w:hAnsi="Times New Roman" w:cs="Times New Roman"/>
          <w:sz w:val="24"/>
          <w:szCs w:val="24"/>
        </w:rPr>
        <w:t xml:space="preserve"> </w:t>
      </w:r>
      <w:proofErr w:type="spellStart"/>
      <w:r w:rsidR="00BC15D2" w:rsidRPr="007720BC">
        <w:rPr>
          <w:rFonts w:ascii="Times New Roman" w:hAnsi="Times New Roman" w:cs="Times New Roman"/>
          <w:sz w:val="24"/>
          <w:szCs w:val="24"/>
        </w:rPr>
        <w:t>masyarakat</w:t>
      </w:r>
      <w:proofErr w:type="spellEnd"/>
      <w:r w:rsidR="00BC15D2" w:rsidRPr="007720BC">
        <w:rPr>
          <w:rFonts w:ascii="Times New Roman" w:hAnsi="Times New Roman" w:cs="Times New Roman"/>
          <w:sz w:val="24"/>
          <w:szCs w:val="24"/>
        </w:rPr>
        <w:t xml:space="preserve"> </w:t>
      </w:r>
      <w:r w:rsidR="009F5354" w:rsidRPr="007720BC">
        <w:rPr>
          <w:rFonts w:ascii="Times New Roman" w:hAnsi="Times New Roman" w:cs="Times New Roman"/>
          <w:sz w:val="24"/>
          <w:szCs w:val="24"/>
        </w:rPr>
        <w:t xml:space="preserve">yang </w:t>
      </w:r>
      <w:proofErr w:type="spellStart"/>
      <w:r w:rsidR="009F5354" w:rsidRPr="007720BC">
        <w:rPr>
          <w:rFonts w:ascii="Times New Roman" w:hAnsi="Times New Roman" w:cs="Times New Roman"/>
          <w:sz w:val="24"/>
          <w:szCs w:val="24"/>
        </w:rPr>
        <w:t>diingi</w:t>
      </w:r>
      <w:r w:rsidR="00BC15D2" w:rsidRPr="007720BC">
        <w:rPr>
          <w:rStyle w:val="jlqj4b"/>
          <w:rFonts w:ascii="Times New Roman" w:hAnsi="Times New Roman" w:cs="Times New Roman"/>
          <w:sz w:val="24"/>
          <w:szCs w:val="24"/>
        </w:rPr>
        <w:t>nkan</w:t>
      </w:r>
      <w:proofErr w:type="spellEnd"/>
      <w:r w:rsidR="0084284E" w:rsidRPr="007720BC">
        <w:rPr>
          <w:rStyle w:val="jlqj4b"/>
          <w:rFonts w:ascii="Times New Roman" w:hAnsi="Times New Roman" w:cs="Times New Roman"/>
          <w:sz w:val="24"/>
          <w:szCs w:val="24"/>
        </w:rPr>
        <w:t xml:space="preserve">. </w:t>
      </w:r>
      <w:r w:rsidRPr="007720BC">
        <w:rPr>
          <w:rFonts w:ascii="Times New Roman" w:hAnsi="Times New Roman" w:cs="Times New Roman"/>
          <w:sz w:val="24"/>
          <w:szCs w:val="24"/>
        </w:rPr>
        <w:t xml:space="preserve">Hal </w:t>
      </w:r>
      <w:proofErr w:type="spellStart"/>
      <w:r w:rsidRPr="007720BC">
        <w:rPr>
          <w:rFonts w:ascii="Times New Roman" w:hAnsi="Times New Roman" w:cs="Times New Roman"/>
          <w:sz w:val="24"/>
          <w:szCs w:val="24"/>
        </w:rPr>
        <w:t>ini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penting</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untuk</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di</w:t>
      </w:r>
      <w:r w:rsidR="009F5354" w:rsidRPr="007720BC">
        <w:rPr>
          <w:rFonts w:ascii="Times New Roman" w:hAnsi="Times New Roman" w:cs="Times New Roman"/>
          <w:sz w:val="24"/>
          <w:szCs w:val="24"/>
        </w:rPr>
        <w:t>bahas</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karena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dengan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menilai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tingkat</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efektivitas</w:t>
      </w:r>
      <w:proofErr w:type="spellEnd"/>
      <w:r w:rsidRPr="007720BC">
        <w:rPr>
          <w:rFonts w:ascii="Times New Roman" w:hAnsi="Times New Roman" w:cs="Times New Roman"/>
          <w:sz w:val="24"/>
          <w:szCs w:val="24"/>
        </w:rPr>
        <w:t xml:space="preserve"> </w:t>
      </w:r>
      <w:proofErr w:type="spellStart"/>
      <w:r w:rsidR="0084284E" w:rsidRPr="007720BC">
        <w:rPr>
          <w:rFonts w:ascii="Times New Roman" w:hAnsi="Times New Roman" w:cs="Times New Roman"/>
          <w:sz w:val="24"/>
          <w:szCs w:val="24"/>
        </w:rPr>
        <w:t>implementasi</w:t>
      </w:r>
      <w:proofErr w:type="spellEnd"/>
      <w:r w:rsidR="0084284E" w:rsidRPr="007720BC">
        <w:rPr>
          <w:rFonts w:ascii="Times New Roman" w:hAnsi="Times New Roman" w:cs="Times New Roman"/>
          <w:sz w:val="24"/>
          <w:szCs w:val="24"/>
        </w:rPr>
        <w:t xml:space="preserve"> </w:t>
      </w:r>
      <w:proofErr w:type="spellStart"/>
      <w:r w:rsidR="0084284E" w:rsidRPr="007720BC">
        <w:rPr>
          <w:rFonts w:ascii="Times New Roman" w:hAnsi="Times New Roman" w:cs="Times New Roman"/>
          <w:sz w:val="24"/>
          <w:szCs w:val="24"/>
        </w:rPr>
        <w:t>kebijakan</w:t>
      </w:r>
      <w:proofErr w:type="spellEnd"/>
      <w:r w:rsidR="0084284E"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maka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kualitas</w:t>
      </w:r>
      <w:proofErr w:type="spellEnd"/>
      <w:r w:rsidRPr="007720BC">
        <w:rPr>
          <w:rFonts w:ascii="Times New Roman" w:hAnsi="Times New Roman" w:cs="Times New Roman"/>
          <w:sz w:val="24"/>
          <w:szCs w:val="24"/>
        </w:rPr>
        <w:t xml:space="preserve"> </w:t>
      </w:r>
      <w:r w:rsidR="00BC15D2" w:rsidRPr="007720BC">
        <w:rPr>
          <w:rFonts w:ascii="Times New Roman" w:hAnsi="Times New Roman" w:cs="Times New Roman"/>
          <w:sz w:val="24"/>
          <w:szCs w:val="24"/>
        </w:rPr>
        <w:t xml:space="preserve">Kampung KB </w:t>
      </w:r>
      <w:proofErr w:type="spellStart"/>
      <w:r w:rsidRPr="007720BC">
        <w:rPr>
          <w:rFonts w:ascii="Times New Roman" w:hAnsi="Times New Roman" w:cs="Times New Roman"/>
          <w:sz w:val="24"/>
          <w:szCs w:val="24"/>
        </w:rPr>
        <w:t>termasuk</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keberhasilan</w:t>
      </w:r>
      <w:proofErr w:type="spellEnd"/>
      <w:r w:rsidRPr="007720BC">
        <w:rPr>
          <w:rFonts w:ascii="Times New Roman" w:hAnsi="Times New Roman" w:cs="Times New Roman"/>
          <w:sz w:val="24"/>
          <w:szCs w:val="24"/>
        </w:rPr>
        <w:t xml:space="preserve"> dan </w:t>
      </w:r>
      <w:proofErr w:type="spellStart"/>
      <w:r w:rsidRPr="007720BC">
        <w:rPr>
          <w:rFonts w:ascii="Times New Roman" w:hAnsi="Times New Roman" w:cs="Times New Roman"/>
          <w:sz w:val="24"/>
          <w:szCs w:val="24"/>
        </w:rPr>
        <w:t>kegagalan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serta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dampaknya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bagi</w:t>
      </w:r>
      <w:proofErr w:type="spellEnd"/>
      <w:r w:rsidRPr="007720BC">
        <w:rPr>
          <w:rFonts w:ascii="Times New Roman" w:hAnsi="Times New Roman" w:cs="Times New Roman"/>
          <w:sz w:val="24"/>
          <w:szCs w:val="24"/>
        </w:rPr>
        <w:t xml:space="preserve"> </w:t>
      </w:r>
      <w:proofErr w:type="spellStart"/>
      <w:r w:rsidR="00BC15D2" w:rsidRPr="007720BC">
        <w:rPr>
          <w:rFonts w:ascii="Times New Roman" w:hAnsi="Times New Roman" w:cs="Times New Roman"/>
          <w:sz w:val="24"/>
          <w:szCs w:val="24"/>
        </w:rPr>
        <w:t>masyarakat</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dapat</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diketahui</w:t>
      </w:r>
      <w:proofErr w:type="spellEnd"/>
      <w:r w:rsidRPr="007720BC">
        <w:rPr>
          <w:rFonts w:ascii="Times New Roman" w:hAnsi="Times New Roman" w:cs="Times New Roman"/>
          <w:sz w:val="24"/>
          <w:szCs w:val="24"/>
        </w:rPr>
        <w:t>.</w:t>
      </w:r>
      <w:r w:rsidR="009F5354" w:rsidRPr="007720BC">
        <w:rPr>
          <w:rFonts w:ascii="Times New Roman" w:hAnsi="Times New Roman" w:cs="Times New Roman"/>
          <w:sz w:val="24"/>
          <w:szCs w:val="24"/>
        </w:rPr>
        <w:t xml:space="preserve"> </w:t>
      </w:r>
    </w:p>
    <w:p w14:paraId="6516E47A" w14:textId="78FBC0F0" w:rsidR="00CE2353" w:rsidRPr="007720BC" w:rsidRDefault="009F5354" w:rsidP="00CB2900">
      <w:pPr>
        <w:spacing w:after="0" w:line="240" w:lineRule="auto"/>
        <w:ind w:firstLine="720"/>
        <w:contextualSpacing/>
        <w:jc w:val="both"/>
        <w:rPr>
          <w:rStyle w:val="jlqj4b"/>
          <w:rFonts w:ascii="Times New Roman" w:hAnsi="Times New Roman" w:cs="Times New Roman"/>
          <w:sz w:val="24"/>
          <w:szCs w:val="24"/>
        </w:rPr>
      </w:pPr>
      <w:r w:rsidRPr="007720BC">
        <w:rPr>
          <w:rStyle w:val="rynqvb"/>
          <w:rFonts w:ascii="Times New Roman" w:hAnsi="Times New Roman" w:cs="Times New Roman"/>
          <w:sz w:val="24"/>
          <w:szCs w:val="24"/>
          <w:lang w:val="id-ID"/>
        </w:rPr>
        <w:t>Efektivitas kebijakan dapat dipahami pada tiga</w:t>
      </w:r>
      <w:r w:rsidR="00285873" w:rsidRPr="007720BC">
        <w:rPr>
          <w:rStyle w:val="rynqvb"/>
          <w:rFonts w:ascii="Times New Roman" w:hAnsi="Times New Roman" w:cs="Times New Roman"/>
          <w:sz w:val="24"/>
          <w:szCs w:val="24"/>
          <w:lang w:val="en-US"/>
        </w:rPr>
        <w:t xml:space="preserve"> </w:t>
      </w:r>
      <w:proofErr w:type="spellStart"/>
      <w:r w:rsidR="00285873" w:rsidRPr="007720BC">
        <w:rPr>
          <w:rStyle w:val="rynqvb"/>
          <w:rFonts w:ascii="Times New Roman" w:hAnsi="Times New Roman" w:cs="Times New Roman"/>
          <w:sz w:val="24"/>
          <w:szCs w:val="24"/>
          <w:lang w:val="en-US"/>
        </w:rPr>
        <w:t>aspek</w:t>
      </w:r>
      <w:proofErr w:type="spellEnd"/>
      <w:r w:rsidR="00CE2353" w:rsidRPr="007720BC">
        <w:rPr>
          <w:rStyle w:val="rynqvb"/>
          <w:rFonts w:ascii="Times New Roman" w:hAnsi="Times New Roman" w:cs="Times New Roman"/>
          <w:sz w:val="24"/>
          <w:szCs w:val="24"/>
          <w:lang w:val="en-US"/>
        </w:rPr>
        <w:t xml:space="preserve"> </w:t>
      </w:r>
      <w:r w:rsidR="00CE2353" w:rsidRPr="007720BC">
        <w:rPr>
          <w:rStyle w:val="rynqvb"/>
          <w:rFonts w:ascii="Times New Roman" w:hAnsi="Times New Roman" w:cs="Times New Roman"/>
          <w:sz w:val="24"/>
          <w:szCs w:val="24"/>
          <w:lang w:val="en-US"/>
        </w:rPr>
        <w:fldChar w:fldCharType="begin" w:fldLock="1"/>
      </w:r>
      <w:r w:rsidR="00CE2353" w:rsidRPr="007720BC">
        <w:rPr>
          <w:rStyle w:val="rynqvb"/>
          <w:rFonts w:ascii="Times New Roman" w:hAnsi="Times New Roman" w:cs="Times New Roman"/>
          <w:sz w:val="24"/>
          <w:szCs w:val="24"/>
          <w:lang w:val="en-US"/>
        </w:rPr>
        <w:instrText>ADDIN CSL_CITATION {"citationItems":[{"id":"ITEM-1","itemData":{"DOI":"10.1017/9781108555081","ISBN":"9781108555081","abstract":"Previous studies have shown that self-efficacy and job satisfaction become critical factors that motivate educators to become productive in their career, and promote organizational excellence in education. However, changes in education policies resulting the teachers to have high workload in the workplace. This is a correlational research, and carried out to identify the relationship between workload and self-efficacy and job satisfaction among lecturers at vocational colleges. A total of 373 questionnaires containing 60 items were collected from the lecturers from 15 vocational colleges which were selected using cluster random sampling technique. Data was analyzed using SPSS version 22. Data were analyzed using t-test, ANOVA and Pearson-r correlation. Results showed that the workload of the lecturers at vocational colleges are at a high level (mean = 3.73), self-efficacy remained at a high level (mean = 3.81) and job satisfaction lecturer at the medium level (mean = 3.57). Based on the analysis, it was found that the workload significantly correlated with self-efficacy and job satisfaction in a negative direction and the strength of the relationship is at the low level. Self-efficacy was found to have a significant relationship with job satisfaction and the strength of the relationship is at the medium level. Keywords: Work load; self efficacy; job satisfaction; technical and vocational education","author":[{"dropping-particle":"","family":"Peters","given":"B. Guy","non-dropping-particle":"","parse-names":false,"suffix":""},{"dropping-particle":"","family":"Capano","given":"Giliberto","non-dropping-particle":"","parse-names":false,"suffix":""},{"dropping-particle":"","family":"Howlett","given":"Michael","non-dropping-particle":"","parse-names":false,"suffix":""},{"dropping-particle":"","family":"Mukherjee","given":"Ishani","non-dropping-particle":"","parse-names":false,"suffix":""},{"dropping-particle":"","family":"Chou","given":"Meng-Hsuan","non-dropping-particle":"","parse-names":false,"suffix":""},{"dropping-particle":"","family":"Ravinet","given":"Pauline","non-dropping-particle":"","parse-names":false,"suffix":""}],"container-title":"Designing for Policy Effectiveness","id":"ITEM-1","issue":"March","issued":{"date-parts":[["2018"]]},"title":"Designing for Policy Effectiveness","type":"article-journal"},"uris":["http://www.mendeley.com/documents/?uuid=8c0f94de-56f3-4881-84f8-ca17531e2dda"]}],"mendeley":{"formattedCitation":"(Peters et al. 2018)","plainTextFormattedCitation":"(Peters et al. 2018)","previouslyFormattedCitation":"(Peters et al. 2018)"},"properties":{"noteIndex":0},"schema":"https://github.com/citation-style-language/schema/raw/master/csl-citation.json"}</w:instrText>
      </w:r>
      <w:r w:rsidR="00CE2353" w:rsidRPr="007720BC">
        <w:rPr>
          <w:rStyle w:val="rynqvb"/>
          <w:rFonts w:ascii="Times New Roman" w:hAnsi="Times New Roman" w:cs="Times New Roman"/>
          <w:sz w:val="24"/>
          <w:szCs w:val="24"/>
          <w:lang w:val="en-US"/>
        </w:rPr>
        <w:fldChar w:fldCharType="separate"/>
      </w:r>
      <w:r w:rsidR="00CE2353" w:rsidRPr="007720BC">
        <w:rPr>
          <w:rStyle w:val="rynqvb"/>
          <w:rFonts w:ascii="Times New Roman" w:hAnsi="Times New Roman" w:cs="Times New Roman"/>
          <w:noProof/>
          <w:sz w:val="24"/>
          <w:szCs w:val="24"/>
          <w:lang w:val="en-US"/>
        </w:rPr>
        <w:t>(Peters et al. 2018)</w:t>
      </w:r>
      <w:r w:rsidR="00CE2353" w:rsidRPr="007720BC">
        <w:rPr>
          <w:rStyle w:val="rynqvb"/>
          <w:rFonts w:ascii="Times New Roman" w:hAnsi="Times New Roman" w:cs="Times New Roman"/>
          <w:sz w:val="24"/>
          <w:szCs w:val="24"/>
          <w:lang w:val="en-US"/>
        </w:rPr>
        <w:fldChar w:fldCharType="end"/>
      </w:r>
      <w:r w:rsidR="00A8371F" w:rsidRPr="007720BC">
        <w:rPr>
          <w:rStyle w:val="rynqvb"/>
          <w:rFonts w:ascii="Times New Roman" w:hAnsi="Times New Roman" w:cs="Times New Roman"/>
          <w:sz w:val="24"/>
          <w:szCs w:val="24"/>
          <w:lang w:val="en-US"/>
        </w:rPr>
        <w:t>, p</w:t>
      </w:r>
      <w:r w:rsidRPr="007720BC">
        <w:rPr>
          <w:rStyle w:val="rynqvb"/>
          <w:rFonts w:ascii="Times New Roman" w:hAnsi="Times New Roman" w:cs="Times New Roman"/>
          <w:sz w:val="24"/>
          <w:szCs w:val="24"/>
          <w:lang w:val="id-ID"/>
        </w:rPr>
        <w:t xml:space="preserve">ertama </w:t>
      </w:r>
      <w:proofErr w:type="spellStart"/>
      <w:r w:rsidR="00285873" w:rsidRPr="007720BC">
        <w:rPr>
          <w:rStyle w:val="rynqvb"/>
          <w:rFonts w:ascii="Times New Roman" w:hAnsi="Times New Roman" w:cs="Times New Roman"/>
          <w:sz w:val="24"/>
          <w:szCs w:val="24"/>
          <w:lang w:val="en-US"/>
        </w:rPr>
        <w:t>berkaitan</w:t>
      </w:r>
      <w:proofErr w:type="spellEnd"/>
      <w:r w:rsidRPr="007720BC">
        <w:rPr>
          <w:rStyle w:val="rynqvb"/>
          <w:rFonts w:ascii="Times New Roman" w:hAnsi="Times New Roman" w:cs="Times New Roman"/>
          <w:sz w:val="24"/>
          <w:szCs w:val="24"/>
          <w:lang w:val="id-ID"/>
        </w:rPr>
        <w:t xml:space="preserve"> dengan menciptakan ruang desain yang kondusif atau lingkungan perumusan kebijakan</w:t>
      </w:r>
      <w:r w:rsidR="00285873" w:rsidRPr="007720BC">
        <w:rPr>
          <w:rStyle w:val="rynqvb"/>
          <w:rFonts w:ascii="Times New Roman" w:hAnsi="Times New Roman" w:cs="Times New Roman"/>
          <w:sz w:val="24"/>
          <w:szCs w:val="24"/>
          <w:lang w:val="en-US"/>
        </w:rPr>
        <w:t xml:space="preserve"> </w:t>
      </w:r>
      <w:r w:rsidRPr="007720BC">
        <w:rPr>
          <w:rStyle w:val="rynqvb"/>
          <w:rFonts w:ascii="Times New Roman" w:hAnsi="Times New Roman" w:cs="Times New Roman"/>
          <w:sz w:val="24"/>
          <w:szCs w:val="24"/>
          <w:lang w:val="id-ID"/>
        </w:rPr>
        <w:t xml:space="preserve">yang memungkinkan terjadinya desain kebijakan yang efektif </w:t>
      </w:r>
      <w:r w:rsidR="00CE2353" w:rsidRPr="007720BC">
        <w:rPr>
          <w:rStyle w:val="rynqvb"/>
          <w:rFonts w:ascii="Times New Roman" w:hAnsi="Times New Roman" w:cs="Times New Roman"/>
          <w:sz w:val="24"/>
          <w:szCs w:val="24"/>
          <w:lang w:val="id-ID"/>
        </w:rPr>
        <w:fldChar w:fldCharType="begin" w:fldLock="1"/>
      </w:r>
      <w:r w:rsidR="00264FD9" w:rsidRPr="007720BC">
        <w:rPr>
          <w:rStyle w:val="rynqvb"/>
          <w:rFonts w:ascii="Times New Roman" w:hAnsi="Times New Roman" w:cs="Times New Roman"/>
          <w:sz w:val="24"/>
          <w:szCs w:val="24"/>
          <w:lang w:val="id-ID"/>
        </w:rPr>
        <w:instrText>ADDIN CSL_CITATION {"citationItems":[{"id":"ITEM-1","itemData":{"ISBN":"9781315619880","author":[{"dropping-particle":"","family":"Howlett","given":"Michael","non-dropping-particle":"","parse-names":false,"suffix":""},{"dropping-particle":"","family":"Mukherjee","given":"Ishani","non-dropping-particle":"","parse-names":false,"suffix":""}],"id":"ITEM-1","issued":{"date-parts":[["2018"]]},"number-of-pages":"1-456","publisher":"Routledge - Taylor &amp; Francis Group New York and London","title":"Routledge Handbook of Policy Design","type":"book"},"uris":["http://www.mendeley.com/documents/?uuid=33dca36c-c739-40f0-88cf-85ba1092ba63"]}],"mendeley":{"formattedCitation":"(Howlett dan Mukherjee 2018)","plainTextFormattedCitation":"(Howlett dan Mukherjee 2018)","previouslyFormattedCitation":"(Howlett dan Mukherjee 2018)"},"properties":{"noteIndex":0},"schema":"https://github.com/citation-style-language/schema/raw/master/csl-citation.json"}</w:instrText>
      </w:r>
      <w:r w:rsidR="00CE2353" w:rsidRPr="007720BC">
        <w:rPr>
          <w:rStyle w:val="rynqvb"/>
          <w:rFonts w:ascii="Times New Roman" w:hAnsi="Times New Roman" w:cs="Times New Roman"/>
          <w:sz w:val="24"/>
          <w:szCs w:val="24"/>
          <w:lang w:val="id-ID"/>
        </w:rPr>
        <w:fldChar w:fldCharType="separate"/>
      </w:r>
      <w:r w:rsidR="00CE2353" w:rsidRPr="007720BC">
        <w:rPr>
          <w:rStyle w:val="rynqvb"/>
          <w:rFonts w:ascii="Times New Roman" w:hAnsi="Times New Roman" w:cs="Times New Roman"/>
          <w:noProof/>
          <w:sz w:val="24"/>
          <w:szCs w:val="24"/>
          <w:lang w:val="id-ID"/>
        </w:rPr>
        <w:t>(Howlett dan Mukherjee 2018)</w:t>
      </w:r>
      <w:r w:rsidR="00CE2353" w:rsidRPr="007720BC">
        <w:rPr>
          <w:rStyle w:val="rynqvb"/>
          <w:rFonts w:ascii="Times New Roman" w:hAnsi="Times New Roman" w:cs="Times New Roman"/>
          <w:sz w:val="24"/>
          <w:szCs w:val="24"/>
          <w:lang w:val="id-ID"/>
        </w:rPr>
        <w:fldChar w:fldCharType="end"/>
      </w:r>
      <w:r w:rsidR="00A8371F" w:rsidRPr="007720BC">
        <w:rPr>
          <w:rStyle w:val="rynqvb"/>
          <w:rFonts w:ascii="Times New Roman" w:hAnsi="Times New Roman" w:cs="Times New Roman"/>
          <w:sz w:val="24"/>
          <w:szCs w:val="24"/>
          <w:lang w:val="en-US"/>
        </w:rPr>
        <w:t xml:space="preserve">, </w:t>
      </w:r>
      <w:proofErr w:type="spellStart"/>
      <w:r w:rsidR="00A8371F" w:rsidRPr="007720BC">
        <w:rPr>
          <w:rStyle w:val="rynqvb"/>
          <w:rFonts w:ascii="Times New Roman" w:hAnsi="Times New Roman" w:cs="Times New Roman"/>
          <w:sz w:val="24"/>
          <w:szCs w:val="24"/>
          <w:lang w:val="en-US"/>
        </w:rPr>
        <w:t>kemudian</w:t>
      </w:r>
      <w:proofErr w:type="spellEnd"/>
      <w:r w:rsidR="00A8371F" w:rsidRPr="007720BC">
        <w:rPr>
          <w:rStyle w:val="rynqvb"/>
          <w:rFonts w:ascii="Times New Roman" w:hAnsi="Times New Roman" w:cs="Times New Roman"/>
          <w:sz w:val="24"/>
          <w:szCs w:val="24"/>
          <w:lang w:val="en-US"/>
        </w:rPr>
        <w:t xml:space="preserve"> k</w:t>
      </w:r>
      <w:r w:rsidRPr="007720BC">
        <w:rPr>
          <w:rStyle w:val="rynqvb"/>
          <w:rFonts w:ascii="Times New Roman" w:hAnsi="Times New Roman" w:cs="Times New Roman"/>
          <w:sz w:val="24"/>
          <w:szCs w:val="24"/>
          <w:lang w:val="id-ID"/>
        </w:rPr>
        <w:t xml:space="preserve">edua mengacu pada pengembangan bauran kebijakan yang efektif </w:t>
      </w:r>
      <w:r w:rsidR="00285873" w:rsidRPr="007720BC">
        <w:rPr>
          <w:rStyle w:val="rynqvb"/>
          <w:rFonts w:ascii="Times New Roman" w:hAnsi="Times New Roman" w:cs="Times New Roman"/>
          <w:sz w:val="24"/>
          <w:szCs w:val="24"/>
          <w:lang w:val="en-US"/>
        </w:rPr>
        <w:t xml:space="preserve">dan </w:t>
      </w:r>
      <w:r w:rsidRPr="007720BC">
        <w:rPr>
          <w:rStyle w:val="rynqvb"/>
          <w:rFonts w:ascii="Times New Roman" w:hAnsi="Times New Roman" w:cs="Times New Roman"/>
          <w:sz w:val="24"/>
          <w:szCs w:val="24"/>
          <w:lang w:val="id-ID"/>
        </w:rPr>
        <w:t>mampu mengatasi masalah, dan yang ketiga melibatkan penerapan instrumen kebijakan individual secara efektif.</w:t>
      </w:r>
      <w:r w:rsidR="00CE2353" w:rsidRPr="007720BC">
        <w:rPr>
          <w:rStyle w:val="rynqvb"/>
          <w:rFonts w:ascii="Times New Roman" w:hAnsi="Times New Roman" w:cs="Times New Roman"/>
          <w:sz w:val="24"/>
          <w:szCs w:val="24"/>
          <w:lang w:val="en-US"/>
        </w:rPr>
        <w:t xml:space="preserve"> </w:t>
      </w:r>
      <w:proofErr w:type="spellStart"/>
      <w:r w:rsidR="00BC15D2" w:rsidRPr="007720BC">
        <w:rPr>
          <w:rFonts w:ascii="Times New Roman" w:hAnsi="Times New Roman" w:cs="Times New Roman"/>
          <w:sz w:val="24"/>
          <w:szCs w:val="24"/>
        </w:rPr>
        <w:t>Menurut</w:t>
      </w:r>
      <w:proofErr w:type="spellEnd"/>
      <w:r w:rsidR="00A8371F" w:rsidRPr="007720BC">
        <w:rPr>
          <w:rFonts w:ascii="Times New Roman" w:hAnsi="Times New Roman" w:cs="Times New Roman"/>
          <w:sz w:val="24"/>
          <w:szCs w:val="24"/>
        </w:rPr>
        <w:t xml:space="preserve"> Sanford dan Moulton</w:t>
      </w:r>
      <w:r w:rsidR="00BC15D2" w:rsidRPr="007720BC">
        <w:rPr>
          <w:rFonts w:ascii="Times New Roman" w:hAnsi="Times New Roman" w:cs="Times New Roman"/>
          <w:sz w:val="24"/>
          <w:szCs w:val="24"/>
        </w:rPr>
        <w:t xml:space="preserve"> </w:t>
      </w:r>
      <w:r w:rsidR="00BC15D2" w:rsidRPr="007720BC">
        <w:rPr>
          <w:rStyle w:val="jlqj4b"/>
          <w:rFonts w:ascii="Times New Roman" w:hAnsi="Times New Roman" w:cs="Times New Roman"/>
          <w:sz w:val="24"/>
          <w:szCs w:val="24"/>
        </w:rPr>
        <w:fldChar w:fldCharType="begin" w:fldLock="1"/>
      </w:r>
      <w:r w:rsidR="00A8371F" w:rsidRPr="007720BC">
        <w:rPr>
          <w:rStyle w:val="jlqj4b"/>
          <w:rFonts w:ascii="Times New Roman" w:hAnsi="Times New Roman" w:cs="Times New Roman"/>
          <w:sz w:val="24"/>
          <w:szCs w:val="24"/>
        </w:rPr>
        <w:instrText>ADDIN CSL_CITATION {"citationItems":[{"id":"ITEM-1","itemData":{"ISBN":"978-1-118-77548-6","abstract":"A unique approach to policy implementation with essential guidance and useful tools Effective Implementation in Practice: Integrating Public Policy and Management presents an instrumental approach to implementation analysis. By spanningpolicy fields, organizations, and frontline conditions in implementation systems, this book provides a robust foundation for policy makers, public and nonprofit managers and leaders. Detailed case studies enable readers to identify key intervention points, become more strategic, and improve outcomes. The engaging style and specific examples provide a bridge to practice, while diagrams, worksheets, and other tools included in the appendix help managers apply these ideas to team meetings, operational planning, and program assessment and refinement. Policy and program implementation is fraught with challenges as public and nonprofit leaders juggle organizational missions and stakeholder expectations while managing policy and program impact and effectiveness. Using their own experience in practice, teaching, and research, the authors empower policy and program implementers to recognize their essential roles within the workplace and help them cultivate the analytical and social skills necessary to change. Understand how program or policy technology constitutes the core of implementation Study a conceptual framework encompassing power dynamics, culture, relationships in the field and the rules that are operating during program and policy implementation Discover a multilevel approach that identifies key points of strategic action at various levels and settings of the implementation system and assesses implementation success. The integration of policy and management mindsets gives readers an insightful yet accessible understanding of implementation, allowing them to achieve the potent results desired by the public. For those in senior positions at federal agencies to local staff at nonprofit organizations, Effective Implementation in Practice: Integrating Public Policy and Management provides an invaluable one-stop resource.","author":[{"dropping-particle":"","family":"Sandford","given":"Jodi","non-dropping-particle":"","parse-names":false,"suffix":""},{"dropping-particle":"","family":"Moulton","given":"Stephanie","non-dropping-particle":"","parse-names":false,"suffix":""}],"id":"ITEM-1","issued":{"date-parts":[["2015"]]},"number-of-pages":"416","publisher":"John Wiley &amp; Sons","title":"Effective Implementation in Practice: Integrating Public Policy and Management","type":"book"},"suppress-author":1,"uris":["http://www.mendeley.com/documents/?uuid=1a273f0b-1812-43ed-9306-e752069b219c"]}],"mendeley":{"formattedCitation":"(2015)","plainTextFormattedCitation":"(2015)","previouslyFormattedCitation":"(2015)"},"properties":{"noteIndex":0},"schema":"https://github.com/citation-style-language/schema/raw/master/csl-citation.json"}</w:instrText>
      </w:r>
      <w:r w:rsidR="00BC15D2" w:rsidRPr="007720BC">
        <w:rPr>
          <w:rStyle w:val="jlqj4b"/>
          <w:rFonts w:ascii="Times New Roman" w:hAnsi="Times New Roman" w:cs="Times New Roman"/>
          <w:sz w:val="24"/>
          <w:szCs w:val="24"/>
        </w:rPr>
        <w:fldChar w:fldCharType="separate"/>
      </w:r>
      <w:r w:rsidR="00A8371F" w:rsidRPr="007720BC">
        <w:rPr>
          <w:rStyle w:val="jlqj4b"/>
          <w:rFonts w:ascii="Times New Roman" w:hAnsi="Times New Roman" w:cs="Times New Roman"/>
          <w:noProof/>
          <w:sz w:val="24"/>
          <w:szCs w:val="24"/>
        </w:rPr>
        <w:t>(2015)</w:t>
      </w:r>
      <w:r w:rsidR="00BC15D2" w:rsidRPr="007720BC">
        <w:rPr>
          <w:rStyle w:val="jlqj4b"/>
          <w:rFonts w:ascii="Times New Roman" w:hAnsi="Times New Roman" w:cs="Times New Roman"/>
          <w:sz w:val="24"/>
          <w:szCs w:val="24"/>
        </w:rPr>
        <w:fldChar w:fldCharType="end"/>
      </w:r>
      <w:r w:rsidR="00BC15D2" w:rsidRPr="007720BC">
        <w:rPr>
          <w:rStyle w:val="jlqj4b"/>
          <w:rFonts w:ascii="Times New Roman" w:hAnsi="Times New Roman" w:cs="Times New Roman"/>
          <w:sz w:val="24"/>
          <w:szCs w:val="24"/>
        </w:rPr>
        <w:t xml:space="preserve"> </w:t>
      </w:r>
      <w:proofErr w:type="spellStart"/>
      <w:r w:rsidR="00BC15D2" w:rsidRPr="007720BC">
        <w:rPr>
          <w:rFonts w:ascii="Times New Roman" w:hAnsi="Times New Roman" w:cs="Times New Roman"/>
          <w:sz w:val="24"/>
          <w:szCs w:val="24"/>
          <w:lang w:val="en-US"/>
        </w:rPr>
        <w:t>efektifitas</w:t>
      </w:r>
      <w:proofErr w:type="spellEnd"/>
      <w:r w:rsidR="00BC15D2" w:rsidRPr="007720BC">
        <w:rPr>
          <w:rFonts w:ascii="Times New Roman" w:hAnsi="Times New Roman" w:cs="Times New Roman"/>
          <w:sz w:val="24"/>
          <w:szCs w:val="24"/>
          <w:lang w:val="en-US"/>
        </w:rPr>
        <w:t xml:space="preserve"> </w:t>
      </w:r>
      <w:proofErr w:type="spellStart"/>
      <w:r w:rsidR="00BC15D2" w:rsidRPr="007720BC">
        <w:rPr>
          <w:rFonts w:ascii="Times New Roman" w:hAnsi="Times New Roman" w:cs="Times New Roman"/>
          <w:sz w:val="24"/>
          <w:szCs w:val="24"/>
          <w:lang w:val="en-US"/>
        </w:rPr>
        <w:t>implementasi</w:t>
      </w:r>
      <w:proofErr w:type="spellEnd"/>
      <w:r w:rsidR="00BC15D2" w:rsidRPr="007720BC">
        <w:rPr>
          <w:rFonts w:ascii="Times New Roman" w:hAnsi="Times New Roman" w:cs="Times New Roman"/>
          <w:sz w:val="24"/>
          <w:szCs w:val="24"/>
          <w:lang w:val="en-US"/>
        </w:rPr>
        <w:t xml:space="preserve"> program </w:t>
      </w:r>
      <w:proofErr w:type="spellStart"/>
      <w:r w:rsidR="00BC15D2" w:rsidRPr="007720BC">
        <w:rPr>
          <w:rFonts w:ascii="Times New Roman" w:hAnsi="Times New Roman" w:cs="Times New Roman"/>
          <w:sz w:val="24"/>
          <w:szCs w:val="24"/>
          <w:lang w:val="en-US"/>
        </w:rPr>
        <w:t>berkaitan</w:t>
      </w:r>
      <w:proofErr w:type="spellEnd"/>
      <w:r w:rsidR="00BC15D2" w:rsidRPr="007720BC">
        <w:rPr>
          <w:rFonts w:ascii="Times New Roman" w:hAnsi="Times New Roman" w:cs="Times New Roman"/>
          <w:sz w:val="24"/>
          <w:szCs w:val="24"/>
          <w:lang w:val="en-US"/>
        </w:rPr>
        <w:t xml:space="preserve"> </w:t>
      </w:r>
      <w:proofErr w:type="spellStart"/>
      <w:r w:rsidR="00BC15D2" w:rsidRPr="007720BC">
        <w:rPr>
          <w:rFonts w:ascii="Times New Roman" w:hAnsi="Times New Roman" w:cs="Times New Roman"/>
          <w:sz w:val="24"/>
          <w:szCs w:val="24"/>
          <w:lang w:val="en-US"/>
        </w:rPr>
        <w:t>dengan</w:t>
      </w:r>
      <w:proofErr w:type="spellEnd"/>
      <w:r w:rsidR="00BC15D2" w:rsidRPr="007720BC">
        <w:rPr>
          <w:rFonts w:ascii="Times New Roman" w:hAnsi="Times New Roman" w:cs="Times New Roman"/>
          <w:sz w:val="24"/>
          <w:szCs w:val="24"/>
          <w:lang w:val="en-US"/>
        </w:rPr>
        <w:t xml:space="preserve"> </w:t>
      </w:r>
      <w:proofErr w:type="spellStart"/>
      <w:r w:rsidR="00BC15D2" w:rsidRPr="007720BC">
        <w:rPr>
          <w:rFonts w:ascii="Times New Roman" w:hAnsi="Times New Roman" w:cs="Times New Roman"/>
          <w:sz w:val="24"/>
          <w:szCs w:val="24"/>
          <w:lang w:val="en-US"/>
        </w:rPr>
        <w:t>bagaimana</w:t>
      </w:r>
      <w:proofErr w:type="spellEnd"/>
      <w:r w:rsidR="00BC15D2" w:rsidRPr="007720BC">
        <w:rPr>
          <w:rFonts w:ascii="Times New Roman" w:hAnsi="Times New Roman" w:cs="Times New Roman"/>
          <w:sz w:val="24"/>
          <w:szCs w:val="24"/>
          <w:lang w:val="en-US"/>
        </w:rPr>
        <w:t xml:space="preserve"> </w:t>
      </w:r>
      <w:proofErr w:type="spellStart"/>
      <w:r w:rsidR="00CE2353" w:rsidRPr="007720BC">
        <w:rPr>
          <w:rFonts w:ascii="Times New Roman" w:hAnsi="Times New Roman" w:cs="Times New Roman"/>
          <w:sz w:val="24"/>
          <w:szCs w:val="24"/>
          <w:lang w:val="en-US"/>
        </w:rPr>
        <w:t>mekanisme</w:t>
      </w:r>
      <w:proofErr w:type="spellEnd"/>
      <w:r w:rsidR="00CE2353" w:rsidRPr="007720BC">
        <w:rPr>
          <w:rFonts w:ascii="Times New Roman" w:hAnsi="Times New Roman" w:cs="Times New Roman"/>
          <w:sz w:val="24"/>
          <w:szCs w:val="24"/>
          <w:lang w:val="en-US"/>
        </w:rPr>
        <w:t xml:space="preserve"> </w:t>
      </w:r>
      <w:proofErr w:type="spellStart"/>
      <w:r w:rsidR="00BC15D2" w:rsidRPr="007720BC">
        <w:rPr>
          <w:rStyle w:val="jlqj4b"/>
          <w:rFonts w:ascii="Times New Roman" w:hAnsi="Times New Roman" w:cs="Times New Roman"/>
          <w:sz w:val="24"/>
          <w:szCs w:val="24"/>
        </w:rPr>
        <w:t>perubahan</w:t>
      </w:r>
      <w:proofErr w:type="spellEnd"/>
      <w:r w:rsidR="00BC15D2" w:rsidRPr="007720BC">
        <w:rPr>
          <w:rStyle w:val="jlqj4b"/>
          <w:rFonts w:ascii="Times New Roman" w:hAnsi="Times New Roman" w:cs="Times New Roman"/>
          <w:sz w:val="24"/>
          <w:szCs w:val="24"/>
        </w:rPr>
        <w:t xml:space="preserve"> </w:t>
      </w:r>
      <w:r w:rsidR="00822CFD" w:rsidRPr="007720BC">
        <w:rPr>
          <w:rStyle w:val="jlqj4b"/>
          <w:rFonts w:ascii="Times New Roman" w:hAnsi="Times New Roman" w:cs="Times New Roman"/>
          <w:sz w:val="24"/>
          <w:szCs w:val="24"/>
        </w:rPr>
        <w:t xml:space="preserve">yang </w:t>
      </w:r>
      <w:proofErr w:type="spellStart"/>
      <w:r w:rsidR="00822CFD" w:rsidRPr="007720BC">
        <w:rPr>
          <w:rStyle w:val="jlqj4b"/>
          <w:rFonts w:ascii="Times New Roman" w:hAnsi="Times New Roman" w:cs="Times New Roman"/>
          <w:sz w:val="24"/>
          <w:szCs w:val="24"/>
        </w:rPr>
        <w:t>dilakukan</w:t>
      </w:r>
      <w:proofErr w:type="spellEnd"/>
      <w:r w:rsidR="00822CFD" w:rsidRPr="007720BC">
        <w:rPr>
          <w:rStyle w:val="jlqj4b"/>
          <w:rFonts w:ascii="Times New Roman" w:hAnsi="Times New Roman" w:cs="Times New Roman"/>
          <w:sz w:val="24"/>
          <w:szCs w:val="24"/>
        </w:rPr>
        <w:t xml:space="preserve"> </w:t>
      </w:r>
      <w:r w:rsidR="00BC15D2" w:rsidRPr="007720BC">
        <w:rPr>
          <w:rStyle w:val="jlqj4b"/>
          <w:rFonts w:ascii="Times New Roman" w:hAnsi="Times New Roman" w:cs="Times New Roman"/>
          <w:sz w:val="24"/>
          <w:szCs w:val="24"/>
        </w:rPr>
        <w:t xml:space="preserve">dan </w:t>
      </w:r>
      <w:proofErr w:type="spellStart"/>
      <w:r w:rsidR="00BC15D2" w:rsidRPr="007720BC">
        <w:rPr>
          <w:rStyle w:val="jlqj4b"/>
          <w:rFonts w:ascii="Times New Roman" w:hAnsi="Times New Roman" w:cs="Times New Roman"/>
          <w:sz w:val="24"/>
          <w:szCs w:val="24"/>
        </w:rPr>
        <w:t>perubahan</w:t>
      </w:r>
      <w:proofErr w:type="spellEnd"/>
      <w:r w:rsidR="00BC15D2" w:rsidRPr="007720BC">
        <w:rPr>
          <w:rStyle w:val="jlqj4b"/>
          <w:rFonts w:ascii="Times New Roman" w:hAnsi="Times New Roman" w:cs="Times New Roman"/>
          <w:sz w:val="24"/>
          <w:szCs w:val="24"/>
        </w:rPr>
        <w:t xml:space="preserve"> </w:t>
      </w:r>
      <w:proofErr w:type="spellStart"/>
      <w:r w:rsidR="00BC15D2" w:rsidRPr="007720BC">
        <w:rPr>
          <w:rStyle w:val="jlqj4b"/>
          <w:rFonts w:ascii="Times New Roman" w:hAnsi="Times New Roman" w:cs="Times New Roman"/>
          <w:sz w:val="24"/>
          <w:szCs w:val="24"/>
        </w:rPr>
        <w:t>kelompok</w:t>
      </w:r>
      <w:proofErr w:type="spellEnd"/>
      <w:r w:rsidR="00BC15D2" w:rsidRPr="007720BC">
        <w:rPr>
          <w:rStyle w:val="jlqj4b"/>
          <w:rFonts w:ascii="Times New Roman" w:hAnsi="Times New Roman" w:cs="Times New Roman"/>
          <w:sz w:val="24"/>
          <w:szCs w:val="24"/>
        </w:rPr>
        <w:t xml:space="preserve"> </w:t>
      </w:r>
      <w:proofErr w:type="spellStart"/>
      <w:r w:rsidR="00BC15D2" w:rsidRPr="007720BC">
        <w:rPr>
          <w:rStyle w:val="jlqj4b"/>
          <w:rFonts w:ascii="Times New Roman" w:hAnsi="Times New Roman" w:cs="Times New Roman"/>
          <w:sz w:val="24"/>
          <w:szCs w:val="24"/>
        </w:rPr>
        <w:t>sasaran</w:t>
      </w:r>
      <w:proofErr w:type="spellEnd"/>
      <w:r w:rsidR="00BC15D2" w:rsidRPr="007720BC">
        <w:rPr>
          <w:rStyle w:val="jlqj4b"/>
          <w:rFonts w:ascii="Times New Roman" w:hAnsi="Times New Roman" w:cs="Times New Roman"/>
          <w:sz w:val="24"/>
          <w:szCs w:val="24"/>
        </w:rPr>
        <w:t xml:space="preserve"> </w:t>
      </w:r>
      <w:proofErr w:type="spellStart"/>
      <w:r w:rsidR="004F5484" w:rsidRPr="007720BC">
        <w:rPr>
          <w:rStyle w:val="jlqj4b"/>
          <w:rFonts w:ascii="Times New Roman" w:hAnsi="Times New Roman" w:cs="Times New Roman"/>
          <w:sz w:val="24"/>
          <w:szCs w:val="24"/>
        </w:rPr>
        <w:t>atau</w:t>
      </w:r>
      <w:proofErr w:type="spellEnd"/>
      <w:r w:rsidR="004F5484" w:rsidRPr="007720BC">
        <w:rPr>
          <w:rStyle w:val="jlqj4b"/>
          <w:rFonts w:ascii="Times New Roman" w:hAnsi="Times New Roman" w:cs="Times New Roman"/>
          <w:sz w:val="24"/>
          <w:szCs w:val="24"/>
        </w:rPr>
        <w:t xml:space="preserve"> Masyarakat </w:t>
      </w:r>
      <w:proofErr w:type="spellStart"/>
      <w:r w:rsidR="00BC15D2" w:rsidRPr="007720BC">
        <w:rPr>
          <w:rStyle w:val="jlqj4b"/>
          <w:rFonts w:ascii="Times New Roman" w:hAnsi="Times New Roman" w:cs="Times New Roman"/>
          <w:sz w:val="24"/>
          <w:szCs w:val="24"/>
        </w:rPr>
        <w:t>dengan</w:t>
      </w:r>
      <w:proofErr w:type="spellEnd"/>
      <w:r w:rsidR="00BC15D2" w:rsidRPr="007720BC">
        <w:rPr>
          <w:rStyle w:val="jlqj4b"/>
          <w:rFonts w:ascii="Times New Roman" w:hAnsi="Times New Roman" w:cs="Times New Roman"/>
          <w:sz w:val="24"/>
          <w:szCs w:val="24"/>
        </w:rPr>
        <w:t xml:space="preserve"> </w:t>
      </w:r>
      <w:proofErr w:type="spellStart"/>
      <w:r w:rsidR="00BC15D2" w:rsidRPr="007720BC">
        <w:rPr>
          <w:rStyle w:val="jlqj4b"/>
          <w:rFonts w:ascii="Times New Roman" w:hAnsi="Times New Roman" w:cs="Times New Roman"/>
          <w:sz w:val="24"/>
          <w:szCs w:val="24"/>
        </w:rPr>
        <w:t>melihat</w:t>
      </w:r>
      <w:proofErr w:type="spellEnd"/>
      <w:r w:rsidR="00BC15D2" w:rsidRPr="007720BC">
        <w:rPr>
          <w:rStyle w:val="jlqj4b"/>
          <w:rFonts w:ascii="Times New Roman" w:hAnsi="Times New Roman" w:cs="Times New Roman"/>
          <w:sz w:val="24"/>
          <w:szCs w:val="24"/>
        </w:rPr>
        <w:t xml:space="preserve"> </w:t>
      </w:r>
      <w:proofErr w:type="spellStart"/>
      <w:r w:rsidR="00BC15D2" w:rsidRPr="007720BC">
        <w:rPr>
          <w:rStyle w:val="jlqj4b"/>
          <w:rFonts w:ascii="Times New Roman" w:hAnsi="Times New Roman" w:cs="Times New Roman"/>
          <w:sz w:val="24"/>
          <w:szCs w:val="24"/>
        </w:rPr>
        <w:t>mutu</w:t>
      </w:r>
      <w:proofErr w:type="spellEnd"/>
      <w:r w:rsidR="00BC15D2" w:rsidRPr="007720BC">
        <w:rPr>
          <w:rStyle w:val="jlqj4b"/>
          <w:rFonts w:ascii="Times New Roman" w:hAnsi="Times New Roman" w:cs="Times New Roman"/>
          <w:sz w:val="24"/>
          <w:szCs w:val="24"/>
        </w:rPr>
        <w:t xml:space="preserve"> proses dan </w:t>
      </w:r>
      <w:proofErr w:type="spellStart"/>
      <w:r w:rsidR="00BC15D2" w:rsidRPr="007720BC">
        <w:rPr>
          <w:rStyle w:val="jlqj4b"/>
          <w:rFonts w:ascii="Times New Roman" w:hAnsi="Times New Roman" w:cs="Times New Roman"/>
          <w:sz w:val="24"/>
          <w:szCs w:val="24"/>
        </w:rPr>
        <w:t>hasil</w:t>
      </w:r>
      <w:proofErr w:type="spellEnd"/>
      <w:r w:rsidR="00BC15D2" w:rsidRPr="007720BC">
        <w:rPr>
          <w:rStyle w:val="jlqj4b"/>
          <w:rFonts w:ascii="Times New Roman" w:hAnsi="Times New Roman" w:cs="Times New Roman"/>
          <w:sz w:val="24"/>
          <w:szCs w:val="24"/>
        </w:rPr>
        <w:t xml:space="preserve"> </w:t>
      </w:r>
      <w:proofErr w:type="spellStart"/>
      <w:r w:rsidR="00BC15D2" w:rsidRPr="007720BC">
        <w:rPr>
          <w:rStyle w:val="jlqj4b"/>
          <w:rFonts w:ascii="Times New Roman" w:hAnsi="Times New Roman" w:cs="Times New Roman"/>
          <w:sz w:val="24"/>
          <w:szCs w:val="24"/>
        </w:rPr>
        <w:t>akhir</w:t>
      </w:r>
      <w:proofErr w:type="spellEnd"/>
      <w:r w:rsidR="00BC15D2" w:rsidRPr="007720BC">
        <w:rPr>
          <w:rStyle w:val="jlqj4b"/>
          <w:rFonts w:ascii="Times New Roman" w:hAnsi="Times New Roman" w:cs="Times New Roman"/>
          <w:sz w:val="24"/>
          <w:szCs w:val="24"/>
        </w:rPr>
        <w:t xml:space="preserve">. </w:t>
      </w:r>
      <w:proofErr w:type="spellStart"/>
      <w:r w:rsidR="00822CFD" w:rsidRPr="007720BC">
        <w:rPr>
          <w:rStyle w:val="jlqj4b"/>
          <w:rFonts w:ascii="Times New Roman" w:hAnsi="Times New Roman" w:cs="Times New Roman"/>
          <w:sz w:val="24"/>
          <w:szCs w:val="24"/>
        </w:rPr>
        <w:t>Selanjutnya</w:t>
      </w:r>
      <w:proofErr w:type="spellEnd"/>
      <w:r w:rsidR="00822CFD" w:rsidRPr="007720BC">
        <w:rPr>
          <w:rStyle w:val="jlqj4b"/>
          <w:rFonts w:ascii="Times New Roman" w:hAnsi="Times New Roman" w:cs="Times New Roman"/>
          <w:sz w:val="24"/>
          <w:szCs w:val="24"/>
        </w:rPr>
        <w:t xml:space="preserve"> </w:t>
      </w:r>
      <w:r w:rsidR="00A241B6" w:rsidRPr="007720BC">
        <w:rPr>
          <w:rStyle w:val="jlqj4b"/>
          <w:rFonts w:ascii="Times New Roman" w:hAnsi="Times New Roman" w:cs="Times New Roman"/>
          <w:sz w:val="24"/>
          <w:szCs w:val="24"/>
        </w:rPr>
        <w:t>b</w:t>
      </w:r>
      <w:r w:rsidR="00A241B6" w:rsidRPr="007720BC">
        <w:rPr>
          <w:rStyle w:val="rynqvb"/>
          <w:rFonts w:ascii="Times New Roman" w:hAnsi="Times New Roman" w:cs="Times New Roman"/>
          <w:sz w:val="24"/>
          <w:szCs w:val="24"/>
          <w:lang w:val="id-ID"/>
        </w:rPr>
        <w:t>erdasarkan teori Sadler tentang</w:t>
      </w:r>
      <w:r w:rsidR="00A241B6" w:rsidRPr="007720BC">
        <w:rPr>
          <w:rStyle w:val="rynqvb"/>
          <w:rFonts w:ascii="Times New Roman" w:hAnsi="Times New Roman" w:cs="Times New Roman"/>
          <w:sz w:val="24"/>
          <w:szCs w:val="24"/>
          <w:lang w:val="en-US"/>
        </w:rPr>
        <w:t xml:space="preserve"> “</w:t>
      </w:r>
      <w:r w:rsidR="00A241B6" w:rsidRPr="007720BC">
        <w:rPr>
          <w:rStyle w:val="rynqvb"/>
          <w:rFonts w:ascii="Times New Roman" w:hAnsi="Times New Roman" w:cs="Times New Roman"/>
          <w:sz w:val="24"/>
          <w:szCs w:val="24"/>
          <w:lang w:val="id-ID"/>
        </w:rPr>
        <w:t>'segitiga efektivitas</w:t>
      </w:r>
      <w:r w:rsidR="00A241B6" w:rsidRPr="007720BC">
        <w:rPr>
          <w:rStyle w:val="rynqvb"/>
          <w:rFonts w:ascii="Times New Roman" w:hAnsi="Times New Roman" w:cs="Times New Roman"/>
          <w:sz w:val="24"/>
          <w:szCs w:val="24"/>
          <w:lang w:val="en-US"/>
        </w:rPr>
        <w:t>”</w:t>
      </w:r>
      <w:r w:rsidR="00A8371F" w:rsidRPr="007720BC">
        <w:rPr>
          <w:rStyle w:val="rynqvb"/>
          <w:rFonts w:ascii="Times New Roman" w:hAnsi="Times New Roman" w:cs="Times New Roman"/>
          <w:sz w:val="24"/>
          <w:szCs w:val="24"/>
          <w:lang w:val="en-US"/>
        </w:rPr>
        <w:t xml:space="preserve"> </w:t>
      </w:r>
      <w:r w:rsidR="00A8371F" w:rsidRPr="007720BC">
        <w:rPr>
          <w:rStyle w:val="rynqvb"/>
          <w:rFonts w:ascii="Times New Roman" w:hAnsi="Times New Roman" w:cs="Times New Roman"/>
          <w:noProof/>
          <w:sz w:val="24"/>
          <w:szCs w:val="24"/>
          <w:lang w:val="id-ID"/>
        </w:rPr>
        <w:t>(Baker dan McLelland</w:t>
      </w:r>
      <w:r w:rsidR="00A241B6" w:rsidRPr="007720BC">
        <w:rPr>
          <w:rStyle w:val="rynqvb"/>
          <w:rFonts w:ascii="Times New Roman" w:hAnsi="Times New Roman" w:cs="Times New Roman"/>
          <w:sz w:val="24"/>
          <w:szCs w:val="24"/>
          <w:lang w:val="id-ID"/>
        </w:rPr>
        <w:t xml:space="preserve"> </w:t>
      </w:r>
      <w:r w:rsidR="00A241B6" w:rsidRPr="007720BC">
        <w:rPr>
          <w:rStyle w:val="rynqvb"/>
          <w:rFonts w:ascii="Times New Roman" w:hAnsi="Times New Roman" w:cs="Times New Roman"/>
          <w:sz w:val="24"/>
          <w:szCs w:val="24"/>
          <w:lang w:val="id-ID"/>
        </w:rPr>
        <w:fldChar w:fldCharType="begin" w:fldLock="1"/>
      </w:r>
      <w:r w:rsidR="00A8371F" w:rsidRPr="007720BC">
        <w:rPr>
          <w:rStyle w:val="rynqvb"/>
          <w:rFonts w:ascii="Times New Roman" w:hAnsi="Times New Roman" w:cs="Times New Roman"/>
          <w:sz w:val="24"/>
          <w:szCs w:val="24"/>
          <w:lang w:val="id-ID"/>
        </w:rPr>
        <w:instrText>ADDIN CSL_CITATION {"citationItems":[{"id":"ITEM-1","itemData":{"DOI":"10.1016/S0195-9255(03)00093-3","ISSN":"01959255","abstract":"This paper applies effectiveness as a criterion to measure the participation of First Nations' participation in British Columbia's environmental assessment process. Effectiveness is reviewed as a means to measure policy implementation and an expanded framework is proposed to measure effectiveness. The framework is applied to three case studies in north-central British Columbia to measure the effectiveness of First Nations' participation in the EA process for mining development. All three cases failed to achieve procedural, substantive, and transactive efficacy and thereby failed to meet overall policy effectiveness. The policies used by the British Columbia government, including the relatively recent Environmental Assessment Act (1995), reflect a poor integration of First Nations people in the EA decision-making process with respect to mine development. © 2003 Elsevier Science Inc. All rights reserved.","author":[{"dropping-particle":"","family":"Baker","given":"Douglas C.","non-dropping-particle":"","parse-names":false,"suffix":""},{"dropping-particle":"","family":"McLelland","given":"James N.","non-dropping-particle":"","parse-names":false,"suffix":""}],"container-title":"Environmental Impact Assessment Review","id":"ITEM-1","issue":"5","issued":{"date-parts":[["2003"]]},"page":"581-603","title":"Evaluating the effectiveness of British Columbia's environmental assessment process for first nations' participation in mining development","type":"article-journal","volume":"23"},"suppress-author":1,"uris":["http://www.mendeley.com/documents/?uuid=5255d227-6669-4a24-a707-e9ebae9d42d6"]}],"mendeley":{"formattedCitation":"(2003)","plainTextFormattedCitation":"(2003)","previouslyFormattedCitation":"(2003)"},"properties":{"noteIndex":0},"schema":"https://github.com/citation-style-language/schema/raw/master/csl-citation.json"}</w:instrText>
      </w:r>
      <w:r w:rsidR="00A241B6" w:rsidRPr="007720BC">
        <w:rPr>
          <w:rStyle w:val="rynqvb"/>
          <w:rFonts w:ascii="Times New Roman" w:hAnsi="Times New Roman" w:cs="Times New Roman"/>
          <w:sz w:val="24"/>
          <w:szCs w:val="24"/>
          <w:lang w:val="id-ID"/>
        </w:rPr>
        <w:fldChar w:fldCharType="separate"/>
      </w:r>
      <w:r w:rsidR="00A8371F" w:rsidRPr="007720BC">
        <w:rPr>
          <w:rStyle w:val="rynqvb"/>
          <w:rFonts w:ascii="Times New Roman" w:hAnsi="Times New Roman" w:cs="Times New Roman"/>
          <w:noProof/>
          <w:sz w:val="24"/>
          <w:szCs w:val="24"/>
          <w:lang w:val="id-ID"/>
        </w:rPr>
        <w:t>(2003)</w:t>
      </w:r>
      <w:r w:rsidR="00A241B6" w:rsidRPr="007720BC">
        <w:rPr>
          <w:rStyle w:val="rynqvb"/>
          <w:rFonts w:ascii="Times New Roman" w:hAnsi="Times New Roman" w:cs="Times New Roman"/>
          <w:sz w:val="24"/>
          <w:szCs w:val="24"/>
          <w:lang w:val="id-ID"/>
        </w:rPr>
        <w:fldChar w:fldCharType="end"/>
      </w:r>
      <w:r w:rsidR="00A241B6" w:rsidRPr="007720BC">
        <w:rPr>
          <w:rStyle w:val="rynqvb"/>
          <w:rFonts w:ascii="Times New Roman" w:hAnsi="Times New Roman" w:cs="Times New Roman"/>
          <w:sz w:val="24"/>
          <w:szCs w:val="24"/>
          <w:lang w:val="en-US"/>
        </w:rPr>
        <w:t xml:space="preserve"> </w:t>
      </w:r>
      <w:r w:rsidR="00A241B6" w:rsidRPr="007720BC">
        <w:rPr>
          <w:rStyle w:val="rynqvb"/>
          <w:rFonts w:ascii="Times New Roman" w:hAnsi="Times New Roman" w:cs="Times New Roman"/>
          <w:sz w:val="24"/>
          <w:szCs w:val="24"/>
          <w:lang w:val="id-ID"/>
        </w:rPr>
        <w:t>mengusulkan kerangka kerja yang berfokus pada</w:t>
      </w:r>
      <w:r w:rsidR="00A241B6" w:rsidRPr="007720BC">
        <w:rPr>
          <w:rStyle w:val="rynqvb"/>
          <w:rFonts w:ascii="Times New Roman" w:hAnsi="Times New Roman" w:cs="Times New Roman"/>
          <w:sz w:val="24"/>
          <w:szCs w:val="24"/>
          <w:lang w:val="en-US"/>
        </w:rPr>
        <w:t xml:space="preserve"> </w:t>
      </w:r>
      <w:r w:rsidR="00A241B6" w:rsidRPr="007720BC">
        <w:rPr>
          <w:rStyle w:val="rynqvb"/>
          <w:rFonts w:ascii="Times New Roman" w:hAnsi="Times New Roman" w:cs="Times New Roman"/>
          <w:sz w:val="24"/>
          <w:szCs w:val="24"/>
          <w:lang w:val="id-ID"/>
        </w:rPr>
        <w:t xml:space="preserve">kebijakan sebagai fungsi </w:t>
      </w:r>
      <w:r w:rsidR="00A8371F" w:rsidRPr="007720BC">
        <w:rPr>
          <w:rStyle w:val="rynqvb"/>
          <w:rFonts w:ascii="Times New Roman" w:hAnsi="Times New Roman" w:cs="Times New Roman"/>
          <w:sz w:val="24"/>
          <w:szCs w:val="24"/>
          <w:lang w:val="en-US"/>
        </w:rPr>
        <w:t xml:space="preserve">yang </w:t>
      </w:r>
      <w:proofErr w:type="spellStart"/>
      <w:r w:rsidR="00A8371F" w:rsidRPr="007720BC">
        <w:rPr>
          <w:rStyle w:val="rynqvb"/>
          <w:rFonts w:ascii="Times New Roman" w:hAnsi="Times New Roman" w:cs="Times New Roman"/>
          <w:sz w:val="24"/>
          <w:szCs w:val="24"/>
          <w:lang w:val="en-US"/>
        </w:rPr>
        <w:t>terdiri</w:t>
      </w:r>
      <w:proofErr w:type="spellEnd"/>
      <w:r w:rsidR="00A8371F" w:rsidRPr="007720BC">
        <w:rPr>
          <w:rStyle w:val="rynqvb"/>
          <w:rFonts w:ascii="Times New Roman" w:hAnsi="Times New Roman" w:cs="Times New Roman"/>
          <w:sz w:val="24"/>
          <w:szCs w:val="24"/>
          <w:lang w:val="en-US"/>
        </w:rPr>
        <w:t xml:space="preserve"> </w:t>
      </w:r>
      <w:r w:rsidR="00A241B6" w:rsidRPr="007720BC">
        <w:rPr>
          <w:rStyle w:val="rynqvb"/>
          <w:rFonts w:ascii="Times New Roman" w:hAnsi="Times New Roman" w:cs="Times New Roman"/>
          <w:sz w:val="24"/>
          <w:szCs w:val="24"/>
          <w:lang w:val="id-ID"/>
        </w:rPr>
        <w:t xml:space="preserve">dari berbagai aspek </w:t>
      </w:r>
      <w:proofErr w:type="spellStart"/>
      <w:r w:rsidR="00A241B6" w:rsidRPr="007720BC">
        <w:rPr>
          <w:rStyle w:val="rynqvb"/>
          <w:rFonts w:ascii="Times New Roman" w:hAnsi="Times New Roman" w:cs="Times New Roman"/>
          <w:sz w:val="24"/>
          <w:szCs w:val="24"/>
          <w:lang w:val="en-US"/>
        </w:rPr>
        <w:t>seperti</w:t>
      </w:r>
      <w:proofErr w:type="spellEnd"/>
      <w:r w:rsidR="00A241B6" w:rsidRPr="007720BC">
        <w:rPr>
          <w:rStyle w:val="hwtze"/>
          <w:rFonts w:ascii="Times New Roman" w:hAnsi="Times New Roman" w:cs="Times New Roman"/>
          <w:sz w:val="24"/>
          <w:szCs w:val="24"/>
          <w:lang w:val="id-ID"/>
        </w:rPr>
        <w:t xml:space="preserve"> </w:t>
      </w:r>
      <w:r w:rsidR="00A241B6" w:rsidRPr="007720BC">
        <w:rPr>
          <w:rStyle w:val="rynqvb"/>
          <w:rFonts w:ascii="Times New Roman" w:hAnsi="Times New Roman" w:cs="Times New Roman"/>
          <w:sz w:val="24"/>
          <w:szCs w:val="24"/>
          <w:lang w:val="id-ID"/>
        </w:rPr>
        <w:t>prosedural (praktik), substantif (kinerja), transaktif (kecakapan) dan aspek normatif (tujuan)</w:t>
      </w:r>
      <w:r w:rsidR="00A241B6" w:rsidRPr="007720BC">
        <w:rPr>
          <w:rStyle w:val="rynqvb"/>
          <w:rFonts w:ascii="Times New Roman" w:hAnsi="Times New Roman" w:cs="Times New Roman"/>
          <w:sz w:val="24"/>
          <w:szCs w:val="24"/>
          <w:lang w:val="en-US"/>
        </w:rPr>
        <w:t>.</w:t>
      </w:r>
      <w:r w:rsidRPr="007720BC">
        <w:rPr>
          <w:rStyle w:val="rynqvb"/>
          <w:rFonts w:ascii="Times New Roman" w:hAnsi="Times New Roman" w:cs="Times New Roman"/>
          <w:sz w:val="24"/>
          <w:szCs w:val="24"/>
          <w:lang w:val="en-US"/>
        </w:rPr>
        <w:t xml:space="preserve"> </w:t>
      </w:r>
      <w:proofErr w:type="spellStart"/>
      <w:r w:rsidR="004F3057" w:rsidRPr="007720BC">
        <w:rPr>
          <w:rStyle w:val="jlqj4b"/>
          <w:rFonts w:ascii="Times New Roman" w:hAnsi="Times New Roman" w:cs="Times New Roman"/>
          <w:sz w:val="24"/>
          <w:szCs w:val="24"/>
        </w:rPr>
        <w:t>Disisi</w:t>
      </w:r>
      <w:proofErr w:type="spellEnd"/>
      <w:r w:rsidR="004F3057" w:rsidRPr="007720BC">
        <w:rPr>
          <w:rStyle w:val="jlqj4b"/>
          <w:rFonts w:ascii="Times New Roman" w:hAnsi="Times New Roman" w:cs="Times New Roman"/>
          <w:sz w:val="24"/>
          <w:szCs w:val="24"/>
        </w:rPr>
        <w:t xml:space="preserve"> lain</w:t>
      </w:r>
      <w:r w:rsidR="00A8371F" w:rsidRPr="007720BC">
        <w:rPr>
          <w:rStyle w:val="jlqj4b"/>
          <w:rFonts w:ascii="Times New Roman" w:hAnsi="Times New Roman" w:cs="Times New Roman"/>
          <w:sz w:val="24"/>
          <w:szCs w:val="24"/>
        </w:rPr>
        <w:t xml:space="preserve"> Rosa et al</w:t>
      </w:r>
      <w:r w:rsidR="004F3057" w:rsidRPr="007720BC">
        <w:rPr>
          <w:rStyle w:val="jlqj4b"/>
          <w:rFonts w:ascii="Times New Roman" w:hAnsi="Times New Roman" w:cs="Times New Roman"/>
          <w:sz w:val="24"/>
          <w:szCs w:val="24"/>
        </w:rPr>
        <w:t xml:space="preserve"> </w:t>
      </w:r>
      <w:r w:rsidR="004F3057" w:rsidRPr="007720BC">
        <w:rPr>
          <w:rStyle w:val="jlqj4b"/>
          <w:rFonts w:ascii="Times New Roman" w:hAnsi="Times New Roman" w:cs="Times New Roman"/>
          <w:sz w:val="24"/>
          <w:szCs w:val="24"/>
        </w:rPr>
        <w:fldChar w:fldCharType="begin" w:fldLock="1"/>
      </w:r>
      <w:r w:rsidR="0085242A" w:rsidRPr="007720BC">
        <w:rPr>
          <w:rStyle w:val="jlqj4b"/>
          <w:rFonts w:ascii="Times New Roman" w:hAnsi="Times New Roman" w:cs="Times New Roman"/>
          <w:sz w:val="24"/>
          <w:szCs w:val="24"/>
        </w:rPr>
        <w:instrText>ADDIN CSL_CITATION {"citationItems":[{"id":"ITEM-1","itemData":{"DOI":"10.1186/s40309-021-00171-6","ISSN":"21952248","abstract":"The urgency of current social challenges is driving new approaches to framing and funding research, development, and innovation. The “mission-oriented” approach framing the EU’s New Horizons funding program is the latest institutional response to the pressing needs of large system transformations we are facing. We view the likely targets of mission-oriented programs as dynamic entities requiring both adaptive, inclusive responses, and anticipatory exploration. We demonstrate how participatory foresight methods provide an essential forum and process for the expression of plural, socio-technological imaginaries. As citizens and other stakeholder groups have demonstrated their myriad capacities to contribute to research and innovation agenda-setting processes in future-oriented citizen dialogs, we argue that such methods are the essential compliment to the mission-oriented framework coming into play. Participatory foresight engages citizens in critical thinking and creative activities to articulate the evolution of socio-technological issues over an extended time horizon, seeking diverse perspectives on what goals and priorities will come to define “missions.” Utilizing outputs from two recent projects, we argue that participatory foresight methods can play an essential role in bridging citizen needs with policy requirements, and will increase the reflexivity of innovation systems that invest the needed time and resources into exploring the depth of multi-actor interests and intersections. Finally, we outline possible impact pathways demonstrating how these “bottom-up” contributions could be integrated into the development of challenge-led innovation priorities.","author":[{"dropping-particle":"","family":"Rosa","given":"Aaron B.","non-dropping-particle":"","parse-names":false,"suffix":""},{"dropping-particle":"","family":"Kimpeler","given":"Simone","non-dropping-particle":"","parse-names":false,"suffix":""},{"dropping-particle":"","family":"Schirrmeister","given":"Elna","non-dropping-particle":"","parse-names":false,"suffix":""},{"dropping-particle":"","family":"Warnke","given":"Philine","non-dropping-particle":"","parse-names":false,"suffix":""}],"container-title":"European Journal of Futures Research","id":"ITEM-1","issue":"1","issued":{"date-parts":[["2021"]]},"publisher":"European Journal of Futures Research","title":"Participatory foresight and reflexive innovation: setting policy goals and developing strategies in a bottom-up, mission-oriented, sustainable way","type":"article-journal","volume":"9"},"suppress-author":1,"uris":["http://www.mendeley.com/documents/?uuid=c9d6c301-ddcf-4680-9330-f1f0d5993b3a"]}],"mendeley":{"formattedCitation":"(2021)","plainTextFormattedCitation":"(2021)","previouslyFormattedCitation":"(2021)"},"properties":{"noteIndex":0},"schema":"https://github.com/citation-style-language/schema/raw/master/csl-citation.json"}</w:instrText>
      </w:r>
      <w:r w:rsidR="004F3057" w:rsidRPr="007720BC">
        <w:rPr>
          <w:rStyle w:val="jlqj4b"/>
          <w:rFonts w:ascii="Times New Roman" w:hAnsi="Times New Roman" w:cs="Times New Roman"/>
          <w:sz w:val="24"/>
          <w:szCs w:val="24"/>
        </w:rPr>
        <w:fldChar w:fldCharType="separate"/>
      </w:r>
      <w:r w:rsidR="00A8371F" w:rsidRPr="007720BC">
        <w:rPr>
          <w:rStyle w:val="jlqj4b"/>
          <w:rFonts w:ascii="Times New Roman" w:hAnsi="Times New Roman" w:cs="Times New Roman"/>
          <w:noProof/>
          <w:sz w:val="24"/>
          <w:szCs w:val="24"/>
        </w:rPr>
        <w:t>(2021)</w:t>
      </w:r>
      <w:r w:rsidR="004F3057" w:rsidRPr="007720BC">
        <w:rPr>
          <w:rStyle w:val="jlqj4b"/>
          <w:rFonts w:ascii="Times New Roman" w:hAnsi="Times New Roman" w:cs="Times New Roman"/>
          <w:sz w:val="24"/>
          <w:szCs w:val="24"/>
        </w:rPr>
        <w:fldChar w:fldCharType="end"/>
      </w:r>
      <w:r w:rsidR="004F3057" w:rsidRPr="007720BC">
        <w:rPr>
          <w:rStyle w:val="jlqj4b"/>
          <w:rFonts w:ascii="Times New Roman" w:hAnsi="Times New Roman" w:cs="Times New Roman"/>
          <w:sz w:val="24"/>
          <w:szCs w:val="24"/>
        </w:rPr>
        <w:t xml:space="preserve"> </w:t>
      </w:r>
      <w:proofErr w:type="spellStart"/>
      <w:r w:rsidR="004F3057" w:rsidRPr="007720BC">
        <w:rPr>
          <w:rStyle w:val="jlqj4b"/>
          <w:rFonts w:ascii="Times New Roman" w:hAnsi="Times New Roman" w:cs="Times New Roman"/>
          <w:sz w:val="24"/>
          <w:szCs w:val="24"/>
        </w:rPr>
        <w:t>mengemukakan</w:t>
      </w:r>
      <w:proofErr w:type="spellEnd"/>
      <w:r w:rsidR="004F3057" w:rsidRPr="007720BC">
        <w:rPr>
          <w:rStyle w:val="jlqj4b"/>
          <w:rFonts w:ascii="Times New Roman" w:hAnsi="Times New Roman" w:cs="Times New Roman"/>
          <w:sz w:val="24"/>
          <w:szCs w:val="24"/>
        </w:rPr>
        <w:t xml:space="preserve"> </w:t>
      </w:r>
      <w:proofErr w:type="spellStart"/>
      <w:r w:rsidR="004F3057" w:rsidRPr="007720BC">
        <w:rPr>
          <w:rStyle w:val="jlqj4b"/>
          <w:rFonts w:ascii="Times New Roman" w:hAnsi="Times New Roman" w:cs="Times New Roman"/>
          <w:sz w:val="24"/>
          <w:szCs w:val="24"/>
        </w:rPr>
        <w:t>pentingnya</w:t>
      </w:r>
      <w:proofErr w:type="spellEnd"/>
      <w:r w:rsidR="004F3057" w:rsidRPr="007720BC">
        <w:rPr>
          <w:rStyle w:val="jlqj4b"/>
          <w:rFonts w:ascii="Times New Roman" w:hAnsi="Times New Roman" w:cs="Times New Roman"/>
          <w:sz w:val="24"/>
          <w:szCs w:val="24"/>
        </w:rPr>
        <w:t xml:space="preserve"> </w:t>
      </w:r>
      <w:proofErr w:type="spellStart"/>
      <w:r w:rsidR="004F3057" w:rsidRPr="007720BC">
        <w:rPr>
          <w:rStyle w:val="jlqj4b"/>
          <w:rFonts w:ascii="Times New Roman" w:hAnsi="Times New Roman" w:cs="Times New Roman"/>
          <w:sz w:val="24"/>
          <w:szCs w:val="24"/>
        </w:rPr>
        <w:t>kapasitas</w:t>
      </w:r>
      <w:proofErr w:type="spellEnd"/>
      <w:r w:rsidR="004F3057" w:rsidRPr="007720BC">
        <w:rPr>
          <w:rStyle w:val="jlqj4b"/>
          <w:rFonts w:ascii="Times New Roman" w:hAnsi="Times New Roman" w:cs="Times New Roman"/>
          <w:sz w:val="24"/>
          <w:szCs w:val="24"/>
        </w:rPr>
        <w:t xml:space="preserve"> </w:t>
      </w:r>
      <w:proofErr w:type="spellStart"/>
      <w:r w:rsidR="004F3057" w:rsidRPr="007720BC">
        <w:rPr>
          <w:rStyle w:val="jlqj4b"/>
          <w:rFonts w:ascii="Times New Roman" w:hAnsi="Times New Roman" w:cs="Times New Roman"/>
          <w:sz w:val="24"/>
          <w:szCs w:val="24"/>
        </w:rPr>
        <w:t>partisipasi</w:t>
      </w:r>
      <w:proofErr w:type="spellEnd"/>
      <w:r w:rsidR="004F3057" w:rsidRPr="007720BC">
        <w:rPr>
          <w:rStyle w:val="jlqj4b"/>
          <w:rFonts w:ascii="Times New Roman" w:hAnsi="Times New Roman" w:cs="Times New Roman"/>
          <w:sz w:val="24"/>
          <w:szCs w:val="24"/>
        </w:rPr>
        <w:t xml:space="preserve"> </w:t>
      </w:r>
      <w:proofErr w:type="spellStart"/>
      <w:r w:rsidR="004F3057" w:rsidRPr="007720BC">
        <w:rPr>
          <w:rStyle w:val="jlqj4b"/>
          <w:rFonts w:ascii="Times New Roman" w:hAnsi="Times New Roman" w:cs="Times New Roman"/>
          <w:sz w:val="24"/>
          <w:szCs w:val="24"/>
        </w:rPr>
        <w:t>masyarakat</w:t>
      </w:r>
      <w:proofErr w:type="spellEnd"/>
      <w:r w:rsidR="004F3057" w:rsidRPr="007720BC">
        <w:rPr>
          <w:rStyle w:val="jlqj4b"/>
          <w:rFonts w:ascii="Times New Roman" w:hAnsi="Times New Roman" w:cs="Times New Roman"/>
          <w:sz w:val="24"/>
          <w:szCs w:val="24"/>
        </w:rPr>
        <w:t xml:space="preserve"> </w:t>
      </w:r>
      <w:proofErr w:type="spellStart"/>
      <w:r w:rsidR="004F3057" w:rsidRPr="007720BC">
        <w:rPr>
          <w:rStyle w:val="jlqj4b"/>
          <w:rFonts w:ascii="Times New Roman" w:hAnsi="Times New Roman" w:cs="Times New Roman"/>
          <w:sz w:val="24"/>
          <w:szCs w:val="24"/>
        </w:rPr>
        <w:t>dalam</w:t>
      </w:r>
      <w:proofErr w:type="spellEnd"/>
      <w:r w:rsidR="004F3057" w:rsidRPr="007720BC">
        <w:rPr>
          <w:rStyle w:val="jlqj4b"/>
          <w:rFonts w:ascii="Times New Roman" w:hAnsi="Times New Roman" w:cs="Times New Roman"/>
          <w:sz w:val="24"/>
          <w:szCs w:val="24"/>
        </w:rPr>
        <w:t xml:space="preserve"> proses </w:t>
      </w:r>
      <w:proofErr w:type="spellStart"/>
      <w:r w:rsidR="004F3057" w:rsidRPr="007720BC">
        <w:rPr>
          <w:rStyle w:val="jlqj4b"/>
          <w:rFonts w:ascii="Times New Roman" w:hAnsi="Times New Roman" w:cs="Times New Roman"/>
          <w:sz w:val="24"/>
          <w:szCs w:val="24"/>
        </w:rPr>
        <w:t>inovasi</w:t>
      </w:r>
      <w:proofErr w:type="spellEnd"/>
      <w:r w:rsidR="004F3057" w:rsidRPr="007720BC">
        <w:rPr>
          <w:rStyle w:val="jlqj4b"/>
          <w:rFonts w:ascii="Times New Roman" w:hAnsi="Times New Roman" w:cs="Times New Roman"/>
          <w:sz w:val="24"/>
          <w:szCs w:val="24"/>
        </w:rPr>
        <w:t xml:space="preserve"> </w:t>
      </w:r>
      <w:proofErr w:type="spellStart"/>
      <w:r w:rsidR="004F3057" w:rsidRPr="007720BC">
        <w:rPr>
          <w:rStyle w:val="jlqj4b"/>
          <w:rFonts w:ascii="Times New Roman" w:hAnsi="Times New Roman" w:cs="Times New Roman"/>
          <w:sz w:val="24"/>
          <w:szCs w:val="24"/>
        </w:rPr>
        <w:t>untuk</w:t>
      </w:r>
      <w:proofErr w:type="spellEnd"/>
      <w:r w:rsidR="004F3057" w:rsidRPr="007720BC">
        <w:rPr>
          <w:rStyle w:val="jlqj4b"/>
          <w:rFonts w:ascii="Times New Roman" w:hAnsi="Times New Roman" w:cs="Times New Roman"/>
          <w:sz w:val="24"/>
          <w:szCs w:val="24"/>
        </w:rPr>
        <w:t xml:space="preserve"> </w:t>
      </w:r>
      <w:proofErr w:type="spellStart"/>
      <w:r w:rsidR="004F3057" w:rsidRPr="007720BC">
        <w:rPr>
          <w:rStyle w:val="jlqj4b"/>
          <w:rFonts w:ascii="Times New Roman" w:hAnsi="Times New Roman" w:cs="Times New Roman"/>
          <w:sz w:val="24"/>
          <w:szCs w:val="24"/>
        </w:rPr>
        <w:t>menjembatani</w:t>
      </w:r>
      <w:proofErr w:type="spellEnd"/>
      <w:r w:rsidR="004F3057" w:rsidRPr="007720BC">
        <w:rPr>
          <w:rStyle w:val="jlqj4b"/>
          <w:rFonts w:ascii="Times New Roman" w:hAnsi="Times New Roman" w:cs="Times New Roman"/>
          <w:sz w:val="24"/>
          <w:szCs w:val="24"/>
        </w:rPr>
        <w:t xml:space="preserve"> </w:t>
      </w:r>
      <w:proofErr w:type="spellStart"/>
      <w:r w:rsidR="004F3057" w:rsidRPr="007720BC">
        <w:rPr>
          <w:rStyle w:val="jlqj4b"/>
          <w:rFonts w:ascii="Times New Roman" w:hAnsi="Times New Roman" w:cs="Times New Roman"/>
          <w:sz w:val="24"/>
          <w:szCs w:val="24"/>
        </w:rPr>
        <w:t>antara</w:t>
      </w:r>
      <w:proofErr w:type="spellEnd"/>
      <w:r w:rsidR="004F3057" w:rsidRPr="007720BC">
        <w:rPr>
          <w:rStyle w:val="jlqj4b"/>
          <w:rFonts w:ascii="Times New Roman" w:hAnsi="Times New Roman" w:cs="Times New Roman"/>
          <w:sz w:val="24"/>
          <w:szCs w:val="24"/>
        </w:rPr>
        <w:t xml:space="preserve"> </w:t>
      </w:r>
      <w:proofErr w:type="spellStart"/>
      <w:r w:rsidR="004F3057" w:rsidRPr="007720BC">
        <w:rPr>
          <w:rStyle w:val="jlqj4b"/>
          <w:rFonts w:ascii="Times New Roman" w:hAnsi="Times New Roman" w:cs="Times New Roman"/>
          <w:sz w:val="24"/>
          <w:szCs w:val="24"/>
        </w:rPr>
        <w:t>kebutuhan</w:t>
      </w:r>
      <w:proofErr w:type="spellEnd"/>
      <w:r w:rsidR="004F3057" w:rsidRPr="007720BC">
        <w:rPr>
          <w:rStyle w:val="jlqj4b"/>
          <w:rFonts w:ascii="Times New Roman" w:hAnsi="Times New Roman" w:cs="Times New Roman"/>
          <w:sz w:val="24"/>
          <w:szCs w:val="24"/>
        </w:rPr>
        <w:t xml:space="preserve"> </w:t>
      </w:r>
      <w:proofErr w:type="spellStart"/>
      <w:r w:rsidR="004F3057" w:rsidRPr="007720BC">
        <w:rPr>
          <w:rStyle w:val="jlqj4b"/>
          <w:rFonts w:ascii="Times New Roman" w:hAnsi="Times New Roman" w:cs="Times New Roman"/>
          <w:sz w:val="24"/>
          <w:szCs w:val="24"/>
        </w:rPr>
        <w:t>masyarakat</w:t>
      </w:r>
      <w:proofErr w:type="spellEnd"/>
      <w:r w:rsidR="004F3057" w:rsidRPr="007720BC">
        <w:rPr>
          <w:rStyle w:val="jlqj4b"/>
          <w:rFonts w:ascii="Times New Roman" w:hAnsi="Times New Roman" w:cs="Times New Roman"/>
          <w:sz w:val="24"/>
          <w:szCs w:val="24"/>
        </w:rPr>
        <w:t xml:space="preserve"> dan </w:t>
      </w:r>
      <w:proofErr w:type="spellStart"/>
      <w:r w:rsidR="004F3057" w:rsidRPr="007720BC">
        <w:rPr>
          <w:rStyle w:val="jlqj4b"/>
          <w:rFonts w:ascii="Times New Roman" w:hAnsi="Times New Roman" w:cs="Times New Roman"/>
          <w:sz w:val="24"/>
          <w:szCs w:val="24"/>
        </w:rPr>
        <w:t>pembuat</w:t>
      </w:r>
      <w:proofErr w:type="spellEnd"/>
      <w:r w:rsidR="004F3057" w:rsidRPr="007720BC">
        <w:rPr>
          <w:rStyle w:val="jlqj4b"/>
          <w:rFonts w:ascii="Times New Roman" w:hAnsi="Times New Roman" w:cs="Times New Roman"/>
          <w:sz w:val="24"/>
          <w:szCs w:val="24"/>
        </w:rPr>
        <w:t xml:space="preserve"> </w:t>
      </w:r>
      <w:proofErr w:type="spellStart"/>
      <w:r w:rsidR="004F3057" w:rsidRPr="007720BC">
        <w:rPr>
          <w:rStyle w:val="jlqj4b"/>
          <w:rFonts w:ascii="Times New Roman" w:hAnsi="Times New Roman" w:cs="Times New Roman"/>
          <w:sz w:val="24"/>
          <w:szCs w:val="24"/>
        </w:rPr>
        <w:t>kebijakan</w:t>
      </w:r>
      <w:proofErr w:type="spellEnd"/>
      <w:r w:rsidR="004F3057" w:rsidRPr="007720BC">
        <w:rPr>
          <w:rStyle w:val="jlqj4b"/>
          <w:rFonts w:ascii="Times New Roman" w:hAnsi="Times New Roman" w:cs="Times New Roman"/>
          <w:sz w:val="24"/>
          <w:szCs w:val="24"/>
        </w:rPr>
        <w:t xml:space="preserve"> </w:t>
      </w:r>
      <w:proofErr w:type="spellStart"/>
      <w:r w:rsidR="004F3057" w:rsidRPr="007720BC">
        <w:rPr>
          <w:rStyle w:val="jlqj4b"/>
          <w:rFonts w:ascii="Times New Roman" w:hAnsi="Times New Roman" w:cs="Times New Roman"/>
          <w:sz w:val="24"/>
          <w:szCs w:val="24"/>
        </w:rPr>
        <w:t>sehingga</w:t>
      </w:r>
      <w:proofErr w:type="spellEnd"/>
      <w:r w:rsidR="004F3057" w:rsidRPr="007720BC">
        <w:rPr>
          <w:rStyle w:val="jlqj4b"/>
          <w:rFonts w:ascii="Times New Roman" w:hAnsi="Times New Roman" w:cs="Times New Roman"/>
          <w:sz w:val="24"/>
          <w:szCs w:val="24"/>
        </w:rPr>
        <w:t xml:space="preserve"> </w:t>
      </w:r>
      <w:proofErr w:type="spellStart"/>
      <w:r w:rsidR="004F3057" w:rsidRPr="007720BC">
        <w:rPr>
          <w:rStyle w:val="jlqj4b"/>
          <w:rFonts w:ascii="Times New Roman" w:hAnsi="Times New Roman" w:cs="Times New Roman"/>
          <w:sz w:val="24"/>
          <w:szCs w:val="24"/>
        </w:rPr>
        <w:t>dapat</w:t>
      </w:r>
      <w:proofErr w:type="spellEnd"/>
      <w:r w:rsidR="004F3057" w:rsidRPr="007720BC">
        <w:rPr>
          <w:rStyle w:val="jlqj4b"/>
          <w:rFonts w:ascii="Times New Roman" w:hAnsi="Times New Roman" w:cs="Times New Roman"/>
          <w:sz w:val="24"/>
          <w:szCs w:val="24"/>
        </w:rPr>
        <w:t xml:space="preserve"> </w:t>
      </w:r>
      <w:proofErr w:type="spellStart"/>
      <w:r w:rsidR="004F3057" w:rsidRPr="007720BC">
        <w:rPr>
          <w:rStyle w:val="jlqj4b"/>
          <w:rFonts w:ascii="Times New Roman" w:hAnsi="Times New Roman" w:cs="Times New Roman"/>
          <w:sz w:val="24"/>
          <w:szCs w:val="24"/>
        </w:rPr>
        <w:t>memberikan</w:t>
      </w:r>
      <w:proofErr w:type="spellEnd"/>
      <w:r w:rsidR="004F3057" w:rsidRPr="007720BC">
        <w:rPr>
          <w:rStyle w:val="jlqj4b"/>
          <w:rFonts w:ascii="Times New Roman" w:hAnsi="Times New Roman" w:cs="Times New Roman"/>
          <w:sz w:val="24"/>
          <w:szCs w:val="24"/>
        </w:rPr>
        <w:t xml:space="preserve"> </w:t>
      </w:r>
      <w:proofErr w:type="spellStart"/>
      <w:r w:rsidR="004F3057" w:rsidRPr="007720BC">
        <w:rPr>
          <w:rStyle w:val="jlqj4b"/>
          <w:rFonts w:ascii="Times New Roman" w:hAnsi="Times New Roman" w:cs="Times New Roman"/>
          <w:sz w:val="24"/>
          <w:szCs w:val="24"/>
        </w:rPr>
        <w:t>dampak</w:t>
      </w:r>
      <w:proofErr w:type="spellEnd"/>
      <w:r w:rsidR="004F3057" w:rsidRPr="007720BC">
        <w:rPr>
          <w:rStyle w:val="jlqj4b"/>
          <w:rFonts w:ascii="Times New Roman" w:hAnsi="Times New Roman" w:cs="Times New Roman"/>
          <w:sz w:val="24"/>
          <w:szCs w:val="24"/>
        </w:rPr>
        <w:t xml:space="preserve"> </w:t>
      </w:r>
      <w:proofErr w:type="spellStart"/>
      <w:r w:rsidR="004F3057" w:rsidRPr="007720BC">
        <w:rPr>
          <w:rStyle w:val="jlqj4b"/>
          <w:rFonts w:ascii="Times New Roman" w:hAnsi="Times New Roman" w:cs="Times New Roman"/>
          <w:sz w:val="24"/>
          <w:szCs w:val="24"/>
        </w:rPr>
        <w:t>positif</w:t>
      </w:r>
      <w:proofErr w:type="spellEnd"/>
      <w:r w:rsidR="004F3057" w:rsidRPr="007720BC">
        <w:rPr>
          <w:rStyle w:val="jlqj4b"/>
          <w:rFonts w:ascii="Times New Roman" w:hAnsi="Times New Roman" w:cs="Times New Roman"/>
          <w:sz w:val="24"/>
          <w:szCs w:val="24"/>
        </w:rPr>
        <w:t xml:space="preserve"> </w:t>
      </w:r>
      <w:proofErr w:type="spellStart"/>
      <w:r w:rsidR="004F3057" w:rsidRPr="007720BC">
        <w:rPr>
          <w:rStyle w:val="jlqj4b"/>
          <w:rFonts w:ascii="Times New Roman" w:hAnsi="Times New Roman" w:cs="Times New Roman"/>
          <w:sz w:val="24"/>
          <w:szCs w:val="24"/>
        </w:rPr>
        <w:t>terutama</w:t>
      </w:r>
      <w:proofErr w:type="spellEnd"/>
      <w:r w:rsidR="004F3057" w:rsidRPr="007720BC">
        <w:rPr>
          <w:rStyle w:val="jlqj4b"/>
          <w:rFonts w:ascii="Times New Roman" w:hAnsi="Times New Roman" w:cs="Times New Roman"/>
          <w:sz w:val="24"/>
          <w:szCs w:val="24"/>
        </w:rPr>
        <w:t xml:space="preserve"> pada </w:t>
      </w:r>
      <w:proofErr w:type="spellStart"/>
      <w:r w:rsidR="004F3057" w:rsidRPr="007720BC">
        <w:rPr>
          <w:rStyle w:val="jlqj4b"/>
          <w:rFonts w:ascii="Times New Roman" w:hAnsi="Times New Roman" w:cs="Times New Roman"/>
          <w:sz w:val="24"/>
          <w:szCs w:val="24"/>
        </w:rPr>
        <w:t>inovasi</w:t>
      </w:r>
      <w:proofErr w:type="spellEnd"/>
      <w:r w:rsidR="004F3057" w:rsidRPr="007720BC">
        <w:rPr>
          <w:rStyle w:val="jlqj4b"/>
          <w:rFonts w:ascii="Times New Roman" w:hAnsi="Times New Roman" w:cs="Times New Roman"/>
          <w:sz w:val="24"/>
          <w:szCs w:val="24"/>
        </w:rPr>
        <w:t xml:space="preserve"> yang </w:t>
      </w:r>
      <w:proofErr w:type="spellStart"/>
      <w:r w:rsidR="004F3057" w:rsidRPr="007720BC">
        <w:rPr>
          <w:rStyle w:val="jlqj4b"/>
          <w:rFonts w:ascii="Times New Roman" w:hAnsi="Times New Roman" w:cs="Times New Roman"/>
          <w:sz w:val="24"/>
          <w:szCs w:val="24"/>
        </w:rPr>
        <w:t>dibutuhkan</w:t>
      </w:r>
      <w:proofErr w:type="spellEnd"/>
      <w:r w:rsidR="004F3057" w:rsidRPr="007720BC">
        <w:rPr>
          <w:rStyle w:val="jlqj4b"/>
          <w:rFonts w:ascii="Times New Roman" w:hAnsi="Times New Roman" w:cs="Times New Roman"/>
          <w:sz w:val="24"/>
          <w:szCs w:val="24"/>
        </w:rPr>
        <w:t xml:space="preserve">. </w:t>
      </w:r>
    </w:p>
    <w:p w14:paraId="5A069E16" w14:textId="0B51C140" w:rsidR="004F3057" w:rsidRPr="007720BC" w:rsidRDefault="004F3057" w:rsidP="000459C2">
      <w:pPr>
        <w:spacing w:after="0" w:line="240" w:lineRule="auto"/>
        <w:ind w:firstLine="720"/>
        <w:contextualSpacing/>
        <w:jc w:val="both"/>
        <w:rPr>
          <w:rFonts w:ascii="Times New Roman" w:hAnsi="Times New Roman" w:cs="Times New Roman"/>
          <w:sz w:val="24"/>
          <w:szCs w:val="24"/>
        </w:rPr>
      </w:pPr>
      <w:proofErr w:type="spellStart"/>
      <w:r w:rsidRPr="007720BC">
        <w:rPr>
          <w:rStyle w:val="jlqj4b"/>
          <w:rFonts w:ascii="Times New Roman" w:hAnsi="Times New Roman" w:cs="Times New Roman"/>
          <w:sz w:val="24"/>
          <w:szCs w:val="24"/>
        </w:rPr>
        <w:lastRenderedPageBreak/>
        <w:t>Penelitian</w:t>
      </w:r>
      <w:proofErr w:type="spellEnd"/>
      <w:r w:rsidRPr="007720BC">
        <w:rPr>
          <w:rStyle w:val="jlqj4b"/>
          <w:rFonts w:ascii="Times New Roman" w:hAnsi="Times New Roman" w:cs="Times New Roman"/>
          <w:sz w:val="24"/>
          <w:szCs w:val="24"/>
        </w:rPr>
        <w:t xml:space="preserve"> </w:t>
      </w:r>
      <w:proofErr w:type="spellStart"/>
      <w:r w:rsidRPr="007720BC">
        <w:rPr>
          <w:rStyle w:val="jlqj4b"/>
          <w:rFonts w:ascii="Times New Roman" w:hAnsi="Times New Roman" w:cs="Times New Roman"/>
          <w:sz w:val="24"/>
          <w:szCs w:val="24"/>
        </w:rPr>
        <w:t>ini</w:t>
      </w:r>
      <w:proofErr w:type="spellEnd"/>
      <w:r w:rsidRPr="007720BC">
        <w:rPr>
          <w:rStyle w:val="jlqj4b"/>
          <w:rFonts w:ascii="Times New Roman" w:hAnsi="Times New Roman" w:cs="Times New Roman"/>
          <w:sz w:val="24"/>
          <w:szCs w:val="24"/>
        </w:rPr>
        <w:t xml:space="preserve"> </w:t>
      </w:r>
      <w:proofErr w:type="spellStart"/>
      <w:r w:rsidRPr="007720BC">
        <w:rPr>
          <w:rStyle w:val="jlqj4b"/>
          <w:rFonts w:ascii="Times New Roman" w:hAnsi="Times New Roman" w:cs="Times New Roman"/>
          <w:sz w:val="24"/>
          <w:szCs w:val="24"/>
        </w:rPr>
        <w:t>akan</w:t>
      </w:r>
      <w:proofErr w:type="spellEnd"/>
      <w:r w:rsidRPr="007720BC">
        <w:rPr>
          <w:rStyle w:val="jlqj4b"/>
          <w:rFonts w:ascii="Times New Roman" w:hAnsi="Times New Roman" w:cs="Times New Roman"/>
          <w:sz w:val="24"/>
          <w:szCs w:val="24"/>
        </w:rPr>
        <w:t xml:space="preserve"> </w:t>
      </w:r>
      <w:proofErr w:type="spellStart"/>
      <w:r w:rsidRPr="007720BC">
        <w:rPr>
          <w:rStyle w:val="jlqj4b"/>
          <w:rFonts w:ascii="Times New Roman" w:hAnsi="Times New Roman" w:cs="Times New Roman"/>
          <w:sz w:val="24"/>
          <w:szCs w:val="24"/>
        </w:rPr>
        <w:t>membahas</w:t>
      </w:r>
      <w:proofErr w:type="spellEnd"/>
      <w:r w:rsidRPr="007720BC">
        <w:rPr>
          <w:rStyle w:val="jlqj4b"/>
          <w:rFonts w:ascii="Times New Roman" w:hAnsi="Times New Roman" w:cs="Times New Roman"/>
          <w:sz w:val="24"/>
          <w:szCs w:val="24"/>
        </w:rPr>
        <w:t xml:space="preserve"> </w:t>
      </w:r>
      <w:proofErr w:type="spellStart"/>
      <w:r w:rsidRPr="007720BC">
        <w:rPr>
          <w:rStyle w:val="jlqj4b"/>
          <w:rFonts w:ascii="Times New Roman" w:hAnsi="Times New Roman" w:cs="Times New Roman"/>
          <w:sz w:val="24"/>
          <w:szCs w:val="24"/>
        </w:rPr>
        <w:t>bagaimana</w:t>
      </w:r>
      <w:proofErr w:type="spellEnd"/>
      <w:r w:rsidRPr="007720BC">
        <w:rPr>
          <w:rStyle w:val="jlqj4b"/>
          <w:rFonts w:ascii="Times New Roman" w:hAnsi="Times New Roman" w:cs="Times New Roman"/>
          <w:sz w:val="24"/>
          <w:szCs w:val="24"/>
        </w:rPr>
        <w:t xml:space="preserve"> </w:t>
      </w:r>
      <w:proofErr w:type="spellStart"/>
      <w:r w:rsidR="00CE2353" w:rsidRPr="007720BC">
        <w:rPr>
          <w:rStyle w:val="jlqj4b"/>
          <w:rFonts w:ascii="Times New Roman" w:hAnsi="Times New Roman" w:cs="Times New Roman"/>
          <w:sz w:val="24"/>
          <w:szCs w:val="24"/>
        </w:rPr>
        <w:t>efektivitas</w:t>
      </w:r>
      <w:proofErr w:type="spellEnd"/>
      <w:r w:rsidR="00CE2353" w:rsidRPr="007720BC">
        <w:rPr>
          <w:rStyle w:val="jlqj4b"/>
          <w:rFonts w:ascii="Times New Roman" w:hAnsi="Times New Roman" w:cs="Times New Roman"/>
          <w:sz w:val="24"/>
          <w:szCs w:val="24"/>
        </w:rPr>
        <w:t xml:space="preserve"> </w:t>
      </w:r>
      <w:proofErr w:type="spellStart"/>
      <w:r w:rsidR="00CE2353" w:rsidRPr="007720BC">
        <w:rPr>
          <w:rStyle w:val="jlqj4b"/>
          <w:rFonts w:ascii="Times New Roman" w:hAnsi="Times New Roman" w:cs="Times New Roman"/>
          <w:sz w:val="24"/>
          <w:szCs w:val="24"/>
        </w:rPr>
        <w:t>implementasi</w:t>
      </w:r>
      <w:proofErr w:type="spellEnd"/>
      <w:r w:rsidR="00CE2353" w:rsidRPr="007720BC">
        <w:rPr>
          <w:rStyle w:val="jlqj4b"/>
          <w:rFonts w:ascii="Times New Roman" w:hAnsi="Times New Roman" w:cs="Times New Roman"/>
          <w:sz w:val="24"/>
          <w:szCs w:val="24"/>
        </w:rPr>
        <w:t xml:space="preserve"> </w:t>
      </w:r>
      <w:proofErr w:type="spellStart"/>
      <w:r w:rsidR="0084284E" w:rsidRPr="007720BC">
        <w:rPr>
          <w:rFonts w:ascii="Times New Roman" w:hAnsi="Times New Roman" w:cs="Times New Roman"/>
          <w:sz w:val="24"/>
          <w:szCs w:val="24"/>
          <w:lang w:val="en-US"/>
        </w:rPr>
        <w:t>kebijakan</w:t>
      </w:r>
      <w:proofErr w:type="spellEnd"/>
      <w:r w:rsidR="0084284E" w:rsidRPr="007720BC">
        <w:rPr>
          <w:rFonts w:ascii="Times New Roman" w:hAnsi="Times New Roman" w:cs="Times New Roman"/>
          <w:sz w:val="24"/>
          <w:szCs w:val="24"/>
          <w:lang w:val="en-US"/>
        </w:rPr>
        <w:t xml:space="preserve"> </w:t>
      </w:r>
      <w:proofErr w:type="spellStart"/>
      <w:r w:rsidR="004B11C1" w:rsidRPr="007720BC">
        <w:rPr>
          <w:rFonts w:ascii="Times New Roman" w:hAnsi="Times New Roman" w:cs="Times New Roman"/>
          <w:sz w:val="24"/>
          <w:szCs w:val="24"/>
          <w:lang w:val="en-US"/>
        </w:rPr>
        <w:t>percepatan</w:t>
      </w:r>
      <w:proofErr w:type="spellEnd"/>
      <w:r w:rsidR="004B11C1" w:rsidRPr="007720BC">
        <w:rPr>
          <w:rFonts w:ascii="Times New Roman" w:hAnsi="Times New Roman" w:cs="Times New Roman"/>
          <w:sz w:val="24"/>
          <w:szCs w:val="24"/>
          <w:lang w:val="en-US"/>
        </w:rPr>
        <w:t xml:space="preserve"> </w:t>
      </w:r>
      <w:proofErr w:type="spellStart"/>
      <w:r w:rsidR="004B11C1" w:rsidRPr="007720BC">
        <w:rPr>
          <w:rFonts w:ascii="Times New Roman" w:hAnsi="Times New Roman" w:cs="Times New Roman"/>
          <w:sz w:val="24"/>
          <w:szCs w:val="24"/>
          <w:lang w:val="en-US"/>
        </w:rPr>
        <w:t>penurunan</w:t>
      </w:r>
      <w:proofErr w:type="spellEnd"/>
      <w:r w:rsidR="00640323" w:rsidRPr="007720BC">
        <w:rPr>
          <w:rFonts w:ascii="Times New Roman" w:hAnsi="Times New Roman" w:cs="Times New Roman"/>
          <w:sz w:val="24"/>
          <w:szCs w:val="24"/>
          <w:lang w:val="en-US"/>
        </w:rPr>
        <w:t xml:space="preserve"> </w:t>
      </w:r>
      <w:r w:rsidR="0084284E" w:rsidRPr="007720BC">
        <w:rPr>
          <w:rFonts w:ascii="Times New Roman" w:hAnsi="Times New Roman" w:cs="Times New Roman"/>
          <w:sz w:val="24"/>
          <w:szCs w:val="24"/>
          <w:lang w:val="en-US"/>
        </w:rPr>
        <w:t>s</w:t>
      </w:r>
      <w:r w:rsidR="00640323" w:rsidRPr="007720BC">
        <w:rPr>
          <w:rFonts w:ascii="Times New Roman" w:hAnsi="Times New Roman" w:cs="Times New Roman"/>
          <w:sz w:val="24"/>
          <w:szCs w:val="24"/>
          <w:lang w:val="en-US"/>
        </w:rPr>
        <w:t xml:space="preserve">tunting di </w:t>
      </w:r>
      <w:r w:rsidR="00CE2353" w:rsidRPr="007720BC">
        <w:rPr>
          <w:rFonts w:ascii="Times New Roman" w:hAnsi="Times New Roman" w:cs="Times New Roman"/>
          <w:sz w:val="24"/>
          <w:szCs w:val="24"/>
          <w:lang w:val="en-US"/>
        </w:rPr>
        <w:t xml:space="preserve">Kampung KB Desa </w:t>
      </w:r>
      <w:proofErr w:type="spellStart"/>
      <w:r w:rsidR="00CE2353" w:rsidRPr="007720BC">
        <w:rPr>
          <w:rFonts w:ascii="Times New Roman" w:hAnsi="Times New Roman" w:cs="Times New Roman"/>
          <w:sz w:val="24"/>
          <w:szCs w:val="24"/>
          <w:lang w:val="en-US"/>
        </w:rPr>
        <w:t>Mongpok</w:t>
      </w:r>
      <w:proofErr w:type="spellEnd"/>
      <w:r w:rsidR="00CE2353" w:rsidRPr="007720BC">
        <w:rPr>
          <w:rFonts w:ascii="Times New Roman" w:hAnsi="Times New Roman" w:cs="Times New Roman"/>
          <w:sz w:val="24"/>
          <w:szCs w:val="24"/>
          <w:lang w:val="en-US"/>
        </w:rPr>
        <w:t xml:space="preserve"> </w:t>
      </w:r>
      <w:proofErr w:type="spellStart"/>
      <w:r w:rsidR="00CE2353" w:rsidRPr="007720BC">
        <w:rPr>
          <w:rFonts w:ascii="Times New Roman" w:hAnsi="Times New Roman" w:cs="Times New Roman"/>
          <w:sz w:val="24"/>
          <w:szCs w:val="24"/>
          <w:lang w:val="en-US"/>
        </w:rPr>
        <w:t>Kecamatan</w:t>
      </w:r>
      <w:proofErr w:type="spellEnd"/>
      <w:r w:rsidR="00CE2353" w:rsidRPr="007720BC">
        <w:rPr>
          <w:rFonts w:ascii="Times New Roman" w:hAnsi="Times New Roman" w:cs="Times New Roman"/>
          <w:sz w:val="24"/>
          <w:szCs w:val="24"/>
          <w:lang w:val="en-US"/>
        </w:rPr>
        <w:t xml:space="preserve"> </w:t>
      </w:r>
      <w:proofErr w:type="spellStart"/>
      <w:r w:rsidR="00CE2353" w:rsidRPr="007720BC">
        <w:rPr>
          <w:rFonts w:ascii="Times New Roman" w:hAnsi="Times New Roman" w:cs="Times New Roman"/>
          <w:sz w:val="24"/>
          <w:szCs w:val="24"/>
          <w:lang w:val="en-US"/>
        </w:rPr>
        <w:t>Cikeusal</w:t>
      </w:r>
      <w:proofErr w:type="spellEnd"/>
      <w:r w:rsidR="00CE2353" w:rsidRPr="007720BC">
        <w:rPr>
          <w:rFonts w:ascii="Times New Roman" w:hAnsi="Times New Roman" w:cs="Times New Roman"/>
          <w:sz w:val="24"/>
          <w:szCs w:val="24"/>
          <w:lang w:val="en-US"/>
        </w:rPr>
        <w:t xml:space="preserve"> </w:t>
      </w:r>
      <w:proofErr w:type="spellStart"/>
      <w:r w:rsidR="00CE2353" w:rsidRPr="007720BC">
        <w:rPr>
          <w:rFonts w:ascii="Times New Roman" w:hAnsi="Times New Roman" w:cs="Times New Roman"/>
          <w:sz w:val="24"/>
          <w:szCs w:val="24"/>
          <w:lang w:val="en-US"/>
        </w:rPr>
        <w:t>Kabupaten</w:t>
      </w:r>
      <w:proofErr w:type="spellEnd"/>
      <w:r w:rsidR="00CE2353" w:rsidRPr="007720BC">
        <w:rPr>
          <w:rFonts w:ascii="Times New Roman" w:hAnsi="Times New Roman" w:cs="Times New Roman"/>
          <w:sz w:val="24"/>
          <w:szCs w:val="24"/>
          <w:lang w:val="en-US"/>
        </w:rPr>
        <w:t xml:space="preserve"> </w:t>
      </w:r>
      <w:proofErr w:type="spellStart"/>
      <w:r w:rsidR="00CE2353" w:rsidRPr="007720BC">
        <w:rPr>
          <w:rFonts w:ascii="Times New Roman" w:hAnsi="Times New Roman" w:cs="Times New Roman"/>
          <w:sz w:val="24"/>
          <w:szCs w:val="24"/>
          <w:lang w:val="en-US"/>
        </w:rPr>
        <w:t>Serang</w:t>
      </w:r>
      <w:proofErr w:type="spellEnd"/>
      <w:r w:rsidR="00CE2353"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rPr>
        <w:t>dengan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menggunakan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pendekatan</w:t>
      </w:r>
      <w:proofErr w:type="spellEnd"/>
      <w:r w:rsidRPr="007720BC">
        <w:rPr>
          <w:rFonts w:ascii="Times New Roman" w:hAnsi="Times New Roman" w:cs="Times New Roman"/>
          <w:sz w:val="24"/>
          <w:szCs w:val="24"/>
        </w:rPr>
        <w:t xml:space="preserve"> </w:t>
      </w:r>
      <w:bookmarkStart w:id="2" w:name="_Hlk143214703"/>
      <w:proofErr w:type="spellStart"/>
      <w:r w:rsidR="0083188C" w:rsidRPr="007720BC">
        <w:rPr>
          <w:rFonts w:ascii="Times New Roman" w:hAnsi="Times New Roman" w:cs="Times New Roman"/>
          <w:sz w:val="24"/>
          <w:szCs w:val="24"/>
        </w:rPr>
        <w:t>terhadap</w:t>
      </w:r>
      <w:proofErr w:type="spellEnd"/>
      <w:r w:rsidR="0083188C" w:rsidRPr="007720BC">
        <w:rPr>
          <w:rFonts w:ascii="Times New Roman" w:hAnsi="Times New Roman" w:cs="Times New Roman"/>
          <w:sz w:val="24"/>
          <w:szCs w:val="24"/>
        </w:rPr>
        <w:t xml:space="preserve"> </w:t>
      </w:r>
      <w:proofErr w:type="spellStart"/>
      <w:r w:rsidR="00CE2353" w:rsidRPr="007720BC">
        <w:rPr>
          <w:rFonts w:ascii="Times New Roman" w:hAnsi="Times New Roman" w:cs="Times New Roman"/>
          <w:sz w:val="24"/>
          <w:szCs w:val="24"/>
        </w:rPr>
        <w:t>perubahan</w:t>
      </w:r>
      <w:proofErr w:type="spellEnd"/>
      <w:r w:rsidR="005929DB" w:rsidRPr="007720BC">
        <w:rPr>
          <w:rFonts w:ascii="Times New Roman" w:hAnsi="Times New Roman" w:cs="Times New Roman"/>
          <w:sz w:val="24"/>
          <w:szCs w:val="24"/>
        </w:rPr>
        <w:t xml:space="preserve"> </w:t>
      </w:r>
      <w:proofErr w:type="spellStart"/>
      <w:r w:rsidR="005929DB" w:rsidRPr="007720BC">
        <w:rPr>
          <w:rFonts w:ascii="Times New Roman" w:hAnsi="Times New Roman" w:cs="Times New Roman"/>
          <w:sz w:val="24"/>
          <w:szCs w:val="24"/>
        </w:rPr>
        <w:t>perilaku</w:t>
      </w:r>
      <w:proofErr w:type="spellEnd"/>
      <w:r w:rsidR="005929DB" w:rsidRPr="007720BC">
        <w:rPr>
          <w:rFonts w:ascii="Times New Roman" w:hAnsi="Times New Roman" w:cs="Times New Roman"/>
          <w:sz w:val="24"/>
          <w:szCs w:val="24"/>
        </w:rPr>
        <w:t xml:space="preserve"> </w:t>
      </w:r>
      <w:proofErr w:type="spellStart"/>
      <w:r w:rsidR="005929DB" w:rsidRPr="007720BC">
        <w:rPr>
          <w:rFonts w:ascii="Times New Roman" w:hAnsi="Times New Roman" w:cs="Times New Roman"/>
          <w:sz w:val="24"/>
          <w:szCs w:val="24"/>
        </w:rPr>
        <w:t>kelompok</w:t>
      </w:r>
      <w:proofErr w:type="spellEnd"/>
      <w:r w:rsidR="005929DB" w:rsidRPr="007720BC">
        <w:rPr>
          <w:rFonts w:ascii="Times New Roman" w:hAnsi="Times New Roman" w:cs="Times New Roman"/>
          <w:sz w:val="24"/>
          <w:szCs w:val="24"/>
        </w:rPr>
        <w:t xml:space="preserve"> </w:t>
      </w:r>
      <w:proofErr w:type="spellStart"/>
      <w:r w:rsidR="005929DB" w:rsidRPr="007720BC">
        <w:rPr>
          <w:rFonts w:ascii="Times New Roman" w:hAnsi="Times New Roman" w:cs="Times New Roman"/>
          <w:sz w:val="24"/>
          <w:szCs w:val="24"/>
        </w:rPr>
        <w:t>sasaran</w:t>
      </w:r>
      <w:proofErr w:type="spellEnd"/>
      <w:r w:rsidR="00CE2353" w:rsidRPr="007720BC">
        <w:rPr>
          <w:rFonts w:ascii="Times New Roman" w:hAnsi="Times New Roman" w:cs="Times New Roman"/>
          <w:sz w:val="24"/>
          <w:szCs w:val="24"/>
        </w:rPr>
        <w:t xml:space="preserve">, </w:t>
      </w:r>
      <w:proofErr w:type="spellStart"/>
      <w:r w:rsidR="0083188C" w:rsidRPr="007720BC">
        <w:rPr>
          <w:rFonts w:ascii="Times New Roman" w:hAnsi="Times New Roman" w:cs="Times New Roman"/>
          <w:sz w:val="24"/>
          <w:szCs w:val="24"/>
        </w:rPr>
        <w:t>inovasi</w:t>
      </w:r>
      <w:proofErr w:type="spellEnd"/>
      <w:r w:rsidR="0083188C" w:rsidRPr="007720BC">
        <w:rPr>
          <w:rFonts w:ascii="Times New Roman" w:hAnsi="Times New Roman" w:cs="Times New Roman"/>
          <w:sz w:val="24"/>
          <w:szCs w:val="24"/>
        </w:rPr>
        <w:t xml:space="preserve"> </w:t>
      </w:r>
      <w:proofErr w:type="spellStart"/>
      <w:r w:rsidR="0083188C" w:rsidRPr="007720BC">
        <w:rPr>
          <w:rFonts w:ascii="Times New Roman" w:hAnsi="Times New Roman" w:cs="Times New Roman"/>
          <w:sz w:val="24"/>
          <w:szCs w:val="24"/>
        </w:rPr>
        <w:t>implementasi</w:t>
      </w:r>
      <w:proofErr w:type="spellEnd"/>
      <w:r w:rsidR="0083188C" w:rsidRPr="007720BC">
        <w:rPr>
          <w:rFonts w:ascii="Times New Roman" w:hAnsi="Times New Roman" w:cs="Times New Roman"/>
          <w:sz w:val="24"/>
          <w:szCs w:val="24"/>
        </w:rPr>
        <w:t xml:space="preserve"> Kampung KB, </w:t>
      </w:r>
      <w:proofErr w:type="spellStart"/>
      <w:r w:rsidRPr="007720BC">
        <w:rPr>
          <w:rFonts w:ascii="Times New Roman" w:hAnsi="Times New Roman" w:cs="Times New Roman"/>
          <w:sz w:val="24"/>
          <w:szCs w:val="24"/>
        </w:rPr>
        <w:t>dukungan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pemerintah</w:t>
      </w:r>
      <w:proofErr w:type="spellEnd"/>
      <w:r w:rsidRPr="007720BC">
        <w:rPr>
          <w:rFonts w:ascii="Times New Roman" w:hAnsi="Times New Roman" w:cs="Times New Roman"/>
          <w:sz w:val="24"/>
          <w:szCs w:val="24"/>
        </w:rPr>
        <w:t xml:space="preserve"> yang </w:t>
      </w:r>
      <w:proofErr w:type="spellStart"/>
      <w:r w:rsidRPr="007720BC">
        <w:rPr>
          <w:rFonts w:ascii="Times New Roman" w:hAnsi="Times New Roman" w:cs="Times New Roman"/>
          <w:sz w:val="24"/>
          <w:szCs w:val="24"/>
        </w:rPr>
        <w:t>efektif</w:t>
      </w:r>
      <w:proofErr w:type="spellEnd"/>
      <w:r w:rsidR="00E47F8F" w:rsidRPr="007720BC">
        <w:rPr>
          <w:rFonts w:ascii="Times New Roman" w:hAnsi="Times New Roman" w:cs="Times New Roman"/>
          <w:sz w:val="24"/>
          <w:szCs w:val="24"/>
        </w:rPr>
        <w:t xml:space="preserve"> </w:t>
      </w:r>
      <w:r w:rsidR="00CE2353" w:rsidRPr="007720BC">
        <w:rPr>
          <w:rFonts w:ascii="Times New Roman" w:hAnsi="Times New Roman" w:cs="Times New Roman"/>
          <w:sz w:val="24"/>
          <w:szCs w:val="24"/>
        </w:rPr>
        <w:t xml:space="preserve">dan </w:t>
      </w:r>
      <w:proofErr w:type="spellStart"/>
      <w:r w:rsidRPr="007720BC">
        <w:rPr>
          <w:rFonts w:ascii="Times New Roman" w:hAnsi="Times New Roman" w:cs="Times New Roman"/>
          <w:sz w:val="24"/>
          <w:szCs w:val="24"/>
        </w:rPr>
        <w:t>dampak</w:t>
      </w:r>
      <w:proofErr w:type="spellEnd"/>
      <w:r w:rsidRPr="007720BC">
        <w:rPr>
          <w:rFonts w:ascii="Times New Roman" w:hAnsi="Times New Roman" w:cs="Times New Roman"/>
          <w:sz w:val="24"/>
          <w:szCs w:val="24"/>
        </w:rPr>
        <w:t xml:space="preserve"> </w:t>
      </w:r>
      <w:proofErr w:type="spellStart"/>
      <w:r w:rsidR="00CE2353" w:rsidRPr="007720BC">
        <w:rPr>
          <w:rFonts w:ascii="Times New Roman" w:hAnsi="Times New Roman" w:cs="Times New Roman"/>
          <w:sz w:val="24"/>
          <w:szCs w:val="24"/>
        </w:rPr>
        <w:t>implementasi</w:t>
      </w:r>
      <w:proofErr w:type="spellEnd"/>
      <w:r w:rsidR="00CE2353" w:rsidRPr="007720BC">
        <w:rPr>
          <w:rFonts w:ascii="Times New Roman" w:hAnsi="Times New Roman" w:cs="Times New Roman"/>
          <w:sz w:val="24"/>
          <w:szCs w:val="24"/>
        </w:rPr>
        <w:t xml:space="preserve"> program.</w:t>
      </w:r>
      <w:bookmarkEnd w:id="2"/>
      <w:r w:rsidR="000459C2"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Kontribusi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teoritis</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penelitian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ini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adalah</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bahwa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dengan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memahami</w:t>
      </w:r>
      <w:proofErr w:type="spellEnd"/>
      <w:r w:rsidRPr="007720BC">
        <w:rPr>
          <w:rFonts w:ascii="Times New Roman" w:hAnsi="Times New Roman" w:cs="Times New Roman"/>
          <w:sz w:val="24"/>
          <w:szCs w:val="24"/>
        </w:rPr>
        <w:t xml:space="preserve"> </w:t>
      </w:r>
      <w:proofErr w:type="spellStart"/>
      <w:r w:rsidR="00CE2353" w:rsidRPr="007720BC">
        <w:rPr>
          <w:rStyle w:val="jlqj4b"/>
          <w:rFonts w:ascii="Times New Roman" w:hAnsi="Times New Roman" w:cs="Times New Roman"/>
          <w:sz w:val="24"/>
          <w:szCs w:val="24"/>
        </w:rPr>
        <w:t>efektivitas</w:t>
      </w:r>
      <w:proofErr w:type="spellEnd"/>
      <w:r w:rsidR="00CE2353" w:rsidRPr="007720BC">
        <w:rPr>
          <w:rStyle w:val="jlqj4b"/>
          <w:rFonts w:ascii="Times New Roman" w:hAnsi="Times New Roman" w:cs="Times New Roman"/>
          <w:sz w:val="24"/>
          <w:szCs w:val="24"/>
        </w:rPr>
        <w:t xml:space="preserve"> </w:t>
      </w:r>
      <w:proofErr w:type="spellStart"/>
      <w:r w:rsidR="00CE2353" w:rsidRPr="007720BC">
        <w:rPr>
          <w:rStyle w:val="jlqj4b"/>
          <w:rFonts w:ascii="Times New Roman" w:hAnsi="Times New Roman" w:cs="Times New Roman"/>
          <w:sz w:val="24"/>
          <w:szCs w:val="24"/>
        </w:rPr>
        <w:t>implementasi</w:t>
      </w:r>
      <w:proofErr w:type="spellEnd"/>
      <w:r w:rsidR="00CE2353" w:rsidRPr="007720BC">
        <w:rPr>
          <w:rStyle w:val="jlqj4b"/>
          <w:rFonts w:ascii="Times New Roman" w:hAnsi="Times New Roman" w:cs="Times New Roman"/>
          <w:sz w:val="24"/>
          <w:szCs w:val="24"/>
        </w:rPr>
        <w:t xml:space="preserve"> </w:t>
      </w:r>
      <w:r w:rsidR="00CE2353" w:rsidRPr="007720BC">
        <w:rPr>
          <w:rFonts w:ascii="Times New Roman" w:hAnsi="Times New Roman" w:cs="Times New Roman"/>
          <w:sz w:val="24"/>
          <w:szCs w:val="24"/>
          <w:lang w:val="en-US"/>
        </w:rPr>
        <w:t xml:space="preserve">Kampung KB </w:t>
      </w:r>
      <w:proofErr w:type="spellStart"/>
      <w:r w:rsidRPr="007720BC">
        <w:rPr>
          <w:rFonts w:ascii="Times New Roman" w:hAnsi="Times New Roman" w:cs="Times New Roman"/>
          <w:sz w:val="24"/>
          <w:szCs w:val="24"/>
        </w:rPr>
        <w:t>melalui</w:t>
      </w:r>
      <w:proofErr w:type="spellEnd"/>
      <w:r w:rsidRPr="007720BC">
        <w:rPr>
          <w:rFonts w:ascii="Times New Roman" w:hAnsi="Times New Roman" w:cs="Times New Roman"/>
          <w:sz w:val="24"/>
          <w:szCs w:val="24"/>
        </w:rPr>
        <w:t xml:space="preserve"> </w:t>
      </w:r>
      <w:proofErr w:type="spellStart"/>
      <w:r w:rsidR="00E47F8F" w:rsidRPr="007720BC">
        <w:rPr>
          <w:rFonts w:ascii="Times New Roman" w:hAnsi="Times New Roman" w:cs="Times New Roman"/>
          <w:sz w:val="24"/>
          <w:szCs w:val="24"/>
        </w:rPr>
        <w:t>empat</w:t>
      </w:r>
      <w:proofErr w:type="spellEnd"/>
      <w:r w:rsidR="00E47F8F"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pertanyaan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penting</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yaitu</w:t>
      </w:r>
      <w:proofErr w:type="spellEnd"/>
      <w:r w:rsidRPr="007720BC">
        <w:rPr>
          <w:rFonts w:ascii="Times New Roman" w:hAnsi="Times New Roman" w:cs="Times New Roman"/>
          <w:sz w:val="24"/>
          <w:szCs w:val="24"/>
        </w:rPr>
        <w:t xml:space="preserve"> </w:t>
      </w:r>
      <w:proofErr w:type="spellStart"/>
      <w:r w:rsidR="004F5484" w:rsidRPr="007720BC">
        <w:rPr>
          <w:rFonts w:ascii="Times New Roman" w:hAnsi="Times New Roman" w:cs="Times New Roman"/>
          <w:sz w:val="24"/>
          <w:szCs w:val="24"/>
        </w:rPr>
        <w:t>pendekatan</w:t>
      </w:r>
      <w:proofErr w:type="spellEnd"/>
      <w:r w:rsidR="004F5484" w:rsidRPr="007720BC">
        <w:rPr>
          <w:rFonts w:ascii="Times New Roman" w:hAnsi="Times New Roman" w:cs="Times New Roman"/>
          <w:sz w:val="24"/>
          <w:szCs w:val="24"/>
        </w:rPr>
        <w:t xml:space="preserve"> </w:t>
      </w:r>
      <w:proofErr w:type="spellStart"/>
      <w:r w:rsidR="004F5484" w:rsidRPr="007720BC">
        <w:rPr>
          <w:rFonts w:ascii="Times New Roman" w:hAnsi="Times New Roman" w:cs="Times New Roman"/>
          <w:sz w:val="24"/>
          <w:szCs w:val="24"/>
        </w:rPr>
        <w:t>terhadap</w:t>
      </w:r>
      <w:proofErr w:type="spellEnd"/>
      <w:r w:rsidR="004F5484" w:rsidRPr="007720BC">
        <w:rPr>
          <w:rFonts w:ascii="Times New Roman" w:hAnsi="Times New Roman" w:cs="Times New Roman"/>
          <w:sz w:val="24"/>
          <w:szCs w:val="24"/>
        </w:rPr>
        <w:t xml:space="preserve"> </w:t>
      </w:r>
      <w:proofErr w:type="spellStart"/>
      <w:r w:rsidR="004F5484" w:rsidRPr="007720BC">
        <w:rPr>
          <w:rFonts w:ascii="Times New Roman" w:hAnsi="Times New Roman" w:cs="Times New Roman"/>
          <w:sz w:val="24"/>
          <w:szCs w:val="24"/>
        </w:rPr>
        <w:t>perubahan</w:t>
      </w:r>
      <w:proofErr w:type="spellEnd"/>
      <w:r w:rsidR="004F5484" w:rsidRPr="007720BC">
        <w:rPr>
          <w:rFonts w:ascii="Times New Roman" w:hAnsi="Times New Roman" w:cs="Times New Roman"/>
          <w:sz w:val="24"/>
          <w:szCs w:val="24"/>
        </w:rPr>
        <w:t xml:space="preserve"> </w:t>
      </w:r>
      <w:proofErr w:type="spellStart"/>
      <w:r w:rsidR="004F5484" w:rsidRPr="007720BC">
        <w:rPr>
          <w:rFonts w:ascii="Times New Roman" w:hAnsi="Times New Roman" w:cs="Times New Roman"/>
          <w:sz w:val="24"/>
          <w:szCs w:val="24"/>
        </w:rPr>
        <w:t>perilaku</w:t>
      </w:r>
      <w:proofErr w:type="spellEnd"/>
      <w:r w:rsidR="004F5484" w:rsidRPr="007720BC">
        <w:rPr>
          <w:rFonts w:ascii="Times New Roman" w:hAnsi="Times New Roman" w:cs="Times New Roman"/>
          <w:sz w:val="24"/>
          <w:szCs w:val="24"/>
        </w:rPr>
        <w:t xml:space="preserve"> </w:t>
      </w:r>
      <w:proofErr w:type="spellStart"/>
      <w:r w:rsidR="004F5484" w:rsidRPr="007720BC">
        <w:rPr>
          <w:rFonts w:ascii="Times New Roman" w:hAnsi="Times New Roman" w:cs="Times New Roman"/>
          <w:sz w:val="24"/>
          <w:szCs w:val="24"/>
        </w:rPr>
        <w:t>kelompok</w:t>
      </w:r>
      <w:proofErr w:type="spellEnd"/>
      <w:r w:rsidR="004F5484" w:rsidRPr="007720BC">
        <w:rPr>
          <w:rFonts w:ascii="Times New Roman" w:hAnsi="Times New Roman" w:cs="Times New Roman"/>
          <w:sz w:val="24"/>
          <w:szCs w:val="24"/>
        </w:rPr>
        <w:t xml:space="preserve"> </w:t>
      </w:r>
      <w:proofErr w:type="spellStart"/>
      <w:r w:rsidR="004F5484" w:rsidRPr="007720BC">
        <w:rPr>
          <w:rFonts w:ascii="Times New Roman" w:hAnsi="Times New Roman" w:cs="Times New Roman"/>
          <w:sz w:val="24"/>
          <w:szCs w:val="24"/>
        </w:rPr>
        <w:t>sasaran</w:t>
      </w:r>
      <w:proofErr w:type="spellEnd"/>
      <w:r w:rsidR="004F5484" w:rsidRPr="007720BC">
        <w:rPr>
          <w:rFonts w:ascii="Times New Roman" w:hAnsi="Times New Roman" w:cs="Times New Roman"/>
          <w:sz w:val="24"/>
          <w:szCs w:val="24"/>
        </w:rPr>
        <w:t xml:space="preserve">, </w:t>
      </w:r>
      <w:proofErr w:type="spellStart"/>
      <w:r w:rsidR="004F5484" w:rsidRPr="007720BC">
        <w:rPr>
          <w:rFonts w:ascii="Times New Roman" w:hAnsi="Times New Roman" w:cs="Times New Roman"/>
          <w:sz w:val="24"/>
          <w:szCs w:val="24"/>
        </w:rPr>
        <w:t>inovasi</w:t>
      </w:r>
      <w:proofErr w:type="spellEnd"/>
      <w:r w:rsidR="004F5484" w:rsidRPr="007720BC">
        <w:rPr>
          <w:rFonts w:ascii="Times New Roman" w:hAnsi="Times New Roman" w:cs="Times New Roman"/>
          <w:sz w:val="24"/>
          <w:szCs w:val="24"/>
        </w:rPr>
        <w:t xml:space="preserve"> </w:t>
      </w:r>
      <w:proofErr w:type="spellStart"/>
      <w:r w:rsidR="004F5484" w:rsidRPr="007720BC">
        <w:rPr>
          <w:rFonts w:ascii="Times New Roman" w:hAnsi="Times New Roman" w:cs="Times New Roman"/>
          <w:sz w:val="24"/>
          <w:szCs w:val="24"/>
        </w:rPr>
        <w:t>implementasi</w:t>
      </w:r>
      <w:proofErr w:type="spellEnd"/>
      <w:r w:rsidR="004F5484" w:rsidRPr="007720BC">
        <w:rPr>
          <w:rFonts w:ascii="Times New Roman" w:hAnsi="Times New Roman" w:cs="Times New Roman"/>
          <w:sz w:val="24"/>
          <w:szCs w:val="24"/>
        </w:rPr>
        <w:t xml:space="preserve"> Kampung KB, </w:t>
      </w:r>
      <w:proofErr w:type="spellStart"/>
      <w:r w:rsidR="004F5484" w:rsidRPr="007720BC">
        <w:rPr>
          <w:rFonts w:ascii="Times New Roman" w:hAnsi="Times New Roman" w:cs="Times New Roman"/>
          <w:sz w:val="24"/>
          <w:szCs w:val="24"/>
        </w:rPr>
        <w:t>dukungan</w:t>
      </w:r>
      <w:proofErr w:type="spellEnd"/>
      <w:r w:rsidR="004F5484" w:rsidRPr="007720BC">
        <w:rPr>
          <w:rFonts w:ascii="Times New Roman" w:hAnsi="Times New Roman" w:cs="Times New Roman"/>
          <w:sz w:val="24"/>
          <w:szCs w:val="24"/>
        </w:rPr>
        <w:t xml:space="preserve"> </w:t>
      </w:r>
      <w:proofErr w:type="spellStart"/>
      <w:r w:rsidR="004F5484" w:rsidRPr="007720BC">
        <w:rPr>
          <w:rFonts w:ascii="Times New Roman" w:hAnsi="Times New Roman" w:cs="Times New Roman"/>
          <w:sz w:val="24"/>
          <w:szCs w:val="24"/>
        </w:rPr>
        <w:t>pemerintah</w:t>
      </w:r>
      <w:proofErr w:type="spellEnd"/>
      <w:r w:rsidR="004F5484" w:rsidRPr="007720BC">
        <w:rPr>
          <w:rFonts w:ascii="Times New Roman" w:hAnsi="Times New Roman" w:cs="Times New Roman"/>
          <w:sz w:val="24"/>
          <w:szCs w:val="24"/>
        </w:rPr>
        <w:t xml:space="preserve"> yang </w:t>
      </w:r>
      <w:proofErr w:type="spellStart"/>
      <w:r w:rsidR="004F5484" w:rsidRPr="007720BC">
        <w:rPr>
          <w:rFonts w:ascii="Times New Roman" w:hAnsi="Times New Roman" w:cs="Times New Roman"/>
          <w:sz w:val="24"/>
          <w:szCs w:val="24"/>
        </w:rPr>
        <w:t>efektif</w:t>
      </w:r>
      <w:proofErr w:type="spellEnd"/>
      <w:r w:rsidR="004F5484" w:rsidRPr="007720BC">
        <w:rPr>
          <w:rFonts w:ascii="Times New Roman" w:hAnsi="Times New Roman" w:cs="Times New Roman"/>
          <w:sz w:val="24"/>
          <w:szCs w:val="24"/>
        </w:rPr>
        <w:t xml:space="preserve"> dan </w:t>
      </w:r>
      <w:proofErr w:type="spellStart"/>
      <w:r w:rsidR="004F5484" w:rsidRPr="007720BC">
        <w:rPr>
          <w:rFonts w:ascii="Times New Roman" w:hAnsi="Times New Roman" w:cs="Times New Roman"/>
          <w:sz w:val="24"/>
          <w:szCs w:val="24"/>
        </w:rPr>
        <w:t>dampak</w:t>
      </w:r>
      <w:proofErr w:type="spellEnd"/>
      <w:r w:rsidR="004F5484" w:rsidRPr="007720BC">
        <w:rPr>
          <w:rFonts w:ascii="Times New Roman" w:hAnsi="Times New Roman" w:cs="Times New Roman"/>
          <w:sz w:val="24"/>
          <w:szCs w:val="24"/>
        </w:rPr>
        <w:t xml:space="preserve"> </w:t>
      </w:r>
      <w:proofErr w:type="spellStart"/>
      <w:r w:rsidR="004F5484" w:rsidRPr="007720BC">
        <w:rPr>
          <w:rFonts w:ascii="Times New Roman" w:hAnsi="Times New Roman" w:cs="Times New Roman"/>
          <w:sz w:val="24"/>
          <w:szCs w:val="24"/>
        </w:rPr>
        <w:t>implementasi</w:t>
      </w:r>
      <w:proofErr w:type="spellEnd"/>
      <w:r w:rsidR="004F5484" w:rsidRPr="007720BC">
        <w:rPr>
          <w:rFonts w:ascii="Times New Roman" w:hAnsi="Times New Roman" w:cs="Times New Roman"/>
          <w:sz w:val="24"/>
          <w:szCs w:val="24"/>
        </w:rPr>
        <w:t xml:space="preserve"> program</w:t>
      </w:r>
      <w:r w:rsidR="00CE2353"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maka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akan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mendorong</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berkembangnya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gagasan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teoritis</w:t>
      </w:r>
      <w:proofErr w:type="spellEnd"/>
      <w:r w:rsidRPr="007720BC">
        <w:rPr>
          <w:rFonts w:ascii="Times New Roman" w:hAnsi="Times New Roman" w:cs="Times New Roman"/>
          <w:sz w:val="24"/>
          <w:szCs w:val="24"/>
        </w:rPr>
        <w:t xml:space="preserve"> </w:t>
      </w:r>
      <w:proofErr w:type="spellStart"/>
      <w:r w:rsidR="004B11C1" w:rsidRPr="007720BC">
        <w:rPr>
          <w:rFonts w:ascii="Times New Roman" w:hAnsi="Times New Roman" w:cs="Times New Roman"/>
          <w:sz w:val="24"/>
          <w:szCs w:val="24"/>
        </w:rPr>
        <w:t>percepatan</w:t>
      </w:r>
      <w:proofErr w:type="spellEnd"/>
      <w:r w:rsidR="004B11C1" w:rsidRPr="007720BC">
        <w:rPr>
          <w:rFonts w:ascii="Times New Roman" w:hAnsi="Times New Roman" w:cs="Times New Roman"/>
          <w:sz w:val="24"/>
          <w:szCs w:val="24"/>
        </w:rPr>
        <w:t xml:space="preserve"> </w:t>
      </w:r>
      <w:proofErr w:type="spellStart"/>
      <w:r w:rsidR="004B11C1" w:rsidRPr="007720BC">
        <w:rPr>
          <w:rFonts w:ascii="Times New Roman" w:hAnsi="Times New Roman" w:cs="Times New Roman"/>
          <w:sz w:val="24"/>
          <w:szCs w:val="24"/>
        </w:rPr>
        <w:t>penurunan</w:t>
      </w:r>
      <w:proofErr w:type="spellEnd"/>
      <w:r w:rsidR="00CE2353" w:rsidRPr="007720BC">
        <w:rPr>
          <w:rFonts w:ascii="Times New Roman" w:hAnsi="Times New Roman" w:cs="Times New Roman"/>
          <w:sz w:val="24"/>
          <w:szCs w:val="24"/>
        </w:rPr>
        <w:t xml:space="preserve"> stunting</w:t>
      </w:r>
      <w:r w:rsidRPr="007720BC">
        <w:rPr>
          <w:rFonts w:ascii="Times New Roman" w:hAnsi="Times New Roman" w:cs="Times New Roman"/>
          <w:sz w:val="24"/>
          <w:szCs w:val="24"/>
        </w:rPr>
        <w:t xml:space="preserve"> di masa yang </w:t>
      </w:r>
      <w:proofErr w:type="spellStart"/>
      <w:r w:rsidRPr="007720BC">
        <w:rPr>
          <w:rFonts w:ascii="Times New Roman" w:hAnsi="Times New Roman" w:cs="Times New Roman"/>
          <w:sz w:val="24"/>
          <w:szCs w:val="24"/>
        </w:rPr>
        <w:t>akan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datang</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Secara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praktis</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penelitian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ini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diharapkan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dapat</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membantu</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pemerintah</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dalam</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menetapkan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langkah-langkah</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strategis</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terkait</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dengan</w:t>
      </w:r>
      <w:proofErr w:type="spellEnd"/>
      <w:r w:rsidRPr="007720BC">
        <w:rPr>
          <w:rFonts w:ascii="Times New Roman" w:hAnsi="Times New Roman" w:cs="Times New Roman"/>
          <w:sz w:val="24"/>
          <w:szCs w:val="24"/>
        </w:rPr>
        <w:t xml:space="preserve"> </w:t>
      </w:r>
      <w:proofErr w:type="spellStart"/>
      <w:r w:rsidR="004F5484" w:rsidRPr="007720BC">
        <w:rPr>
          <w:rFonts w:ascii="Times New Roman" w:hAnsi="Times New Roman" w:cs="Times New Roman"/>
          <w:sz w:val="24"/>
          <w:szCs w:val="24"/>
        </w:rPr>
        <w:t>kebijakan</w:t>
      </w:r>
      <w:proofErr w:type="spellEnd"/>
      <w:r w:rsidR="004F5484" w:rsidRPr="007720BC">
        <w:rPr>
          <w:rFonts w:ascii="Times New Roman" w:hAnsi="Times New Roman" w:cs="Times New Roman"/>
          <w:sz w:val="24"/>
          <w:szCs w:val="24"/>
        </w:rPr>
        <w:t xml:space="preserve"> </w:t>
      </w:r>
      <w:proofErr w:type="spellStart"/>
      <w:r w:rsidR="004B11C1" w:rsidRPr="007720BC">
        <w:rPr>
          <w:rFonts w:ascii="Times New Roman" w:hAnsi="Times New Roman" w:cs="Times New Roman"/>
          <w:sz w:val="24"/>
          <w:szCs w:val="24"/>
        </w:rPr>
        <w:t>percepatan</w:t>
      </w:r>
      <w:proofErr w:type="spellEnd"/>
      <w:r w:rsidR="004B11C1" w:rsidRPr="007720BC">
        <w:rPr>
          <w:rFonts w:ascii="Times New Roman" w:hAnsi="Times New Roman" w:cs="Times New Roman"/>
          <w:sz w:val="24"/>
          <w:szCs w:val="24"/>
        </w:rPr>
        <w:t xml:space="preserve"> dan </w:t>
      </w:r>
      <w:proofErr w:type="spellStart"/>
      <w:r w:rsidR="004B11C1" w:rsidRPr="007720BC">
        <w:rPr>
          <w:rFonts w:ascii="Times New Roman" w:hAnsi="Times New Roman" w:cs="Times New Roman"/>
          <w:sz w:val="24"/>
          <w:szCs w:val="24"/>
        </w:rPr>
        <w:t>penurunan</w:t>
      </w:r>
      <w:proofErr w:type="spellEnd"/>
      <w:r w:rsidR="00CE2353" w:rsidRPr="007720BC">
        <w:rPr>
          <w:rFonts w:ascii="Times New Roman" w:hAnsi="Times New Roman" w:cs="Times New Roman"/>
          <w:sz w:val="24"/>
          <w:szCs w:val="24"/>
        </w:rPr>
        <w:t xml:space="preserve"> stunting</w:t>
      </w:r>
      <w:r w:rsidRPr="007720BC">
        <w:rPr>
          <w:rFonts w:ascii="Times New Roman" w:hAnsi="Times New Roman" w:cs="Times New Roman"/>
          <w:sz w:val="24"/>
          <w:szCs w:val="24"/>
        </w:rPr>
        <w:t xml:space="preserve"> yang </w:t>
      </w:r>
      <w:proofErr w:type="spellStart"/>
      <w:r w:rsidRPr="007720BC">
        <w:rPr>
          <w:rFonts w:ascii="Times New Roman" w:hAnsi="Times New Roman" w:cs="Times New Roman"/>
          <w:sz w:val="24"/>
          <w:szCs w:val="24"/>
        </w:rPr>
        <w:t>tepat</w:t>
      </w:r>
      <w:proofErr w:type="spellEnd"/>
      <w:r w:rsidRPr="007720BC">
        <w:rPr>
          <w:rFonts w:ascii="Times New Roman" w:hAnsi="Times New Roman" w:cs="Times New Roman"/>
          <w:sz w:val="24"/>
          <w:szCs w:val="24"/>
        </w:rPr>
        <w:t xml:space="preserve"> dan </w:t>
      </w:r>
      <w:proofErr w:type="spellStart"/>
      <w:r w:rsidRPr="007720BC">
        <w:rPr>
          <w:rFonts w:ascii="Times New Roman" w:hAnsi="Times New Roman" w:cs="Times New Roman"/>
          <w:sz w:val="24"/>
          <w:szCs w:val="24"/>
        </w:rPr>
        <w:t>efektif</w:t>
      </w:r>
      <w:proofErr w:type="spellEnd"/>
      <w:r w:rsidRPr="007720BC">
        <w:rPr>
          <w:rFonts w:ascii="Times New Roman" w:hAnsi="Times New Roman" w:cs="Times New Roman"/>
          <w:sz w:val="24"/>
          <w:szCs w:val="24"/>
        </w:rPr>
        <w:t>.</w:t>
      </w:r>
    </w:p>
    <w:p w14:paraId="68FB01AA" w14:textId="523F871B" w:rsidR="00CE2D3D" w:rsidRPr="007720BC" w:rsidRDefault="00CE2D3D" w:rsidP="00CB2900">
      <w:pPr>
        <w:spacing w:after="0" w:line="240" w:lineRule="auto"/>
        <w:ind w:firstLine="720"/>
        <w:contextualSpacing/>
        <w:jc w:val="both"/>
        <w:rPr>
          <w:rFonts w:ascii="Times New Roman" w:hAnsi="Times New Roman" w:cs="Times New Roman"/>
          <w:sz w:val="24"/>
          <w:szCs w:val="24"/>
        </w:rPr>
      </w:pPr>
    </w:p>
    <w:p w14:paraId="38755E21" w14:textId="1D457413" w:rsidR="00663688" w:rsidRPr="007720BC" w:rsidRDefault="00B61E88" w:rsidP="00CB2900">
      <w:pPr>
        <w:tabs>
          <w:tab w:val="left" w:pos="1080"/>
        </w:tabs>
        <w:spacing w:after="0" w:line="240" w:lineRule="auto"/>
        <w:contextualSpacing/>
        <w:jc w:val="both"/>
        <w:rPr>
          <w:rFonts w:ascii="Times New Roman" w:hAnsi="Times New Roman" w:cs="Times New Roman"/>
          <w:b/>
          <w:bCs/>
          <w:sz w:val="24"/>
          <w:szCs w:val="24"/>
        </w:rPr>
      </w:pPr>
      <w:r w:rsidRPr="007720BC">
        <w:rPr>
          <w:rFonts w:ascii="Times New Roman" w:hAnsi="Times New Roman" w:cs="Times New Roman"/>
          <w:b/>
          <w:bCs/>
          <w:sz w:val="24"/>
          <w:szCs w:val="24"/>
        </w:rPr>
        <w:t xml:space="preserve">Metode </w:t>
      </w:r>
      <w:proofErr w:type="spellStart"/>
      <w:r w:rsidRPr="007720BC">
        <w:rPr>
          <w:rFonts w:ascii="Times New Roman" w:hAnsi="Times New Roman" w:cs="Times New Roman"/>
          <w:b/>
          <w:bCs/>
          <w:sz w:val="24"/>
          <w:szCs w:val="24"/>
        </w:rPr>
        <w:t>Penelitian</w:t>
      </w:r>
      <w:proofErr w:type="spellEnd"/>
    </w:p>
    <w:p w14:paraId="3CFCF1F6" w14:textId="64A82F95" w:rsidR="001B5F2D" w:rsidRPr="007720BC" w:rsidRDefault="001B5F2D" w:rsidP="00CB2900">
      <w:pPr>
        <w:spacing w:after="0" w:line="240" w:lineRule="auto"/>
        <w:ind w:firstLine="720"/>
        <w:contextualSpacing/>
        <w:jc w:val="both"/>
        <w:rPr>
          <w:rFonts w:ascii="Times New Roman" w:hAnsi="Times New Roman" w:cs="Times New Roman"/>
          <w:sz w:val="24"/>
          <w:szCs w:val="24"/>
          <w:lang w:val="id-ID" w:eastAsia="id-ID"/>
        </w:rPr>
      </w:pPr>
      <w:r w:rsidRPr="007720BC">
        <w:rPr>
          <w:rFonts w:ascii="Times New Roman" w:hAnsi="Times New Roman" w:cs="Times New Roman"/>
          <w:sz w:val="24"/>
          <w:szCs w:val="24"/>
          <w:lang w:val="id-ID" w:eastAsia="id-ID"/>
        </w:rPr>
        <w:t xml:space="preserve">Penelitian ini menggunakan pendekatan studi kasus. Metode penelitian ini dipilih untuk memahami fenomena sosial yang kompleks melalui pertanyaan penelitian utama kami – yaitu 'bagaimana' </w:t>
      </w:r>
      <w:proofErr w:type="spellStart"/>
      <w:r w:rsidR="004B11C1" w:rsidRPr="007720BC">
        <w:rPr>
          <w:rFonts w:ascii="Times New Roman" w:hAnsi="Times New Roman" w:cs="Times New Roman"/>
          <w:sz w:val="24"/>
          <w:szCs w:val="24"/>
          <w:lang w:eastAsia="id-ID"/>
        </w:rPr>
        <w:t>percepatan</w:t>
      </w:r>
      <w:proofErr w:type="spellEnd"/>
      <w:r w:rsidR="004B11C1" w:rsidRPr="007720BC">
        <w:rPr>
          <w:rFonts w:ascii="Times New Roman" w:hAnsi="Times New Roman" w:cs="Times New Roman"/>
          <w:sz w:val="24"/>
          <w:szCs w:val="24"/>
          <w:lang w:eastAsia="id-ID"/>
        </w:rPr>
        <w:t xml:space="preserve"> </w:t>
      </w:r>
      <w:proofErr w:type="spellStart"/>
      <w:r w:rsidR="004B11C1" w:rsidRPr="007720BC">
        <w:rPr>
          <w:rFonts w:ascii="Times New Roman" w:hAnsi="Times New Roman" w:cs="Times New Roman"/>
          <w:sz w:val="24"/>
          <w:szCs w:val="24"/>
          <w:lang w:eastAsia="id-ID"/>
        </w:rPr>
        <w:t>penurunan</w:t>
      </w:r>
      <w:proofErr w:type="spellEnd"/>
      <w:r w:rsidR="00E47F8F" w:rsidRPr="007720BC">
        <w:rPr>
          <w:rFonts w:ascii="Times New Roman" w:hAnsi="Times New Roman" w:cs="Times New Roman"/>
          <w:sz w:val="24"/>
          <w:szCs w:val="24"/>
          <w:lang w:eastAsia="id-ID"/>
        </w:rPr>
        <w:t xml:space="preserve"> stunting</w:t>
      </w:r>
      <w:r w:rsidRPr="007720BC">
        <w:rPr>
          <w:rFonts w:ascii="Times New Roman" w:eastAsia="Calibri" w:hAnsi="Times New Roman" w:cs="Times New Roman"/>
          <w:sz w:val="24"/>
          <w:szCs w:val="24"/>
          <w:lang w:val="id-ID" w:eastAsia="id-ID"/>
        </w:rPr>
        <w:t xml:space="preserve"> </w:t>
      </w:r>
      <w:bookmarkStart w:id="3" w:name="_Hlk83547184"/>
      <w:bookmarkStart w:id="4" w:name="_Hlk92588829"/>
      <w:r w:rsidRPr="007720BC">
        <w:rPr>
          <w:rFonts w:ascii="Times New Roman" w:eastAsia="Calibri" w:hAnsi="Times New Roman" w:cs="Times New Roman"/>
          <w:sz w:val="24"/>
          <w:szCs w:val="24"/>
          <w:lang w:val="id-ID" w:eastAsia="id-ID"/>
        </w:rPr>
        <w:fldChar w:fldCharType="begin" w:fldLock="1"/>
      </w:r>
      <w:r w:rsidRPr="007720BC">
        <w:rPr>
          <w:rFonts w:ascii="Times New Roman" w:eastAsia="Calibri" w:hAnsi="Times New Roman" w:cs="Times New Roman"/>
          <w:sz w:val="24"/>
          <w:szCs w:val="24"/>
          <w:lang w:val="id-ID" w:eastAsia="id-ID"/>
        </w:rPr>
        <w:instrText>ADDIN CSL_CITATION {"citationItems":[{"id":"ITEM-1","itemData":{"ISBN":"978-1-4833-0200-3","author":[{"dropping-particle":"","family":"Yin","given":"Robert K","non-dropping-particle":"","parse-names":false,"suffix":""}],"edition":"Fifth Edit","id":"ITEM-1","issued":{"date-parts":[["2014"]]},"publisher":"SAGE Publications Inc.","publisher-place":"Lon","title":"Case Study Research : design and methods","type":"book"},"uris":["http://www.mendeley.com/documents/?uuid=29261799-c1b9-47bd-9b61-f0f38a66ecef"]}],"mendeley":{"formattedCitation":"(Yin 2014)","plainTextFormattedCitation":"(Yin 2014)","previouslyFormattedCitation":"(Yin 2014)"},"properties":{"noteIndex":0},"schema":"https://github.com/citation-style-language/schema/raw/master/csl-citation.json"}</w:instrText>
      </w:r>
      <w:r w:rsidRPr="007720BC">
        <w:rPr>
          <w:rFonts w:ascii="Times New Roman" w:eastAsia="Calibri" w:hAnsi="Times New Roman" w:cs="Times New Roman"/>
          <w:sz w:val="24"/>
          <w:szCs w:val="24"/>
          <w:lang w:val="id-ID" w:eastAsia="id-ID"/>
        </w:rPr>
        <w:fldChar w:fldCharType="separate"/>
      </w:r>
      <w:r w:rsidRPr="007720BC">
        <w:rPr>
          <w:rFonts w:ascii="Times New Roman" w:eastAsia="Calibri" w:hAnsi="Times New Roman" w:cs="Times New Roman"/>
          <w:noProof/>
          <w:sz w:val="24"/>
          <w:szCs w:val="24"/>
          <w:lang w:val="id-ID" w:eastAsia="id-ID"/>
        </w:rPr>
        <w:t>(Yin 2014)</w:t>
      </w:r>
      <w:r w:rsidRPr="007720BC">
        <w:rPr>
          <w:rFonts w:ascii="Times New Roman" w:eastAsia="Calibri" w:hAnsi="Times New Roman" w:cs="Times New Roman"/>
          <w:sz w:val="24"/>
          <w:szCs w:val="24"/>
          <w:lang w:val="id-ID" w:eastAsia="id-ID"/>
        </w:rPr>
        <w:fldChar w:fldCharType="end"/>
      </w:r>
      <w:bookmarkEnd w:id="3"/>
      <w:r w:rsidRPr="007720BC">
        <w:rPr>
          <w:rFonts w:ascii="Times New Roman" w:eastAsia="Calibri" w:hAnsi="Times New Roman" w:cs="Times New Roman"/>
          <w:sz w:val="24"/>
          <w:szCs w:val="24"/>
          <w:lang w:val="id-ID" w:eastAsia="id-ID"/>
        </w:rPr>
        <w:t>.</w:t>
      </w:r>
      <w:bookmarkEnd w:id="4"/>
      <w:r w:rsidRPr="007720BC">
        <w:rPr>
          <w:rFonts w:ascii="Times New Roman" w:eastAsia="Calibri" w:hAnsi="Times New Roman" w:cs="Times New Roman"/>
          <w:sz w:val="24"/>
          <w:szCs w:val="24"/>
          <w:lang w:val="id-ID" w:eastAsia="id-ID"/>
        </w:rPr>
        <w:t xml:space="preserve"> </w:t>
      </w:r>
      <w:r w:rsidRPr="007720BC">
        <w:rPr>
          <w:rFonts w:ascii="Times New Roman" w:hAnsi="Times New Roman" w:cs="Times New Roman"/>
          <w:sz w:val="24"/>
          <w:szCs w:val="24"/>
          <w:lang w:val="id-ID" w:eastAsia="id-ID"/>
        </w:rPr>
        <w:t xml:space="preserve">Prosedur Pengambilan Sampel </w:t>
      </w:r>
      <w:r w:rsidRPr="007720BC">
        <w:rPr>
          <w:rFonts w:ascii="Times New Roman" w:hAnsi="Times New Roman" w:cs="Times New Roman"/>
          <w:sz w:val="24"/>
          <w:szCs w:val="24"/>
          <w:lang w:val="en-US" w:eastAsia="id-ID"/>
        </w:rPr>
        <w:t xml:space="preserve">pada </w:t>
      </w:r>
      <w:proofErr w:type="spellStart"/>
      <w:r w:rsidRPr="007720BC">
        <w:rPr>
          <w:rFonts w:ascii="Times New Roman" w:hAnsi="Times New Roman" w:cs="Times New Roman"/>
          <w:sz w:val="24"/>
          <w:szCs w:val="24"/>
          <w:lang w:val="en-US" w:eastAsia="id-ID"/>
        </w:rPr>
        <w:t>penelitian</w:t>
      </w:r>
      <w:proofErr w:type="spellEnd"/>
      <w:r w:rsidRPr="007720BC">
        <w:rPr>
          <w:rFonts w:ascii="Times New Roman" w:hAnsi="Times New Roman" w:cs="Times New Roman"/>
          <w:sz w:val="24"/>
          <w:szCs w:val="24"/>
          <w:lang w:val="en-US" w:eastAsia="id-ID"/>
        </w:rPr>
        <w:t xml:space="preserve"> </w:t>
      </w:r>
      <w:proofErr w:type="spellStart"/>
      <w:r w:rsidRPr="007720BC">
        <w:rPr>
          <w:rFonts w:ascii="Times New Roman" w:hAnsi="Times New Roman" w:cs="Times New Roman"/>
          <w:sz w:val="24"/>
          <w:szCs w:val="24"/>
          <w:lang w:val="en-US" w:eastAsia="id-ID"/>
        </w:rPr>
        <w:t>ini</w:t>
      </w:r>
      <w:proofErr w:type="spellEnd"/>
      <w:r w:rsidRPr="007720BC">
        <w:rPr>
          <w:rFonts w:ascii="Times New Roman" w:hAnsi="Times New Roman" w:cs="Times New Roman"/>
          <w:sz w:val="24"/>
          <w:szCs w:val="24"/>
          <w:lang w:val="en-US" w:eastAsia="id-ID"/>
        </w:rPr>
        <w:t xml:space="preserve"> </w:t>
      </w:r>
      <w:proofErr w:type="spellStart"/>
      <w:r w:rsidRPr="007720BC">
        <w:rPr>
          <w:rFonts w:ascii="Times New Roman" w:hAnsi="Times New Roman" w:cs="Times New Roman"/>
          <w:sz w:val="24"/>
          <w:szCs w:val="24"/>
          <w:lang w:val="en-US" w:eastAsia="id-ID"/>
        </w:rPr>
        <w:t>terletak</w:t>
      </w:r>
      <w:proofErr w:type="spellEnd"/>
      <w:r w:rsidRPr="007720BC">
        <w:rPr>
          <w:rFonts w:ascii="Times New Roman" w:hAnsi="Times New Roman" w:cs="Times New Roman"/>
          <w:sz w:val="24"/>
          <w:szCs w:val="24"/>
          <w:lang w:val="en-US" w:eastAsia="id-ID"/>
        </w:rPr>
        <w:t xml:space="preserve"> pada l</w:t>
      </w:r>
      <w:proofErr w:type="spellStart"/>
      <w:r w:rsidRPr="007720BC">
        <w:rPr>
          <w:rStyle w:val="jlqj4b"/>
          <w:rFonts w:ascii="Times New Roman" w:hAnsi="Times New Roman" w:cs="Times New Roman"/>
          <w:sz w:val="24"/>
          <w:szCs w:val="24"/>
        </w:rPr>
        <w:t>ogika</w:t>
      </w:r>
      <w:proofErr w:type="spellEnd"/>
      <w:r w:rsidRPr="007720BC">
        <w:rPr>
          <w:rStyle w:val="jlqj4b"/>
          <w:rFonts w:ascii="Times New Roman" w:hAnsi="Times New Roman" w:cs="Times New Roman"/>
          <w:sz w:val="24"/>
          <w:szCs w:val="24"/>
        </w:rPr>
        <w:t xml:space="preserve"> dan </w:t>
      </w:r>
      <w:proofErr w:type="spellStart"/>
      <w:r w:rsidRPr="007720BC">
        <w:rPr>
          <w:rStyle w:val="jlqj4b"/>
          <w:rFonts w:ascii="Times New Roman" w:hAnsi="Times New Roman" w:cs="Times New Roman"/>
          <w:sz w:val="24"/>
          <w:szCs w:val="24"/>
        </w:rPr>
        <w:t>kekuatan</w:t>
      </w:r>
      <w:proofErr w:type="spellEnd"/>
      <w:r w:rsidRPr="007720BC">
        <w:rPr>
          <w:rStyle w:val="jlqj4b"/>
          <w:rFonts w:ascii="Times New Roman" w:hAnsi="Times New Roman" w:cs="Times New Roman"/>
          <w:sz w:val="24"/>
          <w:szCs w:val="24"/>
        </w:rPr>
        <w:t xml:space="preserve"> </w:t>
      </w:r>
      <w:proofErr w:type="spellStart"/>
      <w:r w:rsidRPr="007720BC">
        <w:rPr>
          <w:rStyle w:val="jlqj4b"/>
          <w:rFonts w:ascii="Times New Roman" w:hAnsi="Times New Roman" w:cs="Times New Roman"/>
          <w:sz w:val="24"/>
          <w:szCs w:val="24"/>
        </w:rPr>
        <w:t>dari</w:t>
      </w:r>
      <w:proofErr w:type="spellEnd"/>
      <w:r w:rsidRPr="007720BC">
        <w:rPr>
          <w:rStyle w:val="jlqj4b"/>
          <w:rFonts w:ascii="Times New Roman" w:hAnsi="Times New Roman" w:cs="Times New Roman"/>
          <w:sz w:val="24"/>
          <w:szCs w:val="24"/>
        </w:rPr>
        <w:t xml:space="preserve"> </w:t>
      </w:r>
      <w:proofErr w:type="spellStart"/>
      <w:r w:rsidRPr="007720BC">
        <w:rPr>
          <w:rStyle w:val="jlqj4b"/>
          <w:rFonts w:ascii="Times New Roman" w:hAnsi="Times New Roman" w:cs="Times New Roman"/>
          <w:sz w:val="24"/>
          <w:szCs w:val="24"/>
        </w:rPr>
        <w:t>pengambilan</w:t>
      </w:r>
      <w:proofErr w:type="spellEnd"/>
      <w:r w:rsidRPr="007720BC">
        <w:rPr>
          <w:rStyle w:val="jlqj4b"/>
          <w:rFonts w:ascii="Times New Roman" w:hAnsi="Times New Roman" w:cs="Times New Roman"/>
          <w:sz w:val="24"/>
          <w:szCs w:val="24"/>
        </w:rPr>
        <w:t xml:space="preserve"> </w:t>
      </w:r>
      <w:proofErr w:type="spellStart"/>
      <w:r w:rsidRPr="007720BC">
        <w:rPr>
          <w:rStyle w:val="jlqj4b"/>
          <w:rFonts w:ascii="Times New Roman" w:hAnsi="Times New Roman" w:cs="Times New Roman"/>
          <w:sz w:val="24"/>
          <w:szCs w:val="24"/>
        </w:rPr>
        <w:t>sampel</w:t>
      </w:r>
      <w:proofErr w:type="spellEnd"/>
      <w:r w:rsidRPr="007720BC">
        <w:rPr>
          <w:rStyle w:val="jlqj4b"/>
          <w:rFonts w:ascii="Times New Roman" w:hAnsi="Times New Roman" w:cs="Times New Roman"/>
          <w:sz w:val="24"/>
          <w:szCs w:val="24"/>
        </w:rPr>
        <w:t xml:space="preserve"> pada </w:t>
      </w:r>
      <w:proofErr w:type="spellStart"/>
      <w:r w:rsidRPr="007720BC">
        <w:rPr>
          <w:rStyle w:val="jlqj4b"/>
          <w:rFonts w:ascii="Times New Roman" w:hAnsi="Times New Roman" w:cs="Times New Roman"/>
          <w:sz w:val="24"/>
          <w:szCs w:val="24"/>
        </w:rPr>
        <w:t>pemilihan</w:t>
      </w:r>
      <w:proofErr w:type="spellEnd"/>
      <w:r w:rsidRPr="007720BC">
        <w:rPr>
          <w:rStyle w:val="jlqj4b"/>
          <w:rFonts w:ascii="Times New Roman" w:hAnsi="Times New Roman" w:cs="Times New Roman"/>
          <w:sz w:val="24"/>
          <w:szCs w:val="24"/>
        </w:rPr>
        <w:t xml:space="preserve"> </w:t>
      </w:r>
      <w:proofErr w:type="spellStart"/>
      <w:r w:rsidRPr="007720BC">
        <w:rPr>
          <w:rStyle w:val="jlqj4b"/>
          <w:rFonts w:ascii="Times New Roman" w:hAnsi="Times New Roman" w:cs="Times New Roman"/>
          <w:sz w:val="24"/>
          <w:szCs w:val="24"/>
        </w:rPr>
        <w:t>kasus</w:t>
      </w:r>
      <w:proofErr w:type="spellEnd"/>
      <w:r w:rsidRPr="007720BC">
        <w:rPr>
          <w:rStyle w:val="jlqj4b"/>
          <w:rFonts w:ascii="Times New Roman" w:hAnsi="Times New Roman" w:cs="Times New Roman"/>
          <w:sz w:val="24"/>
          <w:szCs w:val="24"/>
        </w:rPr>
        <w:t xml:space="preserve"> yang kaya </w:t>
      </w:r>
      <w:proofErr w:type="spellStart"/>
      <w:r w:rsidRPr="007720BC">
        <w:rPr>
          <w:rStyle w:val="jlqj4b"/>
          <w:rFonts w:ascii="Times New Roman" w:hAnsi="Times New Roman" w:cs="Times New Roman"/>
          <w:sz w:val="24"/>
          <w:szCs w:val="24"/>
        </w:rPr>
        <w:t>informasi</w:t>
      </w:r>
      <w:proofErr w:type="spellEnd"/>
      <w:r w:rsidRPr="007720BC">
        <w:rPr>
          <w:rStyle w:val="jlqj4b"/>
          <w:rFonts w:ascii="Times New Roman" w:hAnsi="Times New Roman" w:cs="Times New Roman"/>
          <w:sz w:val="24"/>
          <w:szCs w:val="24"/>
        </w:rPr>
        <w:t xml:space="preserve"> </w:t>
      </w:r>
      <w:proofErr w:type="spellStart"/>
      <w:r w:rsidRPr="007720BC">
        <w:rPr>
          <w:rStyle w:val="jlqj4b"/>
          <w:rFonts w:ascii="Times New Roman" w:hAnsi="Times New Roman" w:cs="Times New Roman"/>
          <w:sz w:val="24"/>
          <w:szCs w:val="24"/>
        </w:rPr>
        <w:t>untuk</w:t>
      </w:r>
      <w:proofErr w:type="spellEnd"/>
      <w:r w:rsidRPr="007720BC">
        <w:rPr>
          <w:rStyle w:val="jlqj4b"/>
          <w:rFonts w:ascii="Times New Roman" w:hAnsi="Times New Roman" w:cs="Times New Roman"/>
          <w:sz w:val="24"/>
          <w:szCs w:val="24"/>
        </w:rPr>
        <w:t xml:space="preserve"> </w:t>
      </w:r>
      <w:proofErr w:type="spellStart"/>
      <w:r w:rsidRPr="007720BC">
        <w:rPr>
          <w:rStyle w:val="jlqj4b"/>
          <w:rFonts w:ascii="Times New Roman" w:hAnsi="Times New Roman" w:cs="Times New Roman"/>
          <w:sz w:val="24"/>
          <w:szCs w:val="24"/>
        </w:rPr>
        <w:t>dipelajari</w:t>
      </w:r>
      <w:proofErr w:type="spellEnd"/>
      <w:r w:rsidRPr="007720BC">
        <w:rPr>
          <w:rStyle w:val="jlqj4b"/>
          <w:rFonts w:ascii="Times New Roman" w:hAnsi="Times New Roman" w:cs="Times New Roman"/>
          <w:sz w:val="24"/>
          <w:szCs w:val="24"/>
        </w:rPr>
        <w:t xml:space="preserve"> </w:t>
      </w:r>
      <w:proofErr w:type="spellStart"/>
      <w:r w:rsidRPr="007720BC">
        <w:rPr>
          <w:rStyle w:val="jlqj4b"/>
          <w:rFonts w:ascii="Times New Roman" w:hAnsi="Times New Roman" w:cs="Times New Roman"/>
          <w:sz w:val="24"/>
          <w:szCs w:val="24"/>
        </w:rPr>
        <w:t>secara</w:t>
      </w:r>
      <w:proofErr w:type="spellEnd"/>
      <w:r w:rsidRPr="007720BC">
        <w:rPr>
          <w:rStyle w:val="jlqj4b"/>
          <w:rFonts w:ascii="Times New Roman" w:hAnsi="Times New Roman" w:cs="Times New Roman"/>
          <w:sz w:val="24"/>
          <w:szCs w:val="24"/>
        </w:rPr>
        <w:t xml:space="preserve"> </w:t>
      </w:r>
      <w:proofErr w:type="spellStart"/>
      <w:r w:rsidRPr="007720BC">
        <w:rPr>
          <w:rStyle w:val="jlqj4b"/>
          <w:rFonts w:ascii="Times New Roman" w:hAnsi="Times New Roman" w:cs="Times New Roman"/>
          <w:sz w:val="24"/>
          <w:szCs w:val="24"/>
        </w:rPr>
        <w:t>mendalam</w:t>
      </w:r>
      <w:proofErr w:type="spellEnd"/>
      <w:r w:rsidRPr="007720BC">
        <w:rPr>
          <w:rFonts w:ascii="Times New Roman" w:eastAsia="Calibri" w:hAnsi="Times New Roman" w:cs="Times New Roman"/>
          <w:sz w:val="24"/>
          <w:szCs w:val="24"/>
          <w:lang w:val="id-ID" w:eastAsia="id-ID"/>
        </w:rPr>
        <w:t xml:space="preserve"> </w:t>
      </w:r>
      <w:bookmarkStart w:id="5" w:name="_Hlk92589053"/>
      <w:r w:rsidRPr="007720BC">
        <w:rPr>
          <w:rFonts w:ascii="Times New Roman" w:eastAsia="Calibri" w:hAnsi="Times New Roman" w:cs="Times New Roman"/>
          <w:sz w:val="24"/>
          <w:szCs w:val="24"/>
          <w:lang w:val="id-ID" w:eastAsia="id-ID"/>
        </w:rPr>
        <w:fldChar w:fldCharType="begin" w:fldLock="1"/>
      </w:r>
      <w:r w:rsidRPr="007720BC">
        <w:rPr>
          <w:rFonts w:ascii="Times New Roman" w:eastAsia="Calibri" w:hAnsi="Times New Roman" w:cs="Times New Roman"/>
          <w:sz w:val="24"/>
          <w:szCs w:val="24"/>
          <w:lang w:val="id-ID" w:eastAsia="id-ID"/>
        </w:rPr>
        <w:instrText>ADDIN CSL_CITATION {"citationItems":[{"id":"ITEM-1","itemData":{"DOI":"10.1177/1473325002001003636","ISBN":"1473325002001","ISSN":"14733250","abstract":"The publication of the third edition of Qualitative Research and Evaluation Methods offers the author an opportunity to reflect back over two decades of developments in quali- tative inquiry. Major developments include: the end of the qualitative–quantitative debate; the flowering of diverse and competing approaches within qualitative inquiry; the increased importance of mixed methods; the elaboration of purposeful sampling approaches; increasing recognition of the creativity at the center of qualitative analysis; the emergence of ever more sophisticated software to facilitate qualitative analysis; and new ethical challenges in the face of the potential impacts of qualitative inquiry on both those studied and those engaged in the inquiry.","author":[{"dropping-particle":"","family":"Patton","given":"Michael Quinn","non-dropping-particle":"","parse-names":false,"suffix":""}],"container-title":"Qualitative Social Work","id":"ITEM-1","issue":"3","issued":{"date-parts":[["2002"]]},"page":"261-283","title":"Two Decades of Developments in Qualitative Inquiry: A Personal, Experiential Perspective","type":"article-journal","volume":"1"},"uris":["http://www.mendeley.com/documents/?uuid=d79a64ed-7232-4c7b-a3cf-03658106fadc"]}],"mendeley":{"formattedCitation":"(Patton 2002)","plainTextFormattedCitation":"(Patton 2002)","previouslyFormattedCitation":"(Patton 2002)"},"properties":{"noteIndex":0},"schema":"https://github.com/citation-style-language/schema/raw/master/csl-citation.json"}</w:instrText>
      </w:r>
      <w:r w:rsidRPr="007720BC">
        <w:rPr>
          <w:rFonts w:ascii="Times New Roman" w:eastAsia="Calibri" w:hAnsi="Times New Roman" w:cs="Times New Roman"/>
          <w:sz w:val="24"/>
          <w:szCs w:val="24"/>
          <w:lang w:val="id-ID" w:eastAsia="id-ID"/>
        </w:rPr>
        <w:fldChar w:fldCharType="separate"/>
      </w:r>
      <w:r w:rsidRPr="007720BC">
        <w:rPr>
          <w:rFonts w:ascii="Times New Roman" w:eastAsia="Calibri" w:hAnsi="Times New Roman" w:cs="Times New Roman"/>
          <w:noProof/>
          <w:sz w:val="24"/>
          <w:szCs w:val="24"/>
          <w:lang w:val="id-ID" w:eastAsia="id-ID"/>
        </w:rPr>
        <w:t>(Patton 2002)</w:t>
      </w:r>
      <w:r w:rsidRPr="007720BC">
        <w:rPr>
          <w:rFonts w:ascii="Times New Roman" w:eastAsia="Calibri" w:hAnsi="Times New Roman" w:cs="Times New Roman"/>
          <w:sz w:val="24"/>
          <w:szCs w:val="24"/>
          <w:lang w:val="id-ID" w:eastAsia="id-ID"/>
        </w:rPr>
        <w:fldChar w:fldCharType="end"/>
      </w:r>
      <w:r w:rsidRPr="007720BC">
        <w:rPr>
          <w:rFonts w:ascii="Times New Roman" w:hAnsi="Times New Roman" w:cs="Times New Roman"/>
          <w:sz w:val="24"/>
          <w:szCs w:val="24"/>
          <w:lang w:eastAsia="id-ID"/>
        </w:rPr>
        <w:t xml:space="preserve"> </w:t>
      </w:r>
      <w:bookmarkEnd w:id="5"/>
      <w:r w:rsidRPr="007720BC">
        <w:rPr>
          <w:rFonts w:ascii="Times New Roman" w:hAnsi="Times New Roman" w:cs="Times New Roman"/>
          <w:sz w:val="24"/>
          <w:szCs w:val="24"/>
          <w:lang w:eastAsia="id-ID"/>
        </w:rPr>
        <w:t xml:space="preserve">oleh </w:t>
      </w:r>
      <w:proofErr w:type="spellStart"/>
      <w:r w:rsidRPr="007720BC">
        <w:rPr>
          <w:rFonts w:ascii="Times New Roman" w:hAnsi="Times New Roman" w:cs="Times New Roman"/>
          <w:sz w:val="24"/>
          <w:szCs w:val="24"/>
          <w:lang w:eastAsia="id-ID"/>
        </w:rPr>
        <w:t>sebab</w:t>
      </w:r>
      <w:proofErr w:type="spellEnd"/>
      <w:r w:rsidRPr="007720BC">
        <w:rPr>
          <w:rFonts w:ascii="Times New Roman" w:hAnsi="Times New Roman" w:cs="Times New Roman"/>
          <w:sz w:val="24"/>
          <w:szCs w:val="24"/>
          <w:lang w:eastAsia="id-ID"/>
        </w:rPr>
        <w:t xml:space="preserve"> </w:t>
      </w:r>
      <w:proofErr w:type="spellStart"/>
      <w:r w:rsidRPr="007720BC">
        <w:rPr>
          <w:rFonts w:ascii="Times New Roman" w:hAnsi="Times New Roman" w:cs="Times New Roman"/>
          <w:sz w:val="24"/>
          <w:szCs w:val="24"/>
          <w:lang w:eastAsia="id-ID"/>
        </w:rPr>
        <w:t>itu</w:t>
      </w:r>
      <w:proofErr w:type="spellEnd"/>
      <w:r w:rsidRPr="007720BC">
        <w:rPr>
          <w:rFonts w:ascii="Times New Roman" w:hAnsi="Times New Roman" w:cs="Times New Roman"/>
          <w:sz w:val="24"/>
          <w:szCs w:val="24"/>
          <w:lang w:val="en-US" w:eastAsia="id-ID"/>
        </w:rPr>
        <w:t xml:space="preserve"> </w:t>
      </w:r>
      <w:proofErr w:type="spellStart"/>
      <w:r w:rsidRPr="007720BC">
        <w:rPr>
          <w:rFonts w:ascii="Times New Roman" w:hAnsi="Times New Roman" w:cs="Times New Roman"/>
          <w:sz w:val="24"/>
          <w:szCs w:val="24"/>
          <w:lang w:eastAsia="id-ID"/>
        </w:rPr>
        <w:t>penentuan</w:t>
      </w:r>
      <w:proofErr w:type="spellEnd"/>
      <w:r w:rsidRPr="007720BC">
        <w:rPr>
          <w:rFonts w:ascii="Times New Roman" w:hAnsi="Times New Roman" w:cs="Times New Roman"/>
          <w:sz w:val="24"/>
          <w:szCs w:val="24"/>
          <w:lang w:eastAsia="id-ID"/>
        </w:rPr>
        <w:t xml:space="preserve"> </w:t>
      </w:r>
      <w:proofErr w:type="spellStart"/>
      <w:r w:rsidRPr="007720BC">
        <w:rPr>
          <w:rFonts w:ascii="Times New Roman" w:hAnsi="Times New Roman" w:cs="Times New Roman"/>
          <w:sz w:val="24"/>
          <w:szCs w:val="24"/>
          <w:lang w:eastAsia="id-ID"/>
        </w:rPr>
        <w:t>informan</w:t>
      </w:r>
      <w:proofErr w:type="spellEnd"/>
      <w:r w:rsidRPr="007720BC">
        <w:rPr>
          <w:rFonts w:ascii="Times New Roman" w:hAnsi="Times New Roman" w:cs="Times New Roman"/>
          <w:sz w:val="24"/>
          <w:szCs w:val="24"/>
          <w:lang w:eastAsia="id-ID"/>
        </w:rPr>
        <w:t xml:space="preserve"> </w:t>
      </w:r>
      <w:proofErr w:type="spellStart"/>
      <w:r w:rsidRPr="007720BC">
        <w:rPr>
          <w:rFonts w:ascii="Times New Roman" w:hAnsi="Times New Roman" w:cs="Times New Roman"/>
          <w:sz w:val="24"/>
          <w:szCs w:val="24"/>
          <w:lang w:eastAsia="id-ID"/>
        </w:rPr>
        <w:t>dilakukan</w:t>
      </w:r>
      <w:proofErr w:type="spellEnd"/>
      <w:r w:rsidRPr="007720BC">
        <w:rPr>
          <w:rFonts w:ascii="Times New Roman" w:hAnsi="Times New Roman" w:cs="Times New Roman"/>
          <w:sz w:val="24"/>
          <w:szCs w:val="24"/>
          <w:lang w:eastAsia="id-ID"/>
        </w:rPr>
        <w:t xml:space="preserve"> </w:t>
      </w:r>
      <w:proofErr w:type="spellStart"/>
      <w:r w:rsidRPr="007720BC">
        <w:rPr>
          <w:rFonts w:ascii="Times New Roman" w:hAnsi="Times New Roman" w:cs="Times New Roman"/>
          <w:sz w:val="24"/>
          <w:szCs w:val="24"/>
          <w:lang w:eastAsia="id-ID"/>
        </w:rPr>
        <w:t>berdasarkan</w:t>
      </w:r>
      <w:proofErr w:type="spellEnd"/>
      <w:r w:rsidRPr="007720BC">
        <w:rPr>
          <w:rFonts w:ascii="Times New Roman" w:hAnsi="Times New Roman" w:cs="Times New Roman"/>
          <w:sz w:val="24"/>
          <w:szCs w:val="24"/>
          <w:lang w:eastAsia="id-ID"/>
        </w:rPr>
        <w:t xml:space="preserve"> </w:t>
      </w:r>
      <w:r w:rsidRPr="007720BC">
        <w:rPr>
          <w:rStyle w:val="jlqj4b"/>
          <w:rFonts w:ascii="Times New Roman" w:hAnsi="Times New Roman" w:cs="Times New Roman"/>
          <w:i/>
          <w:iCs/>
          <w:sz w:val="24"/>
          <w:szCs w:val="24"/>
        </w:rPr>
        <w:t>purposeful sampling</w:t>
      </w:r>
      <w:r w:rsidRPr="007720BC">
        <w:rPr>
          <w:rStyle w:val="jlqj4b"/>
          <w:rFonts w:ascii="Times New Roman" w:hAnsi="Times New Roman" w:cs="Times New Roman"/>
          <w:sz w:val="24"/>
          <w:szCs w:val="24"/>
        </w:rPr>
        <w:t xml:space="preserve"> </w:t>
      </w:r>
      <w:proofErr w:type="spellStart"/>
      <w:r w:rsidRPr="007720BC">
        <w:rPr>
          <w:rStyle w:val="jlqj4b"/>
          <w:rFonts w:ascii="Times New Roman" w:hAnsi="Times New Roman" w:cs="Times New Roman"/>
          <w:sz w:val="24"/>
          <w:szCs w:val="24"/>
        </w:rPr>
        <w:t>sebagai</w:t>
      </w:r>
      <w:proofErr w:type="spellEnd"/>
      <w:r w:rsidRPr="007720BC">
        <w:rPr>
          <w:rStyle w:val="jlqj4b"/>
          <w:rFonts w:ascii="Times New Roman" w:hAnsi="Times New Roman" w:cs="Times New Roman"/>
          <w:sz w:val="24"/>
          <w:szCs w:val="24"/>
        </w:rPr>
        <w:t xml:space="preserve"> salah </w:t>
      </w:r>
      <w:proofErr w:type="spellStart"/>
      <w:r w:rsidRPr="007720BC">
        <w:rPr>
          <w:rStyle w:val="jlqj4b"/>
          <w:rFonts w:ascii="Times New Roman" w:hAnsi="Times New Roman" w:cs="Times New Roman"/>
          <w:sz w:val="24"/>
          <w:szCs w:val="24"/>
        </w:rPr>
        <w:t>satu</w:t>
      </w:r>
      <w:proofErr w:type="spellEnd"/>
      <w:r w:rsidRPr="007720BC">
        <w:rPr>
          <w:rStyle w:val="jlqj4b"/>
          <w:rFonts w:ascii="Times New Roman" w:hAnsi="Times New Roman" w:cs="Times New Roman"/>
          <w:sz w:val="24"/>
          <w:szCs w:val="24"/>
        </w:rPr>
        <w:t xml:space="preserve"> </w:t>
      </w:r>
      <w:proofErr w:type="spellStart"/>
      <w:r w:rsidRPr="007720BC">
        <w:rPr>
          <w:rStyle w:val="jlqj4b"/>
          <w:rFonts w:ascii="Times New Roman" w:hAnsi="Times New Roman" w:cs="Times New Roman"/>
          <w:sz w:val="24"/>
          <w:szCs w:val="24"/>
        </w:rPr>
        <w:t>elemen</w:t>
      </w:r>
      <w:proofErr w:type="spellEnd"/>
      <w:r w:rsidRPr="007720BC">
        <w:rPr>
          <w:rStyle w:val="jlqj4b"/>
          <w:rFonts w:ascii="Times New Roman" w:hAnsi="Times New Roman" w:cs="Times New Roman"/>
          <w:sz w:val="24"/>
          <w:szCs w:val="24"/>
        </w:rPr>
        <w:t xml:space="preserve"> inti </w:t>
      </w:r>
      <w:proofErr w:type="spellStart"/>
      <w:r w:rsidRPr="007720BC">
        <w:rPr>
          <w:rStyle w:val="jlqj4b"/>
          <w:rFonts w:ascii="Times New Roman" w:hAnsi="Times New Roman" w:cs="Times New Roman"/>
          <w:sz w:val="24"/>
          <w:szCs w:val="24"/>
        </w:rPr>
        <w:t>dari</w:t>
      </w:r>
      <w:proofErr w:type="spellEnd"/>
      <w:r w:rsidRPr="007720BC">
        <w:rPr>
          <w:rStyle w:val="jlqj4b"/>
          <w:rFonts w:ascii="Times New Roman" w:hAnsi="Times New Roman" w:cs="Times New Roman"/>
          <w:sz w:val="24"/>
          <w:szCs w:val="24"/>
        </w:rPr>
        <w:t xml:space="preserve"> pen</w:t>
      </w:r>
      <w:r w:rsidRPr="007720BC">
        <w:rPr>
          <w:rStyle w:val="jlqj4b"/>
          <w:rFonts w:ascii="Times New Roman" w:hAnsi="Times New Roman" w:cs="Times New Roman"/>
          <w:sz w:val="24"/>
          <w:szCs w:val="24"/>
          <w:lang w:val="id-ID"/>
        </w:rPr>
        <w:t xml:space="preserve">elitian </w:t>
      </w:r>
      <w:proofErr w:type="spellStart"/>
      <w:r w:rsidRPr="007720BC">
        <w:rPr>
          <w:rStyle w:val="jlqj4b"/>
          <w:rFonts w:ascii="Times New Roman" w:hAnsi="Times New Roman" w:cs="Times New Roman"/>
          <w:sz w:val="24"/>
          <w:szCs w:val="24"/>
        </w:rPr>
        <w:t>kualitatif</w:t>
      </w:r>
      <w:proofErr w:type="spellEnd"/>
      <w:r w:rsidRPr="007720BC">
        <w:rPr>
          <w:rStyle w:val="jlqj4b"/>
          <w:rFonts w:ascii="Times New Roman" w:hAnsi="Times New Roman" w:cs="Times New Roman"/>
          <w:sz w:val="24"/>
          <w:szCs w:val="24"/>
        </w:rPr>
        <w:t xml:space="preserve">. Adapun </w:t>
      </w:r>
      <w:proofErr w:type="spellStart"/>
      <w:r w:rsidRPr="007720BC">
        <w:rPr>
          <w:rStyle w:val="jlqj4b"/>
          <w:rFonts w:ascii="Times New Roman" w:hAnsi="Times New Roman" w:cs="Times New Roman"/>
          <w:sz w:val="24"/>
          <w:szCs w:val="24"/>
        </w:rPr>
        <w:t>p</w:t>
      </w:r>
      <w:r w:rsidRPr="007720BC">
        <w:rPr>
          <w:rFonts w:ascii="Times New Roman" w:hAnsi="Times New Roman" w:cs="Times New Roman"/>
          <w:sz w:val="24"/>
          <w:szCs w:val="24"/>
          <w:lang w:eastAsia="id-ID"/>
        </w:rPr>
        <w:t>emilihan</w:t>
      </w:r>
      <w:proofErr w:type="spellEnd"/>
      <w:r w:rsidRPr="007720BC">
        <w:rPr>
          <w:rFonts w:ascii="Times New Roman" w:hAnsi="Times New Roman" w:cs="Times New Roman"/>
          <w:sz w:val="24"/>
          <w:szCs w:val="24"/>
          <w:lang w:eastAsia="id-ID"/>
        </w:rPr>
        <w:t xml:space="preserve"> </w:t>
      </w:r>
      <w:proofErr w:type="spellStart"/>
      <w:r w:rsidRPr="007720BC">
        <w:rPr>
          <w:rFonts w:ascii="Times New Roman" w:hAnsi="Times New Roman" w:cs="Times New Roman"/>
          <w:sz w:val="24"/>
          <w:szCs w:val="24"/>
          <w:lang w:eastAsia="id-ID"/>
        </w:rPr>
        <w:t>lokasi</w:t>
      </w:r>
      <w:proofErr w:type="spellEnd"/>
      <w:r w:rsidRPr="007720BC">
        <w:rPr>
          <w:rFonts w:ascii="Times New Roman" w:hAnsi="Times New Roman" w:cs="Times New Roman"/>
          <w:sz w:val="24"/>
          <w:szCs w:val="24"/>
          <w:lang w:eastAsia="id-ID"/>
        </w:rPr>
        <w:t xml:space="preserve"> </w:t>
      </w:r>
      <w:proofErr w:type="spellStart"/>
      <w:r w:rsidRPr="007720BC">
        <w:rPr>
          <w:rFonts w:ascii="Times New Roman" w:hAnsi="Times New Roman" w:cs="Times New Roman"/>
          <w:sz w:val="24"/>
          <w:szCs w:val="24"/>
          <w:lang w:eastAsia="id-ID"/>
        </w:rPr>
        <w:t>penelitian</w:t>
      </w:r>
      <w:proofErr w:type="spellEnd"/>
      <w:r w:rsidRPr="007720BC">
        <w:rPr>
          <w:rFonts w:ascii="Times New Roman" w:hAnsi="Times New Roman" w:cs="Times New Roman"/>
          <w:sz w:val="24"/>
          <w:szCs w:val="24"/>
          <w:lang w:eastAsia="id-ID"/>
        </w:rPr>
        <w:t xml:space="preserve"> </w:t>
      </w:r>
      <w:proofErr w:type="spellStart"/>
      <w:r w:rsidRPr="007720BC">
        <w:rPr>
          <w:rFonts w:ascii="Times New Roman" w:hAnsi="Times New Roman" w:cs="Times New Roman"/>
          <w:sz w:val="24"/>
          <w:szCs w:val="24"/>
          <w:lang w:eastAsia="id-ID"/>
        </w:rPr>
        <w:t>dilakukan</w:t>
      </w:r>
      <w:proofErr w:type="spellEnd"/>
      <w:r w:rsidRPr="007720BC">
        <w:rPr>
          <w:rFonts w:ascii="Times New Roman" w:hAnsi="Times New Roman" w:cs="Times New Roman"/>
          <w:sz w:val="24"/>
          <w:szCs w:val="24"/>
          <w:lang w:eastAsia="id-ID"/>
        </w:rPr>
        <w:t xml:space="preserve"> </w:t>
      </w:r>
      <w:proofErr w:type="spellStart"/>
      <w:r w:rsidRPr="007720BC">
        <w:rPr>
          <w:rFonts w:ascii="Times New Roman" w:hAnsi="Times New Roman" w:cs="Times New Roman"/>
          <w:sz w:val="24"/>
          <w:szCs w:val="24"/>
          <w:lang w:eastAsia="id-ID"/>
        </w:rPr>
        <w:t>berdasarkan</w:t>
      </w:r>
      <w:proofErr w:type="spellEnd"/>
      <w:r w:rsidRPr="007720BC">
        <w:rPr>
          <w:rFonts w:ascii="Times New Roman" w:hAnsi="Times New Roman" w:cs="Times New Roman"/>
          <w:sz w:val="24"/>
          <w:szCs w:val="24"/>
          <w:lang w:eastAsia="id-ID"/>
        </w:rPr>
        <w:t xml:space="preserve"> </w:t>
      </w:r>
      <w:r w:rsidRPr="007720BC">
        <w:rPr>
          <w:rFonts w:ascii="Times New Roman" w:hAnsi="Times New Roman" w:cs="Times New Roman"/>
          <w:sz w:val="24"/>
          <w:szCs w:val="24"/>
          <w:lang w:val="id-ID" w:eastAsia="id-ID"/>
        </w:rPr>
        <w:t xml:space="preserve">asumsi </w:t>
      </w:r>
      <w:r w:rsidRPr="007720BC">
        <w:rPr>
          <w:rFonts w:ascii="Times New Roman" w:hAnsi="Times New Roman" w:cs="Times New Roman"/>
          <w:i/>
          <w:iCs/>
          <w:sz w:val="24"/>
          <w:szCs w:val="24"/>
          <w:lang w:val="id-ID" w:eastAsia="id-ID"/>
        </w:rPr>
        <w:t>typical case</w:t>
      </w:r>
      <w:r w:rsidRPr="007720BC">
        <w:rPr>
          <w:rFonts w:ascii="Times New Roman" w:hAnsi="Times New Roman" w:cs="Times New Roman"/>
          <w:sz w:val="24"/>
          <w:szCs w:val="24"/>
          <w:lang w:val="id-ID" w:eastAsia="id-ID"/>
        </w:rPr>
        <w:t xml:space="preserve"> </w:t>
      </w:r>
      <w:r w:rsidRPr="007720BC">
        <w:rPr>
          <w:rFonts w:ascii="Times New Roman" w:eastAsia="Calibri" w:hAnsi="Times New Roman" w:cs="Times New Roman"/>
          <w:sz w:val="24"/>
          <w:szCs w:val="24"/>
          <w:lang w:val="id-ID" w:eastAsia="id-ID"/>
        </w:rPr>
        <w:fldChar w:fldCharType="begin" w:fldLock="1"/>
      </w:r>
      <w:r w:rsidRPr="007720BC">
        <w:rPr>
          <w:rFonts w:ascii="Times New Roman" w:eastAsia="Calibri" w:hAnsi="Times New Roman" w:cs="Times New Roman"/>
          <w:sz w:val="24"/>
          <w:szCs w:val="24"/>
          <w:lang w:val="id-ID" w:eastAsia="id-ID"/>
        </w:rPr>
        <w:instrText>ADDIN CSL_CITATION {"citationItems":[{"id":"ITEM-1","itemData":{"ISBN":"978-1-4833-0200-3","author":[{"dropping-particle":"","family":"Yin","given":"Robert K","non-dropping-particle":"","parse-names":false,"suffix":""}],"edition":"Fifth Edit","id":"ITEM-1","issued":{"date-parts":[["2014"]]},"publisher":"SAGE Publications Inc.","publisher-place":"Lon","title":"Case Study Research : design and methods","type":"book"},"uris":["http://www.mendeley.com/documents/?uuid=29261799-c1b9-47bd-9b61-f0f38a66ecef"]}],"mendeley":{"formattedCitation":"(Yin 2014)","plainTextFormattedCitation":"(Yin 2014)","previouslyFormattedCitation":"(Yin 2014)"},"properties":{"noteIndex":0},"schema":"https://github.com/citation-style-language/schema/raw/master/csl-citation.json"}</w:instrText>
      </w:r>
      <w:r w:rsidRPr="007720BC">
        <w:rPr>
          <w:rFonts w:ascii="Times New Roman" w:eastAsia="Calibri" w:hAnsi="Times New Roman" w:cs="Times New Roman"/>
          <w:sz w:val="24"/>
          <w:szCs w:val="24"/>
          <w:lang w:val="id-ID" w:eastAsia="id-ID"/>
        </w:rPr>
        <w:fldChar w:fldCharType="separate"/>
      </w:r>
      <w:r w:rsidRPr="007720BC">
        <w:rPr>
          <w:rFonts w:ascii="Times New Roman" w:eastAsia="Calibri" w:hAnsi="Times New Roman" w:cs="Times New Roman"/>
          <w:noProof/>
          <w:sz w:val="24"/>
          <w:szCs w:val="24"/>
          <w:lang w:val="id-ID" w:eastAsia="id-ID"/>
        </w:rPr>
        <w:t>(Yin 2014)</w:t>
      </w:r>
      <w:r w:rsidRPr="007720BC">
        <w:rPr>
          <w:rFonts w:ascii="Times New Roman" w:eastAsia="Calibri" w:hAnsi="Times New Roman" w:cs="Times New Roman"/>
          <w:sz w:val="24"/>
          <w:szCs w:val="24"/>
          <w:lang w:val="id-ID" w:eastAsia="id-ID"/>
        </w:rPr>
        <w:fldChar w:fldCharType="end"/>
      </w:r>
      <w:r w:rsidRPr="007720BC">
        <w:rPr>
          <w:rFonts w:ascii="Times New Roman" w:hAnsi="Times New Roman" w:cs="Times New Roman"/>
          <w:sz w:val="24"/>
          <w:szCs w:val="24"/>
          <w:lang w:eastAsia="id-ID"/>
        </w:rPr>
        <w:t xml:space="preserve"> dan b</w:t>
      </w:r>
      <w:r w:rsidRPr="007720BC">
        <w:rPr>
          <w:rFonts w:ascii="Times New Roman" w:hAnsi="Times New Roman" w:cs="Times New Roman"/>
          <w:sz w:val="24"/>
          <w:szCs w:val="24"/>
          <w:lang w:val="id-ID" w:eastAsia="id-ID"/>
        </w:rPr>
        <w:t xml:space="preserve">erdasarkan hal tersebut, </w:t>
      </w:r>
      <w:r w:rsidRPr="007720BC">
        <w:rPr>
          <w:rFonts w:ascii="Times New Roman" w:hAnsi="Times New Roman" w:cs="Times New Roman"/>
          <w:sz w:val="24"/>
          <w:szCs w:val="24"/>
          <w:lang w:val="en-US" w:eastAsia="id-ID"/>
        </w:rPr>
        <w:t xml:space="preserve">Desa </w:t>
      </w:r>
      <w:proofErr w:type="spellStart"/>
      <w:r w:rsidRPr="007720BC">
        <w:rPr>
          <w:rFonts w:ascii="Times New Roman" w:hAnsi="Times New Roman" w:cs="Times New Roman"/>
          <w:sz w:val="24"/>
          <w:szCs w:val="24"/>
          <w:lang w:val="en-US" w:eastAsia="id-ID"/>
        </w:rPr>
        <w:t>Mongpok</w:t>
      </w:r>
      <w:proofErr w:type="spellEnd"/>
      <w:r w:rsidRPr="007720BC">
        <w:rPr>
          <w:rFonts w:ascii="Times New Roman" w:hAnsi="Times New Roman" w:cs="Times New Roman"/>
          <w:sz w:val="24"/>
          <w:szCs w:val="24"/>
          <w:lang w:val="en-US" w:eastAsia="id-ID"/>
        </w:rPr>
        <w:t xml:space="preserve"> </w:t>
      </w:r>
      <w:proofErr w:type="spellStart"/>
      <w:r w:rsidRPr="007720BC">
        <w:rPr>
          <w:rFonts w:ascii="Times New Roman" w:hAnsi="Times New Roman" w:cs="Times New Roman"/>
          <w:sz w:val="24"/>
          <w:szCs w:val="24"/>
          <w:lang w:val="en-US" w:eastAsia="id-ID"/>
        </w:rPr>
        <w:t>Kecamatan</w:t>
      </w:r>
      <w:proofErr w:type="spellEnd"/>
      <w:r w:rsidRPr="007720BC">
        <w:rPr>
          <w:rFonts w:ascii="Times New Roman" w:hAnsi="Times New Roman" w:cs="Times New Roman"/>
          <w:sz w:val="24"/>
          <w:szCs w:val="24"/>
          <w:lang w:val="en-US" w:eastAsia="id-ID"/>
        </w:rPr>
        <w:t xml:space="preserve"> </w:t>
      </w:r>
      <w:proofErr w:type="spellStart"/>
      <w:r w:rsidRPr="007720BC">
        <w:rPr>
          <w:rFonts w:ascii="Times New Roman" w:hAnsi="Times New Roman" w:cs="Times New Roman"/>
          <w:sz w:val="24"/>
          <w:szCs w:val="24"/>
          <w:lang w:val="en-US" w:eastAsia="id-ID"/>
        </w:rPr>
        <w:t>Cikeusal</w:t>
      </w:r>
      <w:proofErr w:type="spellEnd"/>
      <w:r w:rsidRPr="007720BC">
        <w:rPr>
          <w:rFonts w:ascii="Times New Roman" w:hAnsi="Times New Roman" w:cs="Times New Roman"/>
          <w:sz w:val="24"/>
          <w:szCs w:val="24"/>
          <w:lang w:val="en-US" w:eastAsia="id-ID"/>
        </w:rPr>
        <w:t xml:space="preserve"> </w:t>
      </w:r>
      <w:proofErr w:type="spellStart"/>
      <w:r w:rsidRPr="007720BC">
        <w:rPr>
          <w:rFonts w:ascii="Times New Roman" w:hAnsi="Times New Roman" w:cs="Times New Roman"/>
          <w:sz w:val="24"/>
          <w:szCs w:val="24"/>
          <w:lang w:val="en-US" w:eastAsia="id-ID"/>
        </w:rPr>
        <w:t>Kabupaten</w:t>
      </w:r>
      <w:proofErr w:type="spellEnd"/>
      <w:r w:rsidRPr="007720BC">
        <w:rPr>
          <w:rFonts w:ascii="Times New Roman" w:hAnsi="Times New Roman" w:cs="Times New Roman"/>
          <w:sz w:val="24"/>
          <w:szCs w:val="24"/>
          <w:lang w:val="en-US" w:eastAsia="id-ID"/>
        </w:rPr>
        <w:t xml:space="preserve"> </w:t>
      </w:r>
      <w:proofErr w:type="spellStart"/>
      <w:r w:rsidRPr="007720BC">
        <w:rPr>
          <w:rFonts w:ascii="Times New Roman" w:hAnsi="Times New Roman" w:cs="Times New Roman"/>
          <w:sz w:val="24"/>
          <w:szCs w:val="24"/>
          <w:lang w:val="en-US" w:eastAsia="id-ID"/>
        </w:rPr>
        <w:t>Serang</w:t>
      </w:r>
      <w:proofErr w:type="spellEnd"/>
      <w:r w:rsidRPr="007720BC">
        <w:rPr>
          <w:rFonts w:ascii="Times New Roman" w:hAnsi="Times New Roman" w:cs="Times New Roman"/>
          <w:sz w:val="24"/>
          <w:szCs w:val="24"/>
          <w:lang w:val="id-ID" w:eastAsia="id-ID"/>
        </w:rPr>
        <w:t xml:space="preserve"> </w:t>
      </w:r>
      <w:r w:rsidR="00E47F8F" w:rsidRPr="007720BC">
        <w:rPr>
          <w:rFonts w:ascii="Times New Roman" w:hAnsi="Times New Roman" w:cs="Times New Roman"/>
          <w:sz w:val="24"/>
          <w:szCs w:val="24"/>
          <w:lang w:val="en-US" w:eastAsia="id-ID"/>
        </w:rPr>
        <w:t xml:space="preserve">yang </w:t>
      </w:r>
      <w:proofErr w:type="spellStart"/>
      <w:r w:rsidR="00E47F8F" w:rsidRPr="007720BC">
        <w:rPr>
          <w:rFonts w:ascii="Times New Roman" w:hAnsi="Times New Roman" w:cs="Times New Roman"/>
          <w:sz w:val="24"/>
          <w:szCs w:val="24"/>
          <w:lang w:val="en-US" w:eastAsia="id-ID"/>
        </w:rPr>
        <w:t>telah</w:t>
      </w:r>
      <w:proofErr w:type="spellEnd"/>
      <w:r w:rsidR="00E47F8F" w:rsidRPr="007720BC">
        <w:rPr>
          <w:rFonts w:ascii="Times New Roman" w:hAnsi="Times New Roman" w:cs="Times New Roman"/>
          <w:sz w:val="24"/>
          <w:szCs w:val="24"/>
          <w:lang w:val="en-US" w:eastAsia="id-ID"/>
        </w:rPr>
        <w:t xml:space="preserve"> </w:t>
      </w:r>
      <w:proofErr w:type="spellStart"/>
      <w:r w:rsidR="00E47F8F" w:rsidRPr="007720BC">
        <w:rPr>
          <w:rFonts w:ascii="Times New Roman" w:hAnsi="Times New Roman" w:cs="Times New Roman"/>
          <w:sz w:val="24"/>
          <w:szCs w:val="24"/>
          <w:lang w:val="en-US" w:eastAsia="id-ID"/>
        </w:rPr>
        <w:t>melaksanakan</w:t>
      </w:r>
      <w:proofErr w:type="spellEnd"/>
      <w:r w:rsidR="00E47F8F" w:rsidRPr="007720BC">
        <w:rPr>
          <w:rFonts w:ascii="Times New Roman" w:hAnsi="Times New Roman" w:cs="Times New Roman"/>
          <w:sz w:val="24"/>
          <w:szCs w:val="24"/>
          <w:lang w:val="en-US" w:eastAsia="id-ID"/>
        </w:rPr>
        <w:t xml:space="preserve"> kampung KB </w:t>
      </w:r>
      <w:proofErr w:type="spellStart"/>
      <w:r w:rsidRPr="007720BC">
        <w:rPr>
          <w:rFonts w:ascii="Times New Roman" w:hAnsi="Times New Roman" w:cs="Times New Roman"/>
          <w:sz w:val="24"/>
          <w:szCs w:val="24"/>
          <w:lang w:eastAsia="id-ID"/>
        </w:rPr>
        <w:t>terpilih</w:t>
      </w:r>
      <w:proofErr w:type="spellEnd"/>
      <w:r w:rsidRPr="007720BC">
        <w:rPr>
          <w:rFonts w:ascii="Times New Roman" w:hAnsi="Times New Roman" w:cs="Times New Roman"/>
          <w:sz w:val="24"/>
          <w:szCs w:val="24"/>
          <w:lang w:eastAsia="id-ID"/>
        </w:rPr>
        <w:t xml:space="preserve"> </w:t>
      </w:r>
      <w:r w:rsidRPr="007720BC">
        <w:rPr>
          <w:rFonts w:ascii="Times New Roman" w:hAnsi="Times New Roman" w:cs="Times New Roman"/>
          <w:sz w:val="24"/>
          <w:szCs w:val="24"/>
          <w:lang w:val="id-ID" w:eastAsia="id-ID"/>
        </w:rPr>
        <w:t xml:space="preserve">sebagai salah satu dari </w:t>
      </w:r>
      <w:r w:rsidRPr="007720BC">
        <w:rPr>
          <w:rFonts w:ascii="Times New Roman" w:hAnsi="Times New Roman" w:cs="Times New Roman"/>
          <w:sz w:val="24"/>
          <w:szCs w:val="24"/>
          <w:lang w:val="en-US" w:eastAsia="id-ID"/>
        </w:rPr>
        <w:t xml:space="preserve">326 </w:t>
      </w:r>
      <w:proofErr w:type="spellStart"/>
      <w:r w:rsidRPr="007720BC">
        <w:rPr>
          <w:rFonts w:ascii="Times New Roman" w:hAnsi="Times New Roman" w:cs="Times New Roman"/>
          <w:sz w:val="24"/>
          <w:szCs w:val="24"/>
          <w:lang w:val="en-US" w:eastAsia="id-ID"/>
        </w:rPr>
        <w:t>desa</w:t>
      </w:r>
      <w:proofErr w:type="spellEnd"/>
      <w:r w:rsidRPr="007720BC">
        <w:rPr>
          <w:rFonts w:ascii="Times New Roman" w:hAnsi="Times New Roman" w:cs="Times New Roman"/>
          <w:sz w:val="24"/>
          <w:szCs w:val="24"/>
          <w:lang w:val="id-ID" w:eastAsia="id-ID"/>
        </w:rPr>
        <w:t xml:space="preserve"> di </w:t>
      </w:r>
      <w:proofErr w:type="spellStart"/>
      <w:r w:rsidRPr="007720BC">
        <w:rPr>
          <w:rFonts w:ascii="Times New Roman" w:hAnsi="Times New Roman" w:cs="Times New Roman"/>
          <w:sz w:val="24"/>
          <w:szCs w:val="24"/>
          <w:lang w:val="en-US" w:eastAsia="id-ID"/>
        </w:rPr>
        <w:t>Kabupaten</w:t>
      </w:r>
      <w:proofErr w:type="spellEnd"/>
      <w:r w:rsidRPr="007720BC">
        <w:rPr>
          <w:rFonts w:ascii="Times New Roman" w:hAnsi="Times New Roman" w:cs="Times New Roman"/>
          <w:sz w:val="24"/>
          <w:szCs w:val="24"/>
          <w:lang w:val="en-US" w:eastAsia="id-ID"/>
        </w:rPr>
        <w:t xml:space="preserve"> </w:t>
      </w:r>
      <w:proofErr w:type="spellStart"/>
      <w:r w:rsidRPr="007720BC">
        <w:rPr>
          <w:rFonts w:ascii="Times New Roman" w:hAnsi="Times New Roman" w:cs="Times New Roman"/>
          <w:sz w:val="24"/>
          <w:szCs w:val="24"/>
          <w:lang w:val="en-US" w:eastAsia="id-ID"/>
        </w:rPr>
        <w:t>serang</w:t>
      </w:r>
      <w:proofErr w:type="spellEnd"/>
      <w:r w:rsidRPr="007720BC">
        <w:rPr>
          <w:rFonts w:ascii="Times New Roman" w:hAnsi="Times New Roman" w:cs="Times New Roman"/>
          <w:sz w:val="24"/>
          <w:szCs w:val="24"/>
          <w:lang w:val="id-ID" w:eastAsia="id-ID"/>
        </w:rPr>
        <w:t xml:space="preserve"> dipilih sebagai lokasi penelitian. </w:t>
      </w:r>
    </w:p>
    <w:p w14:paraId="4B5EC7BD" w14:textId="7AA52CD9" w:rsidR="001B5F2D" w:rsidRPr="007720BC" w:rsidRDefault="001B5F2D" w:rsidP="00CB2900">
      <w:pPr>
        <w:spacing w:after="0" w:line="240" w:lineRule="auto"/>
        <w:ind w:firstLine="720"/>
        <w:contextualSpacing/>
        <w:jc w:val="both"/>
        <w:rPr>
          <w:rFonts w:ascii="Times New Roman" w:hAnsi="Times New Roman" w:cs="Times New Roman"/>
          <w:sz w:val="24"/>
          <w:szCs w:val="24"/>
          <w:lang w:val="en-US" w:eastAsia="id-ID"/>
        </w:rPr>
      </w:pPr>
      <w:proofErr w:type="spellStart"/>
      <w:r w:rsidRPr="007720BC">
        <w:rPr>
          <w:rFonts w:ascii="Times New Roman" w:hAnsi="Times New Roman" w:cs="Times New Roman"/>
          <w:sz w:val="24"/>
          <w:szCs w:val="24"/>
          <w:lang w:val="en-US"/>
        </w:rPr>
        <w:t>Jumlah</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informan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yaitu</w:t>
      </w:r>
      <w:proofErr w:type="spellEnd"/>
      <w:r w:rsidRPr="007720BC">
        <w:rPr>
          <w:rFonts w:ascii="Times New Roman" w:hAnsi="Times New Roman" w:cs="Times New Roman"/>
          <w:sz w:val="24"/>
          <w:szCs w:val="24"/>
          <w:lang w:val="en-US"/>
        </w:rPr>
        <w:t xml:space="preserve"> </w:t>
      </w:r>
      <w:r w:rsidR="009650CB" w:rsidRPr="007720BC">
        <w:rPr>
          <w:rFonts w:ascii="Times New Roman" w:hAnsi="Times New Roman" w:cs="Times New Roman"/>
          <w:sz w:val="24"/>
          <w:szCs w:val="24"/>
          <w:lang w:val="en-US"/>
        </w:rPr>
        <w:t>10</w:t>
      </w:r>
      <w:r w:rsidRPr="007720BC">
        <w:rPr>
          <w:rFonts w:ascii="Times New Roman" w:hAnsi="Times New Roman" w:cs="Times New Roman"/>
          <w:sz w:val="24"/>
          <w:szCs w:val="24"/>
          <w:lang w:val="en-US"/>
        </w:rPr>
        <w:t xml:space="preserve"> (</w:t>
      </w:r>
      <w:proofErr w:type="spellStart"/>
      <w:r w:rsidR="009650CB" w:rsidRPr="007720BC">
        <w:rPr>
          <w:rFonts w:ascii="Times New Roman" w:hAnsi="Times New Roman" w:cs="Times New Roman"/>
          <w:sz w:val="24"/>
          <w:szCs w:val="24"/>
          <w:lang w:val="en-US"/>
        </w:rPr>
        <w:t>sepulu</w:t>
      </w:r>
      <w:r w:rsidR="005929DB" w:rsidRPr="007720BC">
        <w:rPr>
          <w:rFonts w:ascii="Times New Roman" w:hAnsi="Times New Roman" w:cs="Times New Roman"/>
          <w:sz w:val="24"/>
          <w:szCs w:val="24"/>
          <w:lang w:val="en-US"/>
        </w:rPr>
        <w:t>h</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informan</w:t>
      </w:r>
      <w:proofErr w:type="spellEnd"/>
      <w:r w:rsidRPr="007720BC">
        <w:rPr>
          <w:rFonts w:ascii="Times New Roman" w:hAnsi="Times New Roman" w:cs="Times New Roman"/>
          <w:sz w:val="24"/>
          <w:szCs w:val="24"/>
          <w:lang w:val="en-US"/>
        </w:rPr>
        <w:t xml:space="preserve"> </w:t>
      </w:r>
      <w:r w:rsidRPr="007720BC">
        <w:rPr>
          <w:rFonts w:ascii="Times New Roman" w:hAnsi="Times New Roman" w:cs="Times New Roman"/>
          <w:sz w:val="24"/>
          <w:szCs w:val="24"/>
          <w:lang w:val="id-ID" w:eastAsia="id-ID"/>
        </w:rPr>
        <w:t>yang terdiri dari unsur pemerintahan dan non pemerintahan berpartisipasi dalam penelitian ini dengan berbagai peran berbeda</w:t>
      </w:r>
      <w:r w:rsidRPr="007720BC">
        <w:rPr>
          <w:rFonts w:ascii="Times New Roman" w:hAnsi="Times New Roman" w:cs="Times New Roman"/>
          <w:sz w:val="24"/>
          <w:szCs w:val="24"/>
          <w:lang w:val="en-US" w:eastAsia="id-ID"/>
        </w:rPr>
        <w:t xml:space="preserve"> dan </w:t>
      </w:r>
      <w:proofErr w:type="spellStart"/>
      <w:r w:rsidRPr="007720BC">
        <w:rPr>
          <w:rFonts w:ascii="Times New Roman" w:hAnsi="Times New Roman" w:cs="Times New Roman"/>
          <w:sz w:val="24"/>
          <w:szCs w:val="24"/>
          <w:lang w:val="en-US" w:eastAsia="id-ID"/>
        </w:rPr>
        <w:t>terbagi</w:t>
      </w:r>
      <w:proofErr w:type="spellEnd"/>
      <w:r w:rsidRPr="007720BC">
        <w:rPr>
          <w:rFonts w:ascii="Times New Roman" w:hAnsi="Times New Roman" w:cs="Times New Roman"/>
          <w:sz w:val="24"/>
          <w:szCs w:val="24"/>
          <w:lang w:val="en-US" w:eastAsia="id-ID"/>
        </w:rPr>
        <w:t xml:space="preserve"> </w:t>
      </w:r>
      <w:proofErr w:type="spellStart"/>
      <w:r w:rsidRPr="007720BC">
        <w:rPr>
          <w:rFonts w:ascii="Times New Roman" w:hAnsi="Times New Roman" w:cs="Times New Roman"/>
          <w:sz w:val="24"/>
          <w:szCs w:val="24"/>
          <w:lang w:val="en-US" w:eastAsia="id-ID"/>
        </w:rPr>
        <w:t>dalam</w:t>
      </w:r>
      <w:proofErr w:type="spellEnd"/>
      <w:r w:rsidRPr="007720BC">
        <w:rPr>
          <w:rFonts w:ascii="Times New Roman" w:hAnsi="Times New Roman" w:cs="Times New Roman"/>
          <w:sz w:val="24"/>
          <w:szCs w:val="24"/>
          <w:lang w:val="en-US" w:eastAsia="id-ID"/>
        </w:rPr>
        <w:t xml:space="preserve"> </w:t>
      </w:r>
      <w:proofErr w:type="spellStart"/>
      <w:r w:rsidRPr="007720BC">
        <w:rPr>
          <w:rFonts w:ascii="Times New Roman" w:hAnsi="Times New Roman" w:cs="Times New Roman"/>
          <w:sz w:val="24"/>
          <w:szCs w:val="24"/>
          <w:lang w:val="en-US" w:eastAsia="id-ID"/>
        </w:rPr>
        <w:t>empat</w:t>
      </w:r>
      <w:proofErr w:type="spellEnd"/>
      <w:r w:rsidRPr="007720BC">
        <w:rPr>
          <w:rFonts w:ascii="Times New Roman" w:hAnsi="Times New Roman" w:cs="Times New Roman"/>
          <w:sz w:val="24"/>
          <w:szCs w:val="24"/>
          <w:lang w:val="en-US" w:eastAsia="id-ID"/>
        </w:rPr>
        <w:t xml:space="preserve"> </w:t>
      </w:r>
      <w:proofErr w:type="spellStart"/>
      <w:r w:rsidRPr="007720BC">
        <w:rPr>
          <w:rFonts w:ascii="Times New Roman" w:hAnsi="Times New Roman" w:cs="Times New Roman"/>
          <w:sz w:val="24"/>
          <w:szCs w:val="24"/>
          <w:lang w:val="en-US" w:eastAsia="id-ID"/>
        </w:rPr>
        <w:t>kelompok</w:t>
      </w:r>
      <w:proofErr w:type="spellEnd"/>
      <w:r w:rsidRPr="007720BC">
        <w:rPr>
          <w:rFonts w:ascii="Times New Roman" w:hAnsi="Times New Roman" w:cs="Times New Roman"/>
          <w:sz w:val="24"/>
          <w:szCs w:val="24"/>
          <w:lang w:val="en-US" w:eastAsia="id-ID"/>
        </w:rPr>
        <w:t xml:space="preserve"> </w:t>
      </w:r>
      <w:proofErr w:type="spellStart"/>
      <w:r w:rsidRPr="007720BC">
        <w:rPr>
          <w:rFonts w:ascii="Times New Roman" w:hAnsi="Times New Roman" w:cs="Times New Roman"/>
          <w:sz w:val="24"/>
          <w:szCs w:val="24"/>
          <w:lang w:val="en-US" w:eastAsia="id-ID"/>
        </w:rPr>
        <w:t>yaitu</w:t>
      </w:r>
      <w:proofErr w:type="spellEnd"/>
      <w:r w:rsidRPr="007720BC">
        <w:rPr>
          <w:rFonts w:ascii="Times New Roman" w:hAnsi="Times New Roman" w:cs="Times New Roman"/>
          <w:sz w:val="24"/>
          <w:szCs w:val="24"/>
          <w:lang w:val="en-US" w:eastAsia="id-ID"/>
        </w:rPr>
        <w:t xml:space="preserve"> </w:t>
      </w:r>
      <w:proofErr w:type="spellStart"/>
      <w:r w:rsidRPr="007720BC">
        <w:rPr>
          <w:rFonts w:ascii="Times New Roman" w:hAnsi="Times New Roman" w:cs="Times New Roman"/>
          <w:sz w:val="24"/>
          <w:szCs w:val="24"/>
          <w:lang w:val="en-US" w:eastAsia="id-ID"/>
        </w:rPr>
        <w:t>Penyuluh</w:t>
      </w:r>
      <w:proofErr w:type="spellEnd"/>
      <w:r w:rsidRPr="007720BC">
        <w:rPr>
          <w:rFonts w:ascii="Times New Roman" w:hAnsi="Times New Roman" w:cs="Times New Roman"/>
          <w:sz w:val="24"/>
          <w:szCs w:val="24"/>
          <w:lang w:val="en-US" w:eastAsia="id-ID"/>
        </w:rPr>
        <w:t xml:space="preserve"> </w:t>
      </w:r>
      <w:proofErr w:type="spellStart"/>
      <w:r w:rsidRPr="007720BC">
        <w:rPr>
          <w:rFonts w:ascii="Times New Roman" w:hAnsi="Times New Roman" w:cs="Times New Roman"/>
          <w:sz w:val="24"/>
          <w:szCs w:val="24"/>
          <w:lang w:val="en-US" w:eastAsia="id-ID"/>
        </w:rPr>
        <w:t>Lapangan</w:t>
      </w:r>
      <w:proofErr w:type="spellEnd"/>
      <w:r w:rsidRPr="007720BC">
        <w:rPr>
          <w:rFonts w:ascii="Times New Roman" w:hAnsi="Times New Roman" w:cs="Times New Roman"/>
          <w:sz w:val="24"/>
          <w:szCs w:val="24"/>
          <w:lang w:val="en-US" w:eastAsia="id-ID"/>
        </w:rPr>
        <w:t xml:space="preserve"> </w:t>
      </w:r>
      <w:proofErr w:type="spellStart"/>
      <w:r w:rsidRPr="007720BC">
        <w:rPr>
          <w:rFonts w:ascii="Times New Roman" w:hAnsi="Times New Roman" w:cs="Times New Roman"/>
          <w:sz w:val="24"/>
          <w:szCs w:val="24"/>
          <w:lang w:val="en-US" w:eastAsia="id-ID"/>
        </w:rPr>
        <w:t>Keluarga</w:t>
      </w:r>
      <w:proofErr w:type="spellEnd"/>
      <w:r w:rsidRPr="007720BC">
        <w:rPr>
          <w:rFonts w:ascii="Times New Roman" w:hAnsi="Times New Roman" w:cs="Times New Roman"/>
          <w:sz w:val="24"/>
          <w:szCs w:val="24"/>
          <w:lang w:val="en-US" w:eastAsia="id-ID"/>
        </w:rPr>
        <w:t xml:space="preserve"> </w:t>
      </w:r>
      <w:proofErr w:type="spellStart"/>
      <w:r w:rsidRPr="007720BC">
        <w:rPr>
          <w:rFonts w:ascii="Times New Roman" w:hAnsi="Times New Roman" w:cs="Times New Roman"/>
          <w:sz w:val="24"/>
          <w:szCs w:val="24"/>
          <w:lang w:val="en-US" w:eastAsia="id-ID"/>
        </w:rPr>
        <w:t>Berencana</w:t>
      </w:r>
      <w:proofErr w:type="spellEnd"/>
      <w:r w:rsidRPr="007720BC">
        <w:rPr>
          <w:rFonts w:ascii="Times New Roman" w:hAnsi="Times New Roman" w:cs="Times New Roman"/>
          <w:sz w:val="24"/>
          <w:szCs w:val="24"/>
          <w:lang w:val="en-US" w:eastAsia="id-ID"/>
        </w:rPr>
        <w:t xml:space="preserve">-Tim </w:t>
      </w:r>
      <w:proofErr w:type="spellStart"/>
      <w:r w:rsidRPr="007720BC">
        <w:rPr>
          <w:rFonts w:ascii="Times New Roman" w:hAnsi="Times New Roman" w:cs="Times New Roman"/>
          <w:sz w:val="24"/>
          <w:szCs w:val="24"/>
          <w:lang w:val="en-US" w:eastAsia="id-ID"/>
        </w:rPr>
        <w:t>Pendamping</w:t>
      </w:r>
      <w:proofErr w:type="spellEnd"/>
      <w:r w:rsidRPr="007720BC">
        <w:rPr>
          <w:rFonts w:ascii="Times New Roman" w:hAnsi="Times New Roman" w:cs="Times New Roman"/>
          <w:sz w:val="24"/>
          <w:szCs w:val="24"/>
          <w:lang w:val="en-US" w:eastAsia="id-ID"/>
        </w:rPr>
        <w:t xml:space="preserve"> </w:t>
      </w:r>
      <w:proofErr w:type="spellStart"/>
      <w:r w:rsidRPr="007720BC">
        <w:rPr>
          <w:rFonts w:ascii="Times New Roman" w:hAnsi="Times New Roman" w:cs="Times New Roman"/>
          <w:sz w:val="24"/>
          <w:szCs w:val="24"/>
          <w:lang w:val="en-US" w:eastAsia="id-ID"/>
        </w:rPr>
        <w:t>Keluarga</w:t>
      </w:r>
      <w:proofErr w:type="spellEnd"/>
      <w:r w:rsidRPr="007720BC">
        <w:rPr>
          <w:rFonts w:ascii="Times New Roman" w:hAnsi="Times New Roman" w:cs="Times New Roman"/>
          <w:sz w:val="24"/>
          <w:szCs w:val="24"/>
          <w:lang w:val="en-US" w:eastAsia="id-ID"/>
        </w:rPr>
        <w:t xml:space="preserve"> (</w:t>
      </w:r>
      <w:r w:rsidRPr="007720BC">
        <w:rPr>
          <w:rFonts w:ascii="Times New Roman" w:hAnsi="Times New Roman" w:cs="Times New Roman"/>
          <w:sz w:val="24"/>
          <w:szCs w:val="24"/>
        </w:rPr>
        <w:t>P</w:t>
      </w:r>
      <w:r w:rsidRPr="007720BC">
        <w:rPr>
          <w:rFonts w:ascii="Times New Roman" w:hAnsi="Times New Roman" w:cs="Times New Roman"/>
          <w:sz w:val="24"/>
          <w:szCs w:val="24"/>
          <w:lang w:val="en-US"/>
        </w:rPr>
        <w:t>L</w:t>
      </w:r>
      <w:r w:rsidRPr="007720BC">
        <w:rPr>
          <w:rFonts w:ascii="Times New Roman" w:hAnsi="Times New Roman" w:cs="Times New Roman"/>
          <w:sz w:val="24"/>
          <w:szCs w:val="24"/>
        </w:rPr>
        <w:t>KB-TPK</w:t>
      </w:r>
      <w:r w:rsidRPr="007720BC">
        <w:rPr>
          <w:rFonts w:ascii="Times New Roman" w:hAnsi="Times New Roman" w:cs="Times New Roman"/>
          <w:sz w:val="24"/>
          <w:szCs w:val="24"/>
          <w:lang w:val="en-US"/>
        </w:rPr>
        <w:t>)</w:t>
      </w:r>
      <w:r w:rsidR="009650CB" w:rsidRPr="007720BC">
        <w:rPr>
          <w:rFonts w:ascii="Times New Roman" w:hAnsi="Times New Roman" w:cs="Times New Roman"/>
          <w:sz w:val="24"/>
          <w:szCs w:val="24"/>
          <w:lang w:val="en-US"/>
        </w:rPr>
        <w:t xml:space="preserve"> </w:t>
      </w:r>
      <w:proofErr w:type="spellStart"/>
      <w:r w:rsidR="009650CB" w:rsidRPr="007720BC">
        <w:rPr>
          <w:rFonts w:ascii="Times New Roman" w:hAnsi="Times New Roman" w:cs="Times New Roman"/>
          <w:sz w:val="24"/>
          <w:szCs w:val="24"/>
          <w:lang w:val="en-US"/>
        </w:rPr>
        <w:t>terdiri</w:t>
      </w:r>
      <w:proofErr w:type="spellEnd"/>
      <w:r w:rsidR="009650CB" w:rsidRPr="007720BC">
        <w:rPr>
          <w:rFonts w:ascii="Times New Roman" w:hAnsi="Times New Roman" w:cs="Times New Roman"/>
          <w:sz w:val="24"/>
          <w:szCs w:val="24"/>
          <w:lang w:val="en-US"/>
        </w:rPr>
        <w:t xml:space="preserve"> </w:t>
      </w:r>
      <w:proofErr w:type="spellStart"/>
      <w:r w:rsidR="009650CB" w:rsidRPr="007720BC">
        <w:rPr>
          <w:rFonts w:ascii="Times New Roman" w:hAnsi="Times New Roman" w:cs="Times New Roman"/>
          <w:sz w:val="24"/>
          <w:szCs w:val="24"/>
          <w:lang w:val="en-US"/>
        </w:rPr>
        <w:t>dari</w:t>
      </w:r>
      <w:proofErr w:type="spellEnd"/>
      <w:r w:rsidR="009650CB" w:rsidRPr="007720BC">
        <w:rPr>
          <w:rFonts w:ascii="Times New Roman" w:hAnsi="Times New Roman" w:cs="Times New Roman"/>
          <w:sz w:val="24"/>
          <w:szCs w:val="24"/>
          <w:lang w:val="en-US"/>
        </w:rPr>
        <w:t xml:space="preserve"> </w:t>
      </w:r>
      <w:proofErr w:type="spellStart"/>
      <w:r w:rsidR="009650CB" w:rsidRPr="007720BC">
        <w:rPr>
          <w:rFonts w:ascii="Times New Roman" w:hAnsi="Times New Roman" w:cs="Times New Roman"/>
          <w:sz w:val="24"/>
          <w:szCs w:val="24"/>
          <w:lang w:val="en-US"/>
        </w:rPr>
        <w:t>empat</w:t>
      </w:r>
      <w:proofErr w:type="spellEnd"/>
      <w:r w:rsidR="009650CB" w:rsidRPr="007720BC">
        <w:rPr>
          <w:rFonts w:ascii="Times New Roman" w:hAnsi="Times New Roman" w:cs="Times New Roman"/>
          <w:sz w:val="24"/>
          <w:szCs w:val="24"/>
          <w:lang w:val="en-US"/>
        </w:rPr>
        <w:t xml:space="preserve"> orang</w:t>
      </w:r>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Organisasi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Pemerintahan</w:t>
      </w:r>
      <w:proofErr w:type="spellEnd"/>
      <w:r w:rsidRPr="007720BC">
        <w:rPr>
          <w:rFonts w:ascii="Times New Roman" w:hAnsi="Times New Roman" w:cs="Times New Roman"/>
          <w:sz w:val="24"/>
          <w:szCs w:val="24"/>
          <w:lang w:val="en-US"/>
        </w:rPr>
        <w:t xml:space="preserve"> Daerah </w:t>
      </w:r>
      <w:proofErr w:type="spellStart"/>
      <w:r w:rsidRPr="007720BC">
        <w:rPr>
          <w:rFonts w:ascii="Times New Roman" w:hAnsi="Times New Roman" w:cs="Times New Roman"/>
          <w:sz w:val="24"/>
          <w:szCs w:val="24"/>
          <w:lang w:val="en-US"/>
        </w:rPr>
        <w:t>Kabupaten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Serang</w:t>
      </w:r>
      <w:proofErr w:type="spellEnd"/>
      <w:r w:rsidR="009650CB" w:rsidRPr="007720BC">
        <w:rPr>
          <w:rFonts w:ascii="Times New Roman" w:hAnsi="Times New Roman" w:cs="Times New Roman"/>
          <w:sz w:val="24"/>
          <w:szCs w:val="24"/>
          <w:lang w:val="en-US"/>
        </w:rPr>
        <w:t xml:space="preserve"> </w:t>
      </w:r>
      <w:proofErr w:type="spellStart"/>
      <w:r w:rsidR="009650CB" w:rsidRPr="007720BC">
        <w:rPr>
          <w:rFonts w:ascii="Times New Roman" w:hAnsi="Times New Roman" w:cs="Times New Roman"/>
          <w:sz w:val="24"/>
          <w:szCs w:val="24"/>
          <w:lang w:val="en-US"/>
        </w:rPr>
        <w:t>sebanyak</w:t>
      </w:r>
      <w:proofErr w:type="spellEnd"/>
      <w:r w:rsidR="009650CB" w:rsidRPr="007720BC">
        <w:rPr>
          <w:rFonts w:ascii="Times New Roman" w:hAnsi="Times New Roman" w:cs="Times New Roman"/>
          <w:sz w:val="24"/>
          <w:szCs w:val="24"/>
          <w:lang w:val="en-US"/>
        </w:rPr>
        <w:t xml:space="preserve"> dua orang, </w:t>
      </w:r>
      <w:r w:rsidRPr="007720BC">
        <w:rPr>
          <w:rFonts w:ascii="Times New Roman" w:hAnsi="Times New Roman" w:cs="Times New Roman"/>
          <w:sz w:val="24"/>
          <w:szCs w:val="24"/>
          <w:lang w:val="en-US"/>
        </w:rPr>
        <w:t>Masyarakat</w:t>
      </w:r>
      <w:r w:rsidR="009650CB" w:rsidRPr="007720BC">
        <w:rPr>
          <w:rFonts w:ascii="Times New Roman" w:hAnsi="Times New Roman" w:cs="Times New Roman"/>
          <w:sz w:val="24"/>
          <w:szCs w:val="24"/>
          <w:lang w:val="en-US"/>
        </w:rPr>
        <w:t xml:space="preserve"> </w:t>
      </w:r>
      <w:proofErr w:type="spellStart"/>
      <w:r w:rsidR="009650CB" w:rsidRPr="007720BC">
        <w:rPr>
          <w:rFonts w:ascii="Times New Roman" w:hAnsi="Times New Roman" w:cs="Times New Roman"/>
          <w:sz w:val="24"/>
          <w:szCs w:val="24"/>
          <w:lang w:val="en-US"/>
        </w:rPr>
        <w:t>sebanyak</w:t>
      </w:r>
      <w:proofErr w:type="spellEnd"/>
      <w:r w:rsidR="009650CB" w:rsidRPr="007720BC">
        <w:rPr>
          <w:rFonts w:ascii="Times New Roman" w:hAnsi="Times New Roman" w:cs="Times New Roman"/>
          <w:sz w:val="24"/>
          <w:szCs w:val="24"/>
          <w:lang w:val="en-US"/>
        </w:rPr>
        <w:t xml:space="preserve"> </w:t>
      </w:r>
      <w:proofErr w:type="spellStart"/>
      <w:r w:rsidR="009650CB" w:rsidRPr="007720BC">
        <w:rPr>
          <w:rFonts w:ascii="Times New Roman" w:hAnsi="Times New Roman" w:cs="Times New Roman"/>
          <w:sz w:val="24"/>
          <w:szCs w:val="24"/>
          <w:lang w:val="en-US"/>
        </w:rPr>
        <w:t>tiga</w:t>
      </w:r>
      <w:proofErr w:type="spellEnd"/>
      <w:r w:rsidR="009650CB" w:rsidRPr="007720BC">
        <w:rPr>
          <w:rFonts w:ascii="Times New Roman" w:hAnsi="Times New Roman" w:cs="Times New Roman"/>
          <w:sz w:val="24"/>
          <w:szCs w:val="24"/>
          <w:lang w:val="en-US"/>
        </w:rPr>
        <w:t xml:space="preserve"> orang</w:t>
      </w:r>
      <w:r w:rsidRPr="007720BC">
        <w:rPr>
          <w:rFonts w:ascii="Times New Roman" w:hAnsi="Times New Roman" w:cs="Times New Roman"/>
          <w:sz w:val="24"/>
          <w:szCs w:val="24"/>
          <w:lang w:val="en-US"/>
        </w:rPr>
        <w:t xml:space="preserve"> dan </w:t>
      </w:r>
      <w:proofErr w:type="spellStart"/>
      <w:r w:rsidR="009650CB" w:rsidRPr="007720BC">
        <w:rPr>
          <w:rFonts w:ascii="Times New Roman" w:hAnsi="Times New Roman" w:cs="Times New Roman"/>
          <w:sz w:val="24"/>
          <w:szCs w:val="24"/>
          <w:lang w:val="en-US"/>
        </w:rPr>
        <w:t>perwakilan</w:t>
      </w:r>
      <w:proofErr w:type="spellEnd"/>
      <w:r w:rsidR="009650CB"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Pemerintah</w:t>
      </w:r>
      <w:proofErr w:type="spellEnd"/>
      <w:r w:rsidRPr="007720BC">
        <w:rPr>
          <w:rFonts w:ascii="Times New Roman" w:hAnsi="Times New Roman" w:cs="Times New Roman"/>
          <w:sz w:val="24"/>
          <w:szCs w:val="24"/>
          <w:lang w:val="en-US"/>
        </w:rPr>
        <w:t xml:space="preserve"> Desa </w:t>
      </w:r>
      <w:proofErr w:type="spellStart"/>
      <w:r w:rsidRPr="007720BC">
        <w:rPr>
          <w:rFonts w:ascii="Times New Roman" w:hAnsi="Times New Roman" w:cs="Times New Roman"/>
          <w:sz w:val="24"/>
          <w:szCs w:val="24"/>
          <w:lang w:val="en-US"/>
        </w:rPr>
        <w:t>Mongpok</w:t>
      </w:r>
      <w:proofErr w:type="spellEnd"/>
      <w:r w:rsidR="009650CB" w:rsidRPr="007720BC">
        <w:rPr>
          <w:rFonts w:ascii="Times New Roman" w:hAnsi="Times New Roman" w:cs="Times New Roman"/>
          <w:sz w:val="24"/>
          <w:szCs w:val="24"/>
          <w:lang w:val="en-US"/>
        </w:rPr>
        <w:t xml:space="preserve"> </w:t>
      </w:r>
      <w:proofErr w:type="spellStart"/>
      <w:r w:rsidR="009650CB" w:rsidRPr="007720BC">
        <w:rPr>
          <w:rFonts w:ascii="Times New Roman" w:hAnsi="Times New Roman" w:cs="Times New Roman"/>
          <w:sz w:val="24"/>
          <w:szCs w:val="24"/>
          <w:lang w:val="en-US"/>
        </w:rPr>
        <w:t>sebanyak</w:t>
      </w:r>
      <w:proofErr w:type="spellEnd"/>
      <w:r w:rsidR="009650CB" w:rsidRPr="007720BC">
        <w:rPr>
          <w:rFonts w:ascii="Times New Roman" w:hAnsi="Times New Roman" w:cs="Times New Roman"/>
          <w:sz w:val="24"/>
          <w:szCs w:val="24"/>
          <w:lang w:val="en-US"/>
        </w:rPr>
        <w:t xml:space="preserve"> dua orang</w:t>
      </w:r>
      <w:r w:rsidRPr="007720BC">
        <w:rPr>
          <w:rFonts w:ascii="Times New Roman" w:hAnsi="Times New Roman" w:cs="Times New Roman"/>
          <w:sz w:val="24"/>
          <w:szCs w:val="24"/>
          <w:lang w:val="en-US"/>
        </w:rPr>
        <w:t xml:space="preserve">. </w:t>
      </w:r>
      <w:r w:rsidRPr="007720BC">
        <w:rPr>
          <w:rStyle w:val="tlid-translation"/>
          <w:rFonts w:ascii="Times New Roman" w:hAnsi="Times New Roman" w:cs="Times New Roman"/>
          <w:sz w:val="24"/>
          <w:szCs w:val="24"/>
        </w:rPr>
        <w:t xml:space="preserve">Teknik </w:t>
      </w:r>
      <w:proofErr w:type="spellStart"/>
      <w:r w:rsidRPr="007720BC">
        <w:rPr>
          <w:rStyle w:val="tlid-translation"/>
          <w:rFonts w:ascii="Times New Roman" w:hAnsi="Times New Roman" w:cs="Times New Roman"/>
          <w:sz w:val="24"/>
          <w:szCs w:val="24"/>
        </w:rPr>
        <w:t>Pengumpulan</w:t>
      </w:r>
      <w:proofErr w:type="spellEnd"/>
      <w:r w:rsidRPr="007720BC">
        <w:rPr>
          <w:rStyle w:val="tlid-translation"/>
          <w:rFonts w:ascii="Times New Roman" w:hAnsi="Times New Roman" w:cs="Times New Roman"/>
          <w:sz w:val="24"/>
          <w:szCs w:val="24"/>
        </w:rPr>
        <w:t xml:space="preserve"> data</w:t>
      </w:r>
      <w:r w:rsidR="005929DB" w:rsidRPr="007720BC">
        <w:rPr>
          <w:rStyle w:val="tlid-translation"/>
          <w:rFonts w:ascii="Times New Roman" w:hAnsi="Times New Roman" w:cs="Times New Roman"/>
          <w:sz w:val="24"/>
          <w:szCs w:val="24"/>
        </w:rPr>
        <w:t xml:space="preserve"> </w:t>
      </w:r>
      <w:proofErr w:type="spellStart"/>
      <w:r w:rsidRPr="007720BC">
        <w:rPr>
          <w:rStyle w:val="tlid-translation"/>
          <w:rFonts w:ascii="Times New Roman" w:hAnsi="Times New Roman" w:cs="Times New Roman"/>
          <w:sz w:val="24"/>
          <w:szCs w:val="24"/>
        </w:rPr>
        <w:t>melalui</w:t>
      </w:r>
      <w:proofErr w:type="spellEnd"/>
      <w:r w:rsidRPr="007720BC">
        <w:rPr>
          <w:rStyle w:val="tlid-translation"/>
          <w:rFonts w:ascii="Times New Roman" w:hAnsi="Times New Roman" w:cs="Times New Roman"/>
          <w:sz w:val="24"/>
          <w:szCs w:val="24"/>
        </w:rPr>
        <w:t xml:space="preserve"> </w:t>
      </w:r>
      <w:proofErr w:type="spellStart"/>
      <w:r w:rsidRPr="007720BC">
        <w:rPr>
          <w:rStyle w:val="tlid-translation"/>
          <w:rFonts w:ascii="Times New Roman" w:hAnsi="Times New Roman" w:cs="Times New Roman"/>
          <w:sz w:val="24"/>
          <w:szCs w:val="24"/>
        </w:rPr>
        <w:t>wawancara</w:t>
      </w:r>
      <w:proofErr w:type="spellEnd"/>
      <w:r w:rsidRPr="007720BC">
        <w:rPr>
          <w:rStyle w:val="tlid-translation"/>
          <w:rFonts w:ascii="Times New Roman" w:hAnsi="Times New Roman" w:cs="Times New Roman"/>
          <w:sz w:val="24"/>
          <w:szCs w:val="24"/>
          <w:lang w:val="en-US"/>
        </w:rPr>
        <w:t xml:space="preserve"> </w:t>
      </w:r>
      <w:proofErr w:type="spellStart"/>
      <w:r w:rsidRPr="007720BC">
        <w:rPr>
          <w:rStyle w:val="tlid-translation"/>
          <w:rFonts w:ascii="Times New Roman" w:hAnsi="Times New Roman" w:cs="Times New Roman"/>
          <w:sz w:val="24"/>
          <w:szCs w:val="24"/>
          <w:lang w:val="en-US"/>
        </w:rPr>
        <w:t>melalui</w:t>
      </w:r>
      <w:proofErr w:type="spellEnd"/>
      <w:r w:rsidRPr="007720BC">
        <w:rPr>
          <w:rStyle w:val="tlid-translation"/>
          <w:rFonts w:ascii="Times New Roman" w:hAnsi="Times New Roman" w:cs="Times New Roman"/>
          <w:sz w:val="24"/>
          <w:szCs w:val="24"/>
          <w:lang w:val="en-US"/>
        </w:rPr>
        <w:t xml:space="preserve"> </w:t>
      </w:r>
      <w:r w:rsidRPr="007720BC">
        <w:rPr>
          <w:rStyle w:val="tlid-translation"/>
          <w:rFonts w:ascii="Times New Roman" w:hAnsi="Times New Roman" w:cs="Times New Roman"/>
          <w:i/>
          <w:iCs/>
          <w:sz w:val="24"/>
          <w:szCs w:val="24"/>
          <w:lang w:val="en-US"/>
        </w:rPr>
        <w:t>Focus Group Discussion</w:t>
      </w:r>
      <w:r w:rsidRPr="007720BC">
        <w:rPr>
          <w:rStyle w:val="tlid-translation"/>
          <w:rFonts w:ascii="Times New Roman" w:hAnsi="Times New Roman" w:cs="Times New Roman"/>
          <w:sz w:val="24"/>
          <w:szCs w:val="24"/>
          <w:lang w:val="en-US"/>
        </w:rPr>
        <w:t xml:space="preserve"> (FGD) yang </w:t>
      </w:r>
      <w:proofErr w:type="spellStart"/>
      <w:r w:rsidRPr="007720BC">
        <w:rPr>
          <w:rStyle w:val="tlid-translation"/>
          <w:rFonts w:ascii="Times New Roman" w:hAnsi="Times New Roman" w:cs="Times New Roman"/>
          <w:sz w:val="24"/>
          <w:szCs w:val="24"/>
        </w:rPr>
        <w:t>dilakukan</w:t>
      </w:r>
      <w:proofErr w:type="spellEnd"/>
      <w:r w:rsidRPr="007720BC">
        <w:rPr>
          <w:rStyle w:val="tlid-translation"/>
          <w:rFonts w:ascii="Times New Roman" w:hAnsi="Times New Roman" w:cs="Times New Roman"/>
          <w:sz w:val="24"/>
          <w:szCs w:val="24"/>
        </w:rPr>
        <w:t xml:space="preserve"> </w:t>
      </w:r>
      <w:proofErr w:type="spellStart"/>
      <w:r w:rsidRPr="007720BC">
        <w:rPr>
          <w:rStyle w:val="tlid-translation"/>
          <w:rFonts w:ascii="Times New Roman" w:hAnsi="Times New Roman" w:cs="Times New Roman"/>
          <w:sz w:val="24"/>
          <w:szCs w:val="24"/>
        </w:rPr>
        <w:t>secara</w:t>
      </w:r>
      <w:proofErr w:type="spellEnd"/>
      <w:r w:rsidRPr="007720BC">
        <w:rPr>
          <w:rStyle w:val="tlid-translation"/>
          <w:rFonts w:ascii="Times New Roman" w:hAnsi="Times New Roman" w:cs="Times New Roman"/>
          <w:sz w:val="24"/>
          <w:szCs w:val="24"/>
        </w:rPr>
        <w:t xml:space="preserve"> semi-</w:t>
      </w:r>
      <w:proofErr w:type="spellStart"/>
      <w:r w:rsidRPr="007720BC">
        <w:rPr>
          <w:rStyle w:val="tlid-translation"/>
          <w:rFonts w:ascii="Times New Roman" w:hAnsi="Times New Roman" w:cs="Times New Roman"/>
          <w:sz w:val="24"/>
          <w:szCs w:val="24"/>
        </w:rPr>
        <w:t>terstruktur</w:t>
      </w:r>
      <w:proofErr w:type="spellEnd"/>
      <w:r w:rsidRPr="007720BC">
        <w:rPr>
          <w:rStyle w:val="tlid-translation"/>
          <w:rFonts w:ascii="Times New Roman" w:hAnsi="Times New Roman" w:cs="Times New Roman"/>
          <w:sz w:val="24"/>
          <w:szCs w:val="24"/>
        </w:rPr>
        <w:t xml:space="preserve"> </w:t>
      </w:r>
      <w:proofErr w:type="spellStart"/>
      <w:r w:rsidRPr="007720BC">
        <w:rPr>
          <w:rStyle w:val="tlid-translation"/>
          <w:rFonts w:ascii="Times New Roman" w:hAnsi="Times New Roman" w:cs="Times New Roman"/>
          <w:sz w:val="24"/>
          <w:szCs w:val="24"/>
        </w:rPr>
        <w:t>dengan</w:t>
      </w:r>
      <w:proofErr w:type="spellEnd"/>
      <w:r w:rsidRPr="007720BC">
        <w:rPr>
          <w:rStyle w:val="tlid-translation"/>
          <w:rFonts w:ascii="Times New Roman" w:hAnsi="Times New Roman" w:cs="Times New Roman"/>
          <w:sz w:val="24"/>
          <w:szCs w:val="24"/>
        </w:rPr>
        <w:t xml:space="preserve"> </w:t>
      </w:r>
      <w:proofErr w:type="spellStart"/>
      <w:r w:rsidRPr="007720BC">
        <w:rPr>
          <w:rStyle w:val="tlid-translation"/>
          <w:rFonts w:ascii="Times New Roman" w:hAnsi="Times New Roman" w:cs="Times New Roman"/>
          <w:sz w:val="24"/>
          <w:szCs w:val="24"/>
        </w:rPr>
        <w:t>pertanyaan</w:t>
      </w:r>
      <w:proofErr w:type="spellEnd"/>
      <w:r w:rsidRPr="007720BC">
        <w:rPr>
          <w:rStyle w:val="tlid-translation"/>
          <w:rFonts w:ascii="Times New Roman" w:hAnsi="Times New Roman" w:cs="Times New Roman"/>
          <w:sz w:val="24"/>
          <w:szCs w:val="24"/>
        </w:rPr>
        <w:t xml:space="preserve"> </w:t>
      </w:r>
      <w:proofErr w:type="spellStart"/>
      <w:r w:rsidRPr="007720BC">
        <w:rPr>
          <w:rStyle w:val="tlid-translation"/>
          <w:rFonts w:ascii="Times New Roman" w:hAnsi="Times New Roman" w:cs="Times New Roman"/>
          <w:sz w:val="24"/>
          <w:szCs w:val="24"/>
        </w:rPr>
        <w:t>terbuka</w:t>
      </w:r>
      <w:proofErr w:type="spellEnd"/>
      <w:r w:rsidRPr="007720BC">
        <w:rPr>
          <w:rStyle w:val="tlid-translation"/>
          <w:rFonts w:ascii="Times New Roman" w:hAnsi="Times New Roman" w:cs="Times New Roman"/>
          <w:sz w:val="24"/>
          <w:szCs w:val="24"/>
          <w:lang w:val="en-US"/>
        </w:rPr>
        <w:t xml:space="preserve"> dan </w:t>
      </w:r>
      <w:proofErr w:type="spellStart"/>
      <w:r w:rsidRPr="007720BC">
        <w:rPr>
          <w:rStyle w:val="tlid-translation"/>
          <w:rFonts w:ascii="Times New Roman" w:hAnsi="Times New Roman" w:cs="Times New Roman"/>
          <w:sz w:val="24"/>
          <w:szCs w:val="24"/>
        </w:rPr>
        <w:t>berlangsung</w:t>
      </w:r>
      <w:proofErr w:type="spellEnd"/>
      <w:r w:rsidRPr="007720BC">
        <w:rPr>
          <w:rStyle w:val="tlid-translation"/>
          <w:rFonts w:ascii="Times New Roman" w:hAnsi="Times New Roman" w:cs="Times New Roman"/>
          <w:sz w:val="24"/>
          <w:szCs w:val="24"/>
        </w:rPr>
        <w:t xml:space="preserve"> </w:t>
      </w:r>
      <w:proofErr w:type="spellStart"/>
      <w:r w:rsidRPr="007720BC">
        <w:rPr>
          <w:rStyle w:val="tlid-translation"/>
          <w:rFonts w:ascii="Times New Roman" w:hAnsi="Times New Roman" w:cs="Times New Roman"/>
          <w:sz w:val="24"/>
          <w:szCs w:val="24"/>
        </w:rPr>
        <w:t>sekitar</w:t>
      </w:r>
      <w:proofErr w:type="spellEnd"/>
      <w:r w:rsidRPr="007720BC">
        <w:rPr>
          <w:rStyle w:val="tlid-translation"/>
          <w:rFonts w:ascii="Times New Roman" w:hAnsi="Times New Roman" w:cs="Times New Roman"/>
          <w:sz w:val="24"/>
          <w:szCs w:val="24"/>
          <w:lang w:val="en-US"/>
        </w:rPr>
        <w:t xml:space="preserve"> </w:t>
      </w:r>
      <w:proofErr w:type="spellStart"/>
      <w:r w:rsidR="00E47F8F" w:rsidRPr="007720BC">
        <w:rPr>
          <w:rStyle w:val="tlid-translation"/>
          <w:rFonts w:ascii="Times New Roman" w:hAnsi="Times New Roman" w:cs="Times New Roman"/>
          <w:sz w:val="24"/>
          <w:szCs w:val="24"/>
          <w:lang w:val="en-US"/>
        </w:rPr>
        <w:t>kurang</w:t>
      </w:r>
      <w:proofErr w:type="spellEnd"/>
      <w:r w:rsidR="00E47F8F" w:rsidRPr="007720BC">
        <w:rPr>
          <w:rStyle w:val="tlid-translation"/>
          <w:rFonts w:ascii="Times New Roman" w:hAnsi="Times New Roman" w:cs="Times New Roman"/>
          <w:sz w:val="24"/>
          <w:szCs w:val="24"/>
          <w:lang w:val="en-US"/>
        </w:rPr>
        <w:t xml:space="preserve"> </w:t>
      </w:r>
      <w:proofErr w:type="spellStart"/>
      <w:r w:rsidR="00E47F8F" w:rsidRPr="007720BC">
        <w:rPr>
          <w:rStyle w:val="tlid-translation"/>
          <w:rFonts w:ascii="Times New Roman" w:hAnsi="Times New Roman" w:cs="Times New Roman"/>
          <w:sz w:val="24"/>
          <w:szCs w:val="24"/>
          <w:lang w:val="en-US"/>
        </w:rPr>
        <w:t>lebih</w:t>
      </w:r>
      <w:proofErr w:type="spellEnd"/>
      <w:r w:rsidR="00E47F8F" w:rsidRPr="007720BC">
        <w:rPr>
          <w:rStyle w:val="tlid-translation"/>
          <w:rFonts w:ascii="Times New Roman" w:hAnsi="Times New Roman" w:cs="Times New Roman"/>
          <w:sz w:val="24"/>
          <w:szCs w:val="24"/>
          <w:lang w:val="en-US"/>
        </w:rPr>
        <w:t xml:space="preserve"> </w:t>
      </w:r>
      <w:r w:rsidRPr="007720BC">
        <w:rPr>
          <w:rStyle w:val="tlid-translation"/>
          <w:rFonts w:ascii="Times New Roman" w:hAnsi="Times New Roman" w:cs="Times New Roman"/>
          <w:sz w:val="24"/>
          <w:szCs w:val="24"/>
          <w:lang w:val="en-US"/>
        </w:rPr>
        <w:t xml:space="preserve">90 </w:t>
      </w:r>
      <w:proofErr w:type="spellStart"/>
      <w:r w:rsidRPr="007720BC">
        <w:rPr>
          <w:rStyle w:val="tlid-translation"/>
          <w:rFonts w:ascii="Times New Roman" w:hAnsi="Times New Roman" w:cs="Times New Roman"/>
          <w:sz w:val="24"/>
          <w:szCs w:val="24"/>
          <w:lang w:val="en-US"/>
        </w:rPr>
        <w:t>menit</w:t>
      </w:r>
      <w:proofErr w:type="spellEnd"/>
      <w:r w:rsidRPr="007720BC">
        <w:rPr>
          <w:rStyle w:val="tlid-translation"/>
          <w:rFonts w:ascii="Times New Roman" w:hAnsi="Times New Roman" w:cs="Times New Roman"/>
          <w:sz w:val="24"/>
          <w:szCs w:val="24"/>
          <w:lang w:val="en-US"/>
        </w:rPr>
        <w:t xml:space="preserve"> </w:t>
      </w:r>
      <w:proofErr w:type="spellStart"/>
      <w:r w:rsidRPr="007720BC">
        <w:rPr>
          <w:rStyle w:val="tlid-translation"/>
          <w:rFonts w:ascii="Times New Roman" w:hAnsi="Times New Roman" w:cs="Times New Roman"/>
          <w:sz w:val="24"/>
          <w:szCs w:val="24"/>
          <w:lang w:val="en-US"/>
        </w:rPr>
        <w:t>untuk</w:t>
      </w:r>
      <w:proofErr w:type="spellEnd"/>
      <w:r w:rsidRPr="007720BC">
        <w:rPr>
          <w:rStyle w:val="tlid-translation"/>
          <w:rFonts w:ascii="Times New Roman" w:hAnsi="Times New Roman" w:cs="Times New Roman"/>
          <w:sz w:val="24"/>
          <w:szCs w:val="24"/>
          <w:lang w:val="en-US"/>
        </w:rPr>
        <w:t xml:space="preserve"> masing-masing </w:t>
      </w:r>
      <w:proofErr w:type="spellStart"/>
      <w:r w:rsidRPr="007720BC">
        <w:rPr>
          <w:rStyle w:val="tlid-translation"/>
          <w:rFonts w:ascii="Times New Roman" w:hAnsi="Times New Roman" w:cs="Times New Roman"/>
          <w:sz w:val="24"/>
          <w:szCs w:val="24"/>
          <w:lang w:val="en-US"/>
        </w:rPr>
        <w:t>tiap</w:t>
      </w:r>
      <w:proofErr w:type="spellEnd"/>
      <w:r w:rsidRPr="007720BC">
        <w:rPr>
          <w:rStyle w:val="tlid-translation"/>
          <w:rFonts w:ascii="Times New Roman" w:hAnsi="Times New Roman" w:cs="Times New Roman"/>
          <w:sz w:val="24"/>
          <w:szCs w:val="24"/>
          <w:lang w:val="en-US"/>
        </w:rPr>
        <w:t xml:space="preserve"> </w:t>
      </w:r>
      <w:proofErr w:type="spellStart"/>
      <w:r w:rsidRPr="007720BC">
        <w:rPr>
          <w:rStyle w:val="tlid-translation"/>
          <w:rFonts w:ascii="Times New Roman" w:hAnsi="Times New Roman" w:cs="Times New Roman"/>
          <w:sz w:val="24"/>
          <w:szCs w:val="24"/>
          <w:lang w:val="en-US"/>
        </w:rPr>
        <w:t>kelompok</w:t>
      </w:r>
      <w:proofErr w:type="spellEnd"/>
      <w:r w:rsidRPr="007720BC">
        <w:rPr>
          <w:rStyle w:val="tlid-translation"/>
          <w:rFonts w:ascii="Times New Roman" w:hAnsi="Times New Roman" w:cs="Times New Roman"/>
          <w:sz w:val="24"/>
          <w:szCs w:val="24"/>
          <w:lang w:val="en-US"/>
        </w:rPr>
        <w:t>.</w:t>
      </w:r>
      <w:r w:rsidRPr="007720BC">
        <w:rPr>
          <w:rFonts w:ascii="Times New Roman" w:hAnsi="Times New Roman" w:cs="Times New Roman"/>
          <w:sz w:val="24"/>
          <w:szCs w:val="24"/>
          <w:lang w:val="id-ID"/>
        </w:rPr>
        <w:t xml:space="preserve"> </w:t>
      </w:r>
      <w:r w:rsidRPr="007720BC">
        <w:rPr>
          <w:rStyle w:val="tlid-translation"/>
          <w:rFonts w:ascii="Times New Roman" w:hAnsi="Times New Roman" w:cs="Times New Roman"/>
          <w:sz w:val="24"/>
          <w:szCs w:val="24"/>
          <w:lang w:val="id-ID"/>
        </w:rPr>
        <w:t>P</w:t>
      </w:r>
      <w:proofErr w:type="spellStart"/>
      <w:r w:rsidRPr="007720BC">
        <w:rPr>
          <w:rStyle w:val="tlid-translation"/>
          <w:rFonts w:ascii="Times New Roman" w:hAnsi="Times New Roman" w:cs="Times New Roman"/>
          <w:sz w:val="24"/>
          <w:szCs w:val="24"/>
        </w:rPr>
        <w:t>ada</w:t>
      </w:r>
      <w:proofErr w:type="spellEnd"/>
      <w:r w:rsidRPr="007720BC">
        <w:rPr>
          <w:rStyle w:val="tlid-translation"/>
          <w:rFonts w:ascii="Times New Roman" w:hAnsi="Times New Roman" w:cs="Times New Roman"/>
          <w:sz w:val="24"/>
          <w:szCs w:val="24"/>
        </w:rPr>
        <w:t xml:space="preserve"> </w:t>
      </w:r>
      <w:proofErr w:type="spellStart"/>
      <w:r w:rsidRPr="007720BC">
        <w:rPr>
          <w:rStyle w:val="tlid-translation"/>
          <w:rFonts w:ascii="Times New Roman" w:hAnsi="Times New Roman" w:cs="Times New Roman"/>
          <w:sz w:val="24"/>
          <w:szCs w:val="24"/>
        </w:rPr>
        <w:t>saat</w:t>
      </w:r>
      <w:proofErr w:type="spellEnd"/>
      <w:r w:rsidRPr="007720BC">
        <w:rPr>
          <w:rStyle w:val="tlid-translation"/>
          <w:rFonts w:ascii="Times New Roman" w:hAnsi="Times New Roman" w:cs="Times New Roman"/>
          <w:sz w:val="24"/>
          <w:szCs w:val="24"/>
        </w:rPr>
        <w:t xml:space="preserve"> p</w:t>
      </w:r>
      <w:r w:rsidRPr="007720BC">
        <w:rPr>
          <w:rStyle w:val="tlid-translation"/>
          <w:rFonts w:ascii="Times New Roman" w:hAnsi="Times New Roman" w:cs="Times New Roman"/>
          <w:sz w:val="24"/>
          <w:szCs w:val="24"/>
          <w:lang w:val="id-ID"/>
        </w:rPr>
        <w:t xml:space="preserve">roses </w:t>
      </w:r>
      <w:proofErr w:type="spellStart"/>
      <w:r w:rsidRPr="007720BC">
        <w:rPr>
          <w:rStyle w:val="tlid-translation"/>
          <w:rFonts w:ascii="Times New Roman" w:hAnsi="Times New Roman" w:cs="Times New Roman"/>
          <w:sz w:val="24"/>
          <w:szCs w:val="24"/>
        </w:rPr>
        <w:t>wawancara</w:t>
      </w:r>
      <w:proofErr w:type="spellEnd"/>
      <w:r w:rsidRPr="007720BC">
        <w:rPr>
          <w:rStyle w:val="tlid-translation"/>
          <w:rFonts w:ascii="Times New Roman" w:hAnsi="Times New Roman" w:cs="Times New Roman"/>
          <w:sz w:val="24"/>
          <w:szCs w:val="24"/>
        </w:rPr>
        <w:t xml:space="preserve">, </w:t>
      </w:r>
      <w:r w:rsidRPr="007720BC">
        <w:rPr>
          <w:rStyle w:val="tlid-translation"/>
          <w:rFonts w:ascii="Times New Roman" w:hAnsi="Times New Roman" w:cs="Times New Roman"/>
          <w:sz w:val="24"/>
          <w:szCs w:val="24"/>
          <w:lang w:val="id-ID"/>
        </w:rPr>
        <w:t xml:space="preserve">kami melakukan pencatatan jawaban </w:t>
      </w:r>
      <w:r w:rsidR="00E47F8F" w:rsidRPr="007720BC">
        <w:rPr>
          <w:rStyle w:val="tlid-translation"/>
          <w:rFonts w:ascii="Times New Roman" w:hAnsi="Times New Roman" w:cs="Times New Roman"/>
          <w:sz w:val="24"/>
          <w:szCs w:val="24"/>
          <w:lang w:val="en-US"/>
        </w:rPr>
        <w:t xml:space="preserve">dan </w:t>
      </w:r>
      <w:proofErr w:type="spellStart"/>
      <w:r w:rsidR="00E47F8F" w:rsidRPr="007720BC">
        <w:rPr>
          <w:rStyle w:val="tlid-translation"/>
          <w:rFonts w:ascii="Times New Roman" w:hAnsi="Times New Roman" w:cs="Times New Roman"/>
          <w:sz w:val="24"/>
          <w:szCs w:val="24"/>
          <w:lang w:val="en-US"/>
        </w:rPr>
        <w:t>perekaman</w:t>
      </w:r>
      <w:proofErr w:type="spellEnd"/>
      <w:r w:rsidR="00E47F8F" w:rsidRPr="007720BC">
        <w:rPr>
          <w:rStyle w:val="tlid-translation"/>
          <w:rFonts w:ascii="Times New Roman" w:hAnsi="Times New Roman" w:cs="Times New Roman"/>
          <w:sz w:val="24"/>
          <w:szCs w:val="24"/>
          <w:lang w:val="en-US"/>
        </w:rPr>
        <w:t xml:space="preserve"> </w:t>
      </w:r>
      <w:r w:rsidRPr="007720BC">
        <w:rPr>
          <w:rStyle w:val="tlid-translation"/>
          <w:rFonts w:ascii="Times New Roman" w:hAnsi="Times New Roman" w:cs="Times New Roman"/>
          <w:sz w:val="24"/>
          <w:szCs w:val="24"/>
          <w:lang w:val="id-ID"/>
        </w:rPr>
        <w:t xml:space="preserve">dari </w:t>
      </w:r>
      <w:proofErr w:type="spellStart"/>
      <w:r w:rsidR="00E47F8F" w:rsidRPr="007720BC">
        <w:rPr>
          <w:rStyle w:val="tlid-translation"/>
          <w:rFonts w:ascii="Times New Roman" w:hAnsi="Times New Roman" w:cs="Times New Roman"/>
          <w:sz w:val="24"/>
          <w:szCs w:val="24"/>
          <w:lang w:val="en-US"/>
        </w:rPr>
        <w:t>jawaban</w:t>
      </w:r>
      <w:proofErr w:type="spellEnd"/>
      <w:r w:rsidR="00E47F8F" w:rsidRPr="007720BC">
        <w:rPr>
          <w:rStyle w:val="tlid-translation"/>
          <w:rFonts w:ascii="Times New Roman" w:hAnsi="Times New Roman" w:cs="Times New Roman"/>
          <w:sz w:val="24"/>
          <w:szCs w:val="24"/>
          <w:lang w:val="en-US"/>
        </w:rPr>
        <w:t xml:space="preserve"> </w:t>
      </w:r>
      <w:proofErr w:type="spellStart"/>
      <w:r w:rsidRPr="007720BC">
        <w:rPr>
          <w:rStyle w:val="tlid-translation"/>
          <w:rFonts w:ascii="Times New Roman" w:hAnsi="Times New Roman" w:cs="Times New Roman"/>
          <w:sz w:val="24"/>
          <w:szCs w:val="24"/>
        </w:rPr>
        <w:t>informan</w:t>
      </w:r>
      <w:proofErr w:type="spellEnd"/>
      <w:r w:rsidRPr="007720BC">
        <w:rPr>
          <w:rStyle w:val="tlid-translation"/>
          <w:rFonts w:ascii="Times New Roman" w:hAnsi="Times New Roman" w:cs="Times New Roman"/>
          <w:sz w:val="24"/>
          <w:szCs w:val="24"/>
        </w:rPr>
        <w:t>. Tema-</w:t>
      </w:r>
      <w:proofErr w:type="spellStart"/>
      <w:r w:rsidRPr="007720BC">
        <w:rPr>
          <w:rStyle w:val="tlid-translation"/>
          <w:rFonts w:ascii="Times New Roman" w:hAnsi="Times New Roman" w:cs="Times New Roman"/>
          <w:sz w:val="24"/>
          <w:szCs w:val="24"/>
        </w:rPr>
        <w:t>tema</w:t>
      </w:r>
      <w:proofErr w:type="spellEnd"/>
      <w:r w:rsidRPr="007720BC">
        <w:rPr>
          <w:rStyle w:val="tlid-translation"/>
          <w:rFonts w:ascii="Times New Roman" w:hAnsi="Times New Roman" w:cs="Times New Roman"/>
          <w:sz w:val="24"/>
          <w:szCs w:val="24"/>
        </w:rPr>
        <w:t xml:space="preserve"> </w:t>
      </w:r>
      <w:proofErr w:type="spellStart"/>
      <w:r w:rsidRPr="007720BC">
        <w:rPr>
          <w:rStyle w:val="tlid-translation"/>
          <w:rFonts w:ascii="Times New Roman" w:hAnsi="Times New Roman" w:cs="Times New Roman"/>
          <w:sz w:val="24"/>
          <w:szCs w:val="24"/>
        </w:rPr>
        <w:t>kunci</w:t>
      </w:r>
      <w:proofErr w:type="spellEnd"/>
      <w:r w:rsidRPr="007720BC">
        <w:rPr>
          <w:rStyle w:val="tlid-translation"/>
          <w:rFonts w:ascii="Times New Roman" w:hAnsi="Times New Roman" w:cs="Times New Roman"/>
          <w:sz w:val="24"/>
          <w:szCs w:val="24"/>
        </w:rPr>
        <w:t xml:space="preserve"> </w:t>
      </w:r>
      <w:proofErr w:type="spellStart"/>
      <w:r w:rsidRPr="007720BC">
        <w:rPr>
          <w:rStyle w:val="tlid-translation"/>
          <w:rFonts w:ascii="Times New Roman" w:hAnsi="Times New Roman" w:cs="Times New Roman"/>
          <w:sz w:val="24"/>
          <w:szCs w:val="24"/>
        </w:rPr>
        <w:t>dari</w:t>
      </w:r>
      <w:proofErr w:type="spellEnd"/>
      <w:r w:rsidRPr="007720BC">
        <w:rPr>
          <w:rStyle w:val="tlid-translation"/>
          <w:rFonts w:ascii="Times New Roman" w:hAnsi="Times New Roman" w:cs="Times New Roman"/>
          <w:sz w:val="24"/>
          <w:szCs w:val="24"/>
        </w:rPr>
        <w:t xml:space="preserve"> </w:t>
      </w:r>
      <w:proofErr w:type="spellStart"/>
      <w:r w:rsidRPr="007720BC">
        <w:rPr>
          <w:rStyle w:val="tlid-translation"/>
          <w:rFonts w:ascii="Times New Roman" w:hAnsi="Times New Roman" w:cs="Times New Roman"/>
          <w:sz w:val="24"/>
          <w:szCs w:val="24"/>
        </w:rPr>
        <w:t>wawancara</w:t>
      </w:r>
      <w:proofErr w:type="spellEnd"/>
      <w:r w:rsidRPr="007720BC">
        <w:rPr>
          <w:rStyle w:val="tlid-translation"/>
          <w:rFonts w:ascii="Times New Roman" w:hAnsi="Times New Roman" w:cs="Times New Roman"/>
          <w:sz w:val="24"/>
          <w:szCs w:val="24"/>
        </w:rPr>
        <w:t xml:space="preserve"> </w:t>
      </w:r>
      <w:proofErr w:type="spellStart"/>
      <w:r w:rsidRPr="007720BC">
        <w:rPr>
          <w:rStyle w:val="tlid-translation"/>
          <w:rFonts w:ascii="Times New Roman" w:hAnsi="Times New Roman" w:cs="Times New Roman"/>
          <w:sz w:val="24"/>
          <w:szCs w:val="24"/>
        </w:rPr>
        <w:t>ini</w:t>
      </w:r>
      <w:proofErr w:type="spellEnd"/>
      <w:r w:rsidRPr="007720BC">
        <w:rPr>
          <w:rStyle w:val="tlid-translation"/>
          <w:rFonts w:ascii="Times New Roman" w:hAnsi="Times New Roman" w:cs="Times New Roman"/>
          <w:sz w:val="24"/>
          <w:szCs w:val="24"/>
        </w:rPr>
        <w:t xml:space="preserve"> </w:t>
      </w:r>
      <w:proofErr w:type="spellStart"/>
      <w:r w:rsidRPr="007720BC">
        <w:rPr>
          <w:rStyle w:val="tlid-translation"/>
          <w:rFonts w:ascii="Times New Roman" w:hAnsi="Times New Roman" w:cs="Times New Roman"/>
          <w:sz w:val="24"/>
          <w:szCs w:val="24"/>
        </w:rPr>
        <w:t>berfokus</w:t>
      </w:r>
      <w:proofErr w:type="spellEnd"/>
      <w:r w:rsidRPr="007720BC">
        <w:rPr>
          <w:rStyle w:val="tlid-translation"/>
          <w:rFonts w:ascii="Times New Roman" w:hAnsi="Times New Roman" w:cs="Times New Roman"/>
          <w:sz w:val="24"/>
          <w:szCs w:val="24"/>
        </w:rPr>
        <w:t xml:space="preserve"> pada </w:t>
      </w:r>
      <w:proofErr w:type="spellStart"/>
      <w:r w:rsidRPr="007720BC">
        <w:rPr>
          <w:rStyle w:val="tlid-translation"/>
          <w:rFonts w:ascii="Times New Roman" w:hAnsi="Times New Roman" w:cs="Times New Roman"/>
          <w:sz w:val="24"/>
          <w:szCs w:val="24"/>
        </w:rPr>
        <w:t>masalah</w:t>
      </w:r>
      <w:proofErr w:type="spellEnd"/>
      <w:r w:rsidRPr="007720BC">
        <w:rPr>
          <w:rStyle w:val="tlid-translation"/>
          <w:rFonts w:ascii="Times New Roman" w:hAnsi="Times New Roman" w:cs="Times New Roman"/>
          <w:sz w:val="24"/>
          <w:szCs w:val="24"/>
        </w:rPr>
        <w:t xml:space="preserve"> </w:t>
      </w:r>
      <w:proofErr w:type="spellStart"/>
      <w:r w:rsidRPr="007720BC">
        <w:rPr>
          <w:rStyle w:val="tlid-translation"/>
          <w:rFonts w:ascii="Times New Roman" w:hAnsi="Times New Roman" w:cs="Times New Roman"/>
          <w:sz w:val="24"/>
          <w:szCs w:val="24"/>
        </w:rPr>
        <w:t>sebagaimana</w:t>
      </w:r>
      <w:proofErr w:type="spellEnd"/>
      <w:r w:rsidRPr="007720BC">
        <w:rPr>
          <w:rStyle w:val="tlid-translation"/>
          <w:rFonts w:ascii="Times New Roman" w:hAnsi="Times New Roman" w:cs="Times New Roman"/>
          <w:sz w:val="24"/>
          <w:szCs w:val="24"/>
        </w:rPr>
        <w:t xml:space="preserve"> </w:t>
      </w:r>
      <w:proofErr w:type="spellStart"/>
      <w:r w:rsidRPr="007720BC">
        <w:rPr>
          <w:rStyle w:val="tlid-translation"/>
          <w:rFonts w:ascii="Times New Roman" w:hAnsi="Times New Roman" w:cs="Times New Roman"/>
          <w:sz w:val="24"/>
          <w:szCs w:val="24"/>
        </w:rPr>
        <w:t>dinyatakan</w:t>
      </w:r>
      <w:proofErr w:type="spellEnd"/>
      <w:r w:rsidRPr="007720BC">
        <w:rPr>
          <w:rStyle w:val="tlid-translation"/>
          <w:rFonts w:ascii="Times New Roman" w:hAnsi="Times New Roman" w:cs="Times New Roman"/>
          <w:sz w:val="24"/>
          <w:szCs w:val="24"/>
        </w:rPr>
        <w:t xml:space="preserve"> </w:t>
      </w:r>
      <w:proofErr w:type="spellStart"/>
      <w:r w:rsidRPr="007720BC">
        <w:rPr>
          <w:rStyle w:val="tlid-translation"/>
          <w:rFonts w:ascii="Times New Roman" w:hAnsi="Times New Roman" w:cs="Times New Roman"/>
          <w:sz w:val="24"/>
          <w:szCs w:val="24"/>
        </w:rPr>
        <w:t>dalam</w:t>
      </w:r>
      <w:proofErr w:type="spellEnd"/>
      <w:r w:rsidRPr="007720BC">
        <w:rPr>
          <w:rStyle w:val="tlid-translation"/>
          <w:rFonts w:ascii="Times New Roman" w:hAnsi="Times New Roman" w:cs="Times New Roman"/>
          <w:sz w:val="24"/>
          <w:szCs w:val="24"/>
        </w:rPr>
        <w:t xml:space="preserve"> </w:t>
      </w:r>
      <w:proofErr w:type="spellStart"/>
      <w:r w:rsidRPr="007720BC">
        <w:rPr>
          <w:rStyle w:val="tlid-translation"/>
          <w:rFonts w:ascii="Times New Roman" w:hAnsi="Times New Roman" w:cs="Times New Roman"/>
          <w:sz w:val="24"/>
          <w:szCs w:val="24"/>
        </w:rPr>
        <w:t>pertanyaan</w:t>
      </w:r>
      <w:proofErr w:type="spellEnd"/>
      <w:r w:rsidRPr="007720BC">
        <w:rPr>
          <w:rStyle w:val="tlid-translation"/>
          <w:rFonts w:ascii="Times New Roman" w:hAnsi="Times New Roman" w:cs="Times New Roman"/>
          <w:sz w:val="24"/>
          <w:szCs w:val="24"/>
        </w:rPr>
        <w:t xml:space="preserve"> </w:t>
      </w:r>
      <w:proofErr w:type="spellStart"/>
      <w:r w:rsidRPr="007720BC">
        <w:rPr>
          <w:rStyle w:val="tlid-translation"/>
          <w:rFonts w:ascii="Times New Roman" w:hAnsi="Times New Roman" w:cs="Times New Roman"/>
          <w:sz w:val="24"/>
          <w:szCs w:val="24"/>
        </w:rPr>
        <w:t>penelitian</w:t>
      </w:r>
      <w:proofErr w:type="spellEnd"/>
      <w:r w:rsidRPr="007720BC">
        <w:rPr>
          <w:rStyle w:val="tlid-translation"/>
          <w:rFonts w:ascii="Times New Roman" w:hAnsi="Times New Roman" w:cs="Times New Roman"/>
          <w:sz w:val="24"/>
          <w:szCs w:val="24"/>
          <w:lang w:val="id-ID"/>
        </w:rPr>
        <w:t xml:space="preserve">. </w:t>
      </w:r>
      <w:r w:rsidRPr="007720BC">
        <w:rPr>
          <w:rFonts w:ascii="Times New Roman" w:hAnsi="Times New Roman" w:cs="Times New Roman"/>
          <w:sz w:val="24"/>
          <w:szCs w:val="24"/>
          <w:lang w:eastAsia="id-ID"/>
        </w:rPr>
        <w:t xml:space="preserve">Data </w:t>
      </w:r>
      <w:proofErr w:type="spellStart"/>
      <w:r w:rsidRPr="007720BC">
        <w:rPr>
          <w:rFonts w:ascii="Times New Roman" w:hAnsi="Times New Roman" w:cs="Times New Roman"/>
          <w:sz w:val="24"/>
          <w:szCs w:val="24"/>
          <w:lang w:eastAsia="id-ID"/>
        </w:rPr>
        <w:t>dianalisis</w:t>
      </w:r>
      <w:proofErr w:type="spellEnd"/>
      <w:r w:rsidRPr="007720BC">
        <w:rPr>
          <w:rFonts w:ascii="Times New Roman" w:hAnsi="Times New Roman" w:cs="Times New Roman"/>
          <w:sz w:val="24"/>
          <w:szCs w:val="24"/>
          <w:lang w:eastAsia="id-ID"/>
        </w:rPr>
        <w:t xml:space="preserve"> </w:t>
      </w:r>
      <w:proofErr w:type="spellStart"/>
      <w:r w:rsidRPr="007720BC">
        <w:rPr>
          <w:rFonts w:ascii="Times New Roman" w:hAnsi="Times New Roman" w:cs="Times New Roman"/>
          <w:sz w:val="24"/>
          <w:szCs w:val="24"/>
          <w:lang w:eastAsia="id-ID"/>
        </w:rPr>
        <w:t>menggunakan</w:t>
      </w:r>
      <w:proofErr w:type="spellEnd"/>
      <w:r w:rsidRPr="007720BC">
        <w:rPr>
          <w:rFonts w:ascii="Times New Roman" w:hAnsi="Times New Roman" w:cs="Times New Roman"/>
          <w:sz w:val="24"/>
          <w:szCs w:val="24"/>
          <w:lang w:eastAsia="id-ID"/>
        </w:rPr>
        <w:t xml:space="preserve"> </w:t>
      </w:r>
      <w:proofErr w:type="spellStart"/>
      <w:r w:rsidRPr="007720BC">
        <w:rPr>
          <w:rFonts w:ascii="Times New Roman" w:hAnsi="Times New Roman" w:cs="Times New Roman"/>
          <w:sz w:val="24"/>
          <w:szCs w:val="24"/>
          <w:lang w:eastAsia="id-ID"/>
        </w:rPr>
        <w:t>analisis</w:t>
      </w:r>
      <w:proofErr w:type="spellEnd"/>
      <w:r w:rsidRPr="007720BC">
        <w:rPr>
          <w:rFonts w:ascii="Times New Roman" w:hAnsi="Times New Roman" w:cs="Times New Roman"/>
          <w:sz w:val="24"/>
          <w:szCs w:val="24"/>
          <w:lang w:eastAsia="id-ID"/>
        </w:rPr>
        <w:t xml:space="preserve"> data </w:t>
      </w:r>
      <w:proofErr w:type="spellStart"/>
      <w:r w:rsidRPr="007720BC">
        <w:rPr>
          <w:rFonts w:ascii="Times New Roman" w:hAnsi="Times New Roman" w:cs="Times New Roman"/>
          <w:sz w:val="24"/>
          <w:szCs w:val="24"/>
          <w:lang w:eastAsia="id-ID"/>
        </w:rPr>
        <w:t>kualitatif</w:t>
      </w:r>
      <w:proofErr w:type="spellEnd"/>
      <w:r w:rsidRPr="007720BC">
        <w:rPr>
          <w:rFonts w:ascii="Times New Roman" w:hAnsi="Times New Roman" w:cs="Times New Roman"/>
          <w:sz w:val="24"/>
          <w:szCs w:val="24"/>
          <w:lang w:eastAsia="id-ID"/>
        </w:rPr>
        <w:t xml:space="preserve"> </w:t>
      </w:r>
      <w:proofErr w:type="spellStart"/>
      <w:r w:rsidRPr="007720BC">
        <w:rPr>
          <w:rFonts w:ascii="Times New Roman" w:hAnsi="Times New Roman" w:cs="Times New Roman"/>
          <w:sz w:val="24"/>
          <w:szCs w:val="24"/>
          <w:lang w:eastAsia="id-ID"/>
        </w:rPr>
        <w:t>sistematis</w:t>
      </w:r>
      <w:proofErr w:type="spellEnd"/>
      <w:r w:rsidRPr="007720BC">
        <w:rPr>
          <w:rFonts w:ascii="Times New Roman" w:hAnsi="Times New Roman" w:cs="Times New Roman"/>
          <w:sz w:val="24"/>
          <w:szCs w:val="24"/>
          <w:lang w:eastAsia="id-ID"/>
        </w:rPr>
        <w:t xml:space="preserve"> </w:t>
      </w:r>
      <w:proofErr w:type="spellStart"/>
      <w:r w:rsidRPr="007720BC">
        <w:rPr>
          <w:rFonts w:ascii="Times New Roman" w:hAnsi="Times New Roman" w:cs="Times New Roman"/>
          <w:sz w:val="24"/>
          <w:szCs w:val="24"/>
          <w:lang w:eastAsia="id-ID"/>
        </w:rPr>
        <w:t>sebagaimana</w:t>
      </w:r>
      <w:proofErr w:type="spellEnd"/>
      <w:r w:rsidRPr="007720BC">
        <w:rPr>
          <w:rFonts w:ascii="Times New Roman" w:hAnsi="Times New Roman" w:cs="Times New Roman"/>
          <w:sz w:val="24"/>
          <w:szCs w:val="24"/>
          <w:lang w:eastAsia="id-ID"/>
        </w:rPr>
        <w:t xml:space="preserve"> di</w:t>
      </w:r>
      <w:r w:rsidRPr="007720BC">
        <w:rPr>
          <w:rFonts w:ascii="Times New Roman" w:hAnsi="Times New Roman" w:cs="Times New Roman"/>
          <w:sz w:val="24"/>
          <w:szCs w:val="24"/>
          <w:lang w:val="id-ID" w:eastAsia="id-ID"/>
        </w:rPr>
        <w:t>kemukakan</w:t>
      </w:r>
      <w:r w:rsidRPr="007720BC">
        <w:rPr>
          <w:rFonts w:ascii="Times New Roman" w:hAnsi="Times New Roman" w:cs="Times New Roman"/>
          <w:sz w:val="24"/>
          <w:szCs w:val="24"/>
          <w:lang w:eastAsia="id-ID"/>
        </w:rPr>
        <w:t xml:space="preserve"> oleh </w:t>
      </w:r>
      <w:r w:rsidRPr="007720BC">
        <w:rPr>
          <w:rFonts w:ascii="Times New Roman" w:hAnsi="Times New Roman" w:cs="Times New Roman"/>
          <w:sz w:val="24"/>
          <w:szCs w:val="24"/>
          <w:lang w:eastAsia="id-ID"/>
        </w:rPr>
        <w:fldChar w:fldCharType="begin" w:fldLock="1"/>
      </w:r>
      <w:r w:rsidRPr="007720BC">
        <w:rPr>
          <w:rFonts w:ascii="Times New Roman" w:hAnsi="Times New Roman" w:cs="Times New Roman"/>
          <w:sz w:val="24"/>
          <w:szCs w:val="24"/>
          <w:lang w:eastAsia="id-ID"/>
        </w:rPr>
        <w:instrText>ADDIN CSL_CITATION {"citationItems":[{"id":"ITEM-1","itemData":{"ISBN":"9781452257877","author":[{"dropping-particle":"","family":"Miles","given":"Matthew B.","non-dropping-particle":"","parse-names":false,"suffix":""},{"dropping-particle":"","family":"Huberman","given":"Michael A","non-dropping-particle":"","parse-names":false,"suffix":""},{"dropping-particle":"","family":"Saldaña","given":"Johnny","non-dropping-particle":"","parse-names":false,"suffix":""}],"chapter-number":"4","container-title":"Qualitative Data Analysis A Methods Sourcebook","edition":"3","id":"ITEM-1","issued":{"date-parts":[["2014"]]},"publisher":"SAGE Publications Inc.","publisher-place":"Arizona State University","title":"Qualitative Data Analysis, A Methods Sourcebook","type":"chapter"},"uris":["http://www.mendeley.com/documents/?uuid=5694d5a3-7e7c-4b9b-b09d-27ec81a035a3"]}],"mendeley":{"formattedCitation":"(Miles, Huberman, dan Saldaña 2014)","plainTextFormattedCitation":"(Miles, Huberman, dan Saldaña 2014)","previouslyFormattedCitation":"(Miles, Huberman, dan Saldaña 2014)"},"properties":{"noteIndex":0},"schema":"https://github.com/citation-style-language/schema/raw/master/csl-citation.json"}</w:instrText>
      </w:r>
      <w:r w:rsidRPr="007720BC">
        <w:rPr>
          <w:rFonts w:ascii="Times New Roman" w:hAnsi="Times New Roman" w:cs="Times New Roman"/>
          <w:sz w:val="24"/>
          <w:szCs w:val="24"/>
          <w:lang w:eastAsia="id-ID"/>
        </w:rPr>
        <w:fldChar w:fldCharType="separate"/>
      </w:r>
      <w:r w:rsidRPr="007720BC">
        <w:rPr>
          <w:rFonts w:ascii="Times New Roman" w:hAnsi="Times New Roman" w:cs="Times New Roman"/>
          <w:noProof/>
          <w:sz w:val="24"/>
          <w:szCs w:val="24"/>
          <w:lang w:eastAsia="id-ID"/>
        </w:rPr>
        <w:t>(Miles, Huberman, dan Saldaña 2014)</w:t>
      </w:r>
      <w:r w:rsidRPr="007720BC">
        <w:rPr>
          <w:rFonts w:ascii="Times New Roman" w:hAnsi="Times New Roman" w:cs="Times New Roman"/>
          <w:sz w:val="24"/>
          <w:szCs w:val="24"/>
          <w:lang w:eastAsia="id-ID"/>
        </w:rPr>
        <w:fldChar w:fldCharType="end"/>
      </w:r>
      <w:r w:rsidRPr="007720BC">
        <w:rPr>
          <w:rFonts w:ascii="Times New Roman" w:hAnsi="Times New Roman" w:cs="Times New Roman"/>
          <w:sz w:val="24"/>
          <w:szCs w:val="24"/>
          <w:lang w:eastAsia="id-ID"/>
        </w:rPr>
        <w:t xml:space="preserve">. </w:t>
      </w:r>
      <w:r w:rsidRPr="007720BC">
        <w:rPr>
          <w:rFonts w:ascii="Times New Roman" w:hAnsi="Times New Roman" w:cs="Times New Roman"/>
          <w:sz w:val="24"/>
          <w:szCs w:val="24"/>
          <w:lang w:val="id-ID" w:eastAsia="id-ID"/>
        </w:rPr>
        <w:t>Wawancara dianalisis melalui proses klasifikasi data (koding data), kemudian hasil klasifikasi data ini dibuat label (labeling</w:t>
      </w:r>
      <w:r w:rsidR="00384FC7" w:rsidRPr="007720BC">
        <w:rPr>
          <w:rFonts w:ascii="Times New Roman" w:hAnsi="Times New Roman" w:cs="Times New Roman"/>
          <w:sz w:val="24"/>
          <w:szCs w:val="24"/>
          <w:lang w:val="en-US" w:eastAsia="id-ID"/>
        </w:rPr>
        <w:t xml:space="preserve">), </w:t>
      </w:r>
      <w:r w:rsidRPr="007720BC">
        <w:rPr>
          <w:rFonts w:ascii="Times New Roman" w:hAnsi="Times New Roman" w:cs="Times New Roman"/>
          <w:sz w:val="24"/>
          <w:szCs w:val="24"/>
          <w:lang w:val="id-ID" w:eastAsia="id-ID"/>
        </w:rPr>
        <w:t>selanjutnya dilakukan penyusunan kategori</w:t>
      </w:r>
      <w:r w:rsidR="00384FC7" w:rsidRPr="007720BC">
        <w:rPr>
          <w:rFonts w:ascii="Times New Roman" w:hAnsi="Times New Roman" w:cs="Times New Roman"/>
          <w:sz w:val="24"/>
          <w:szCs w:val="24"/>
          <w:lang w:val="en-US" w:eastAsia="id-ID"/>
        </w:rPr>
        <w:t xml:space="preserve"> dan d</w:t>
      </w:r>
      <w:r w:rsidRPr="007720BC">
        <w:rPr>
          <w:rFonts w:ascii="Times New Roman" w:hAnsi="Times New Roman" w:cs="Times New Roman"/>
          <w:sz w:val="24"/>
          <w:szCs w:val="24"/>
          <w:lang w:val="id-ID" w:eastAsia="id-ID"/>
        </w:rPr>
        <w:t>alam menyusun proses klasifikasi data, kami dipandu oleh pertanyaan penelitian</w:t>
      </w:r>
      <w:r w:rsidR="00384FC7" w:rsidRPr="007720BC">
        <w:rPr>
          <w:rFonts w:ascii="Times New Roman" w:hAnsi="Times New Roman" w:cs="Times New Roman"/>
          <w:sz w:val="24"/>
          <w:szCs w:val="24"/>
          <w:lang w:val="en-US" w:eastAsia="id-ID"/>
        </w:rPr>
        <w:t xml:space="preserve"> yang </w:t>
      </w:r>
      <w:proofErr w:type="spellStart"/>
      <w:r w:rsidR="00384FC7" w:rsidRPr="007720BC">
        <w:rPr>
          <w:rFonts w:ascii="Times New Roman" w:hAnsi="Times New Roman" w:cs="Times New Roman"/>
          <w:sz w:val="24"/>
          <w:szCs w:val="24"/>
          <w:lang w:val="en-US" w:eastAsia="id-ID"/>
        </w:rPr>
        <w:t>telah</w:t>
      </w:r>
      <w:proofErr w:type="spellEnd"/>
      <w:r w:rsidR="00384FC7" w:rsidRPr="007720BC">
        <w:rPr>
          <w:rFonts w:ascii="Times New Roman" w:hAnsi="Times New Roman" w:cs="Times New Roman"/>
          <w:sz w:val="24"/>
          <w:szCs w:val="24"/>
          <w:lang w:val="en-US" w:eastAsia="id-ID"/>
        </w:rPr>
        <w:t xml:space="preserve"> </w:t>
      </w:r>
      <w:proofErr w:type="spellStart"/>
      <w:r w:rsidR="00384FC7" w:rsidRPr="007720BC">
        <w:rPr>
          <w:rFonts w:ascii="Times New Roman" w:hAnsi="Times New Roman" w:cs="Times New Roman"/>
          <w:sz w:val="24"/>
          <w:szCs w:val="24"/>
          <w:lang w:val="en-US" w:eastAsia="id-ID"/>
        </w:rPr>
        <w:t>diajukan</w:t>
      </w:r>
      <w:proofErr w:type="spellEnd"/>
      <w:r w:rsidR="00384FC7" w:rsidRPr="007720BC">
        <w:rPr>
          <w:rFonts w:ascii="Times New Roman" w:hAnsi="Times New Roman" w:cs="Times New Roman"/>
          <w:sz w:val="24"/>
          <w:szCs w:val="24"/>
          <w:lang w:val="en-US" w:eastAsia="id-ID"/>
        </w:rPr>
        <w:t xml:space="preserve"> </w:t>
      </w:r>
      <w:proofErr w:type="spellStart"/>
      <w:r w:rsidR="00384FC7" w:rsidRPr="007720BC">
        <w:rPr>
          <w:rFonts w:ascii="Times New Roman" w:hAnsi="Times New Roman" w:cs="Times New Roman"/>
          <w:sz w:val="24"/>
          <w:szCs w:val="24"/>
          <w:lang w:val="en-US" w:eastAsia="id-ID"/>
        </w:rPr>
        <w:t>kepada</w:t>
      </w:r>
      <w:proofErr w:type="spellEnd"/>
      <w:r w:rsidR="00384FC7" w:rsidRPr="007720BC">
        <w:rPr>
          <w:rFonts w:ascii="Times New Roman" w:hAnsi="Times New Roman" w:cs="Times New Roman"/>
          <w:sz w:val="24"/>
          <w:szCs w:val="24"/>
          <w:lang w:val="en-US" w:eastAsia="id-ID"/>
        </w:rPr>
        <w:t xml:space="preserve"> </w:t>
      </w:r>
      <w:proofErr w:type="spellStart"/>
      <w:r w:rsidR="00384FC7" w:rsidRPr="007720BC">
        <w:rPr>
          <w:rFonts w:ascii="Times New Roman" w:hAnsi="Times New Roman" w:cs="Times New Roman"/>
          <w:sz w:val="24"/>
          <w:szCs w:val="24"/>
          <w:lang w:val="en-US" w:eastAsia="id-ID"/>
        </w:rPr>
        <w:t>informan</w:t>
      </w:r>
      <w:proofErr w:type="spellEnd"/>
      <w:r w:rsidR="00384FC7" w:rsidRPr="007720BC">
        <w:rPr>
          <w:rFonts w:ascii="Times New Roman" w:hAnsi="Times New Roman" w:cs="Times New Roman"/>
          <w:sz w:val="24"/>
          <w:szCs w:val="24"/>
          <w:lang w:val="en-US" w:eastAsia="id-ID"/>
        </w:rPr>
        <w:t>.</w:t>
      </w:r>
    </w:p>
    <w:p w14:paraId="474B5E62" w14:textId="77777777" w:rsidR="00EB17FB" w:rsidRPr="007720BC" w:rsidRDefault="00EB17FB" w:rsidP="00CB2900">
      <w:pPr>
        <w:spacing w:after="0" w:line="240" w:lineRule="auto"/>
        <w:ind w:firstLine="720"/>
        <w:contextualSpacing/>
        <w:jc w:val="both"/>
        <w:rPr>
          <w:rFonts w:ascii="Times New Roman" w:hAnsi="Times New Roman" w:cs="Times New Roman"/>
          <w:sz w:val="24"/>
          <w:szCs w:val="24"/>
          <w:lang w:val="id-ID" w:eastAsia="id-ID"/>
        </w:rPr>
      </w:pPr>
    </w:p>
    <w:p w14:paraId="74DF4B37" w14:textId="0EF4BB23" w:rsidR="008B4F0C" w:rsidRPr="007720BC" w:rsidRDefault="00B61E88" w:rsidP="00CB2900">
      <w:pPr>
        <w:tabs>
          <w:tab w:val="left" w:pos="1080"/>
        </w:tabs>
        <w:spacing w:after="0" w:line="240" w:lineRule="auto"/>
        <w:contextualSpacing/>
        <w:jc w:val="both"/>
        <w:rPr>
          <w:rFonts w:ascii="Times New Roman" w:hAnsi="Times New Roman" w:cs="Times New Roman"/>
          <w:b/>
          <w:bCs/>
          <w:sz w:val="24"/>
          <w:szCs w:val="24"/>
        </w:rPr>
      </w:pPr>
      <w:r w:rsidRPr="007720BC">
        <w:rPr>
          <w:rFonts w:ascii="Times New Roman" w:hAnsi="Times New Roman" w:cs="Times New Roman"/>
          <w:b/>
          <w:bCs/>
          <w:sz w:val="24"/>
          <w:szCs w:val="24"/>
        </w:rPr>
        <w:t xml:space="preserve">Hasil </w:t>
      </w:r>
      <w:r>
        <w:rPr>
          <w:rFonts w:ascii="Times New Roman" w:hAnsi="Times New Roman" w:cs="Times New Roman"/>
          <w:b/>
          <w:bCs/>
          <w:sz w:val="24"/>
          <w:szCs w:val="24"/>
        </w:rPr>
        <w:t>d</w:t>
      </w:r>
      <w:r w:rsidRPr="007720BC">
        <w:rPr>
          <w:rFonts w:ascii="Times New Roman" w:hAnsi="Times New Roman" w:cs="Times New Roman"/>
          <w:b/>
          <w:bCs/>
          <w:sz w:val="24"/>
          <w:szCs w:val="24"/>
        </w:rPr>
        <w:t xml:space="preserve">an </w:t>
      </w:r>
      <w:proofErr w:type="spellStart"/>
      <w:r w:rsidRPr="007720BC">
        <w:rPr>
          <w:rFonts w:ascii="Times New Roman" w:hAnsi="Times New Roman" w:cs="Times New Roman"/>
          <w:b/>
          <w:bCs/>
          <w:sz w:val="24"/>
          <w:szCs w:val="24"/>
        </w:rPr>
        <w:t>Pembahasan</w:t>
      </w:r>
      <w:proofErr w:type="spellEnd"/>
    </w:p>
    <w:p w14:paraId="060716B9" w14:textId="00CB7F28" w:rsidR="005929DB" w:rsidRPr="007720BC" w:rsidRDefault="00A638A7" w:rsidP="00CB2900">
      <w:pPr>
        <w:shd w:val="clear" w:color="auto" w:fill="FFFFFF"/>
        <w:spacing w:after="0" w:line="240" w:lineRule="auto"/>
        <w:contextualSpacing/>
        <w:jc w:val="both"/>
        <w:textAlignment w:val="baseline"/>
        <w:rPr>
          <w:rFonts w:ascii="Times New Roman" w:hAnsi="Times New Roman" w:cs="Times New Roman"/>
          <w:b/>
          <w:bCs/>
          <w:sz w:val="24"/>
          <w:szCs w:val="24"/>
        </w:rPr>
      </w:pPr>
      <w:proofErr w:type="spellStart"/>
      <w:r w:rsidRPr="007720BC">
        <w:rPr>
          <w:rFonts w:ascii="Times New Roman" w:hAnsi="Times New Roman" w:cs="Times New Roman"/>
          <w:b/>
          <w:bCs/>
          <w:sz w:val="24"/>
          <w:szCs w:val="24"/>
        </w:rPr>
        <w:t>Pendekatan</w:t>
      </w:r>
      <w:proofErr w:type="spellEnd"/>
      <w:r w:rsidRPr="007720BC">
        <w:rPr>
          <w:rFonts w:ascii="Times New Roman" w:hAnsi="Times New Roman" w:cs="Times New Roman"/>
          <w:b/>
          <w:bCs/>
          <w:sz w:val="24"/>
          <w:szCs w:val="24"/>
        </w:rPr>
        <w:t xml:space="preserve"> </w:t>
      </w:r>
      <w:proofErr w:type="spellStart"/>
      <w:r w:rsidR="00285873" w:rsidRPr="007720BC">
        <w:rPr>
          <w:rFonts w:ascii="Times New Roman" w:hAnsi="Times New Roman" w:cs="Times New Roman"/>
          <w:b/>
          <w:bCs/>
          <w:sz w:val="24"/>
          <w:szCs w:val="24"/>
        </w:rPr>
        <w:t>terhadap</w:t>
      </w:r>
      <w:proofErr w:type="spellEnd"/>
      <w:r w:rsidR="00285873" w:rsidRPr="007720BC">
        <w:rPr>
          <w:rFonts w:ascii="Times New Roman" w:hAnsi="Times New Roman" w:cs="Times New Roman"/>
          <w:b/>
          <w:bCs/>
          <w:sz w:val="24"/>
          <w:szCs w:val="24"/>
        </w:rPr>
        <w:t xml:space="preserve"> </w:t>
      </w:r>
      <w:proofErr w:type="spellStart"/>
      <w:r w:rsidR="0084284E" w:rsidRPr="007720BC">
        <w:rPr>
          <w:rFonts w:ascii="Times New Roman" w:hAnsi="Times New Roman" w:cs="Times New Roman"/>
          <w:b/>
          <w:bCs/>
          <w:sz w:val="24"/>
          <w:szCs w:val="24"/>
        </w:rPr>
        <w:t>Perubahan</w:t>
      </w:r>
      <w:proofErr w:type="spellEnd"/>
      <w:r w:rsidR="0084284E" w:rsidRPr="007720BC">
        <w:rPr>
          <w:rFonts w:ascii="Times New Roman" w:hAnsi="Times New Roman" w:cs="Times New Roman"/>
          <w:b/>
          <w:bCs/>
          <w:sz w:val="24"/>
          <w:szCs w:val="24"/>
        </w:rPr>
        <w:t xml:space="preserve"> </w:t>
      </w:r>
      <w:proofErr w:type="spellStart"/>
      <w:r w:rsidRPr="007720BC">
        <w:rPr>
          <w:rFonts w:ascii="Times New Roman" w:hAnsi="Times New Roman" w:cs="Times New Roman"/>
          <w:b/>
          <w:bCs/>
          <w:sz w:val="24"/>
          <w:szCs w:val="24"/>
        </w:rPr>
        <w:t>Kelompok</w:t>
      </w:r>
      <w:proofErr w:type="spellEnd"/>
      <w:r w:rsidRPr="007720BC">
        <w:rPr>
          <w:rFonts w:ascii="Times New Roman" w:hAnsi="Times New Roman" w:cs="Times New Roman"/>
          <w:b/>
          <w:bCs/>
          <w:sz w:val="24"/>
          <w:szCs w:val="24"/>
        </w:rPr>
        <w:t xml:space="preserve"> </w:t>
      </w:r>
      <w:proofErr w:type="spellStart"/>
      <w:r w:rsidRPr="007720BC">
        <w:rPr>
          <w:rFonts w:ascii="Times New Roman" w:hAnsi="Times New Roman" w:cs="Times New Roman"/>
          <w:b/>
          <w:bCs/>
          <w:sz w:val="24"/>
          <w:szCs w:val="24"/>
        </w:rPr>
        <w:t>Sasaran</w:t>
      </w:r>
      <w:proofErr w:type="spellEnd"/>
    </w:p>
    <w:p w14:paraId="628FA5AA" w14:textId="29E6F620" w:rsidR="008F5E48" w:rsidRPr="007720BC" w:rsidRDefault="000459C2" w:rsidP="00C76E11">
      <w:pPr>
        <w:shd w:val="clear" w:color="auto" w:fill="FFFFFF"/>
        <w:spacing w:after="0" w:line="240" w:lineRule="auto"/>
        <w:ind w:firstLine="720"/>
        <w:contextualSpacing/>
        <w:jc w:val="both"/>
        <w:textAlignment w:val="baseline"/>
        <w:rPr>
          <w:rFonts w:ascii="Times New Roman" w:hAnsi="Times New Roman" w:cs="Times New Roman"/>
          <w:sz w:val="24"/>
          <w:szCs w:val="24"/>
        </w:rPr>
      </w:pPr>
      <w:r w:rsidRPr="007720BC">
        <w:rPr>
          <w:rFonts w:ascii="Times New Roman" w:hAnsi="Times New Roman" w:cs="Times New Roman"/>
          <w:sz w:val="24"/>
          <w:szCs w:val="24"/>
          <w:lang w:val="en-US"/>
        </w:rPr>
        <w:t>V</w:t>
      </w:r>
      <w:r w:rsidR="00A638A7" w:rsidRPr="007720BC">
        <w:rPr>
          <w:rFonts w:ascii="Times New Roman" w:hAnsi="Times New Roman" w:cs="Times New Roman"/>
          <w:sz w:val="24"/>
          <w:szCs w:val="24"/>
          <w:lang w:val="en-US"/>
        </w:rPr>
        <w:t xml:space="preserve">isi dan </w:t>
      </w:r>
      <w:proofErr w:type="spellStart"/>
      <w:r w:rsidR="00A638A7" w:rsidRPr="007720BC">
        <w:rPr>
          <w:rFonts w:ascii="Times New Roman" w:hAnsi="Times New Roman" w:cs="Times New Roman"/>
          <w:sz w:val="24"/>
          <w:szCs w:val="24"/>
          <w:lang w:val="en-US"/>
        </w:rPr>
        <w:t>misi</w:t>
      </w:r>
      <w:proofErr w:type="spellEnd"/>
      <w:r w:rsidR="00A638A7" w:rsidRPr="007720BC">
        <w:rPr>
          <w:rFonts w:ascii="Times New Roman" w:hAnsi="Times New Roman" w:cs="Times New Roman"/>
          <w:sz w:val="24"/>
          <w:szCs w:val="24"/>
        </w:rPr>
        <w:t xml:space="preserve"> </w:t>
      </w:r>
      <w:r w:rsidR="00A638A7" w:rsidRPr="007720BC">
        <w:rPr>
          <w:rFonts w:ascii="Times New Roman" w:hAnsi="Times New Roman" w:cs="Times New Roman"/>
          <w:sz w:val="24"/>
          <w:szCs w:val="24"/>
          <w:lang w:val="en-US"/>
        </w:rPr>
        <w:t xml:space="preserve">Kampung KB </w:t>
      </w:r>
      <w:r w:rsidR="00147422" w:rsidRPr="007720BC">
        <w:rPr>
          <w:rFonts w:ascii="Times New Roman" w:hAnsi="Times New Roman" w:cs="Times New Roman"/>
          <w:sz w:val="24"/>
          <w:szCs w:val="24"/>
          <w:lang w:val="en-US"/>
        </w:rPr>
        <w:t xml:space="preserve">Desa </w:t>
      </w:r>
      <w:proofErr w:type="spellStart"/>
      <w:r w:rsidR="00A638A7" w:rsidRPr="007720BC">
        <w:rPr>
          <w:rFonts w:ascii="Times New Roman" w:hAnsi="Times New Roman" w:cs="Times New Roman"/>
          <w:sz w:val="24"/>
          <w:szCs w:val="24"/>
        </w:rPr>
        <w:t>Mongpok</w:t>
      </w:r>
      <w:proofErr w:type="spellEnd"/>
      <w:r w:rsidR="00A638A7" w:rsidRPr="007720BC">
        <w:rPr>
          <w:rFonts w:ascii="Times New Roman" w:hAnsi="Times New Roman" w:cs="Times New Roman"/>
          <w:sz w:val="24"/>
          <w:szCs w:val="24"/>
          <w:lang w:val="en-US"/>
        </w:rPr>
        <w:t xml:space="preserve"> </w:t>
      </w:r>
      <w:proofErr w:type="spellStart"/>
      <w:r w:rsidR="00A638A7" w:rsidRPr="007720BC">
        <w:rPr>
          <w:rFonts w:ascii="Times New Roman" w:hAnsi="Times New Roman" w:cs="Times New Roman"/>
          <w:sz w:val="24"/>
          <w:szCs w:val="24"/>
          <w:lang w:val="en-US"/>
        </w:rPr>
        <w:t>mengacu</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lang w:val="en-US"/>
        </w:rPr>
        <w:t>kepada</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lang w:val="en-US"/>
        </w:rPr>
        <w:t>visi</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lang w:val="en-US"/>
        </w:rPr>
        <w:t>misi</w:t>
      </w:r>
      <w:proofErr w:type="spellEnd"/>
      <w:r w:rsidR="00A638A7" w:rsidRPr="007720BC">
        <w:rPr>
          <w:rFonts w:ascii="Times New Roman" w:hAnsi="Times New Roman" w:cs="Times New Roman"/>
          <w:sz w:val="24"/>
          <w:szCs w:val="24"/>
        </w:rPr>
        <w:t xml:space="preserve"> Desa </w:t>
      </w:r>
      <w:proofErr w:type="spellStart"/>
      <w:r w:rsidR="00A638A7" w:rsidRPr="007720BC">
        <w:rPr>
          <w:rFonts w:ascii="Times New Roman" w:hAnsi="Times New Roman" w:cs="Times New Roman"/>
          <w:sz w:val="24"/>
          <w:szCs w:val="24"/>
        </w:rPr>
        <w:t>Mongpok</w:t>
      </w:r>
      <w:proofErr w:type="spellEnd"/>
      <w:r w:rsidR="00A638A7" w:rsidRPr="007720BC">
        <w:rPr>
          <w:rFonts w:ascii="Times New Roman" w:hAnsi="Times New Roman" w:cs="Times New Roman"/>
          <w:sz w:val="24"/>
          <w:szCs w:val="24"/>
        </w:rPr>
        <w:t xml:space="preserve"> </w:t>
      </w:r>
      <w:proofErr w:type="spellStart"/>
      <w:r w:rsidR="00147422" w:rsidRPr="007720BC">
        <w:rPr>
          <w:rFonts w:ascii="Times New Roman" w:hAnsi="Times New Roman" w:cs="Times New Roman"/>
          <w:sz w:val="24"/>
          <w:szCs w:val="24"/>
        </w:rPr>
        <w:t>Kecamatan</w:t>
      </w:r>
      <w:proofErr w:type="spellEnd"/>
      <w:r w:rsidR="00147422" w:rsidRPr="007720BC">
        <w:rPr>
          <w:rFonts w:ascii="Times New Roman" w:hAnsi="Times New Roman" w:cs="Times New Roman"/>
          <w:sz w:val="24"/>
          <w:szCs w:val="24"/>
        </w:rPr>
        <w:t xml:space="preserve"> </w:t>
      </w:r>
      <w:proofErr w:type="spellStart"/>
      <w:r w:rsidR="00147422" w:rsidRPr="007720BC">
        <w:rPr>
          <w:rFonts w:ascii="Times New Roman" w:hAnsi="Times New Roman" w:cs="Times New Roman"/>
          <w:sz w:val="24"/>
          <w:szCs w:val="24"/>
        </w:rPr>
        <w:t>Cikeusal</w:t>
      </w:r>
      <w:proofErr w:type="spellEnd"/>
      <w:r w:rsidR="00147422"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lang w:val="en-US"/>
        </w:rPr>
        <w:t>yaitu</w:t>
      </w:r>
      <w:proofErr w:type="spellEnd"/>
      <w:r w:rsidR="00A638A7" w:rsidRPr="007720BC">
        <w:rPr>
          <w:rFonts w:ascii="Times New Roman" w:hAnsi="Times New Roman" w:cs="Times New Roman"/>
          <w:sz w:val="24"/>
          <w:szCs w:val="24"/>
          <w:lang w:val="en-US"/>
        </w:rPr>
        <w:t xml:space="preserve"> me</w:t>
      </w:r>
      <w:proofErr w:type="spellStart"/>
      <w:r w:rsidR="00A638A7" w:rsidRPr="007720BC">
        <w:rPr>
          <w:rFonts w:ascii="Times New Roman" w:hAnsi="Times New Roman" w:cs="Times New Roman"/>
          <w:sz w:val="24"/>
          <w:szCs w:val="24"/>
        </w:rPr>
        <w:t>mbangun</w:t>
      </w:r>
      <w:proofErr w:type="spellEnd"/>
      <w:r w:rsidR="00A638A7" w:rsidRPr="007720BC">
        <w:rPr>
          <w:rFonts w:ascii="Times New Roman" w:hAnsi="Times New Roman" w:cs="Times New Roman"/>
          <w:sz w:val="24"/>
          <w:szCs w:val="24"/>
        </w:rPr>
        <w:t xml:space="preserve"> </w:t>
      </w:r>
      <w:proofErr w:type="spellStart"/>
      <w:r w:rsidR="00BE2445" w:rsidRPr="007720BC">
        <w:rPr>
          <w:rFonts w:ascii="Times New Roman" w:hAnsi="Times New Roman" w:cs="Times New Roman"/>
          <w:sz w:val="24"/>
          <w:szCs w:val="24"/>
        </w:rPr>
        <w:t>desa</w:t>
      </w:r>
      <w:proofErr w:type="spellEnd"/>
      <w:r w:rsidR="00BE2445" w:rsidRPr="007720BC">
        <w:rPr>
          <w:rFonts w:ascii="Times New Roman" w:hAnsi="Times New Roman" w:cs="Times New Roman"/>
          <w:sz w:val="24"/>
          <w:szCs w:val="24"/>
        </w:rPr>
        <w:t xml:space="preserve"> yang </w:t>
      </w:r>
      <w:proofErr w:type="spellStart"/>
      <w:r w:rsidR="00BE2445" w:rsidRPr="007720BC">
        <w:rPr>
          <w:rFonts w:ascii="Times New Roman" w:hAnsi="Times New Roman" w:cs="Times New Roman"/>
          <w:sz w:val="24"/>
          <w:szCs w:val="24"/>
        </w:rPr>
        <w:t>jujur</w:t>
      </w:r>
      <w:proofErr w:type="spellEnd"/>
      <w:r w:rsidR="00BE2445" w:rsidRPr="007720BC">
        <w:rPr>
          <w:rFonts w:ascii="Times New Roman" w:hAnsi="Times New Roman" w:cs="Times New Roman"/>
          <w:sz w:val="24"/>
          <w:szCs w:val="24"/>
        </w:rPr>
        <w:t xml:space="preserve">, </w:t>
      </w:r>
      <w:proofErr w:type="spellStart"/>
      <w:r w:rsidR="00BE2445" w:rsidRPr="007720BC">
        <w:rPr>
          <w:rFonts w:ascii="Times New Roman" w:hAnsi="Times New Roman" w:cs="Times New Roman"/>
          <w:sz w:val="24"/>
          <w:szCs w:val="24"/>
        </w:rPr>
        <w:t>adil</w:t>
      </w:r>
      <w:proofErr w:type="spellEnd"/>
      <w:r w:rsidR="00BE2445" w:rsidRPr="007720BC">
        <w:rPr>
          <w:rFonts w:ascii="Times New Roman" w:hAnsi="Times New Roman" w:cs="Times New Roman"/>
          <w:sz w:val="24"/>
          <w:szCs w:val="24"/>
        </w:rPr>
        <w:t xml:space="preserve">, </w:t>
      </w:r>
      <w:proofErr w:type="spellStart"/>
      <w:r w:rsidR="00BE2445" w:rsidRPr="007720BC">
        <w:rPr>
          <w:rFonts w:ascii="Times New Roman" w:hAnsi="Times New Roman" w:cs="Times New Roman"/>
          <w:sz w:val="24"/>
          <w:szCs w:val="24"/>
        </w:rPr>
        <w:t>sejahtera</w:t>
      </w:r>
      <w:proofErr w:type="spellEnd"/>
      <w:r w:rsidR="00BE2445" w:rsidRPr="007720BC">
        <w:rPr>
          <w:rFonts w:ascii="Times New Roman" w:hAnsi="Times New Roman" w:cs="Times New Roman"/>
          <w:sz w:val="24"/>
          <w:szCs w:val="24"/>
        </w:rPr>
        <w:t xml:space="preserve">, </w:t>
      </w:r>
      <w:proofErr w:type="spellStart"/>
      <w:r w:rsidR="00BE2445" w:rsidRPr="007720BC">
        <w:rPr>
          <w:rFonts w:ascii="Times New Roman" w:hAnsi="Times New Roman" w:cs="Times New Roman"/>
          <w:sz w:val="24"/>
          <w:szCs w:val="24"/>
        </w:rPr>
        <w:t>berbudaya</w:t>
      </w:r>
      <w:proofErr w:type="spellEnd"/>
      <w:r w:rsidR="00BE2445" w:rsidRPr="007720BC">
        <w:rPr>
          <w:rFonts w:ascii="Times New Roman" w:hAnsi="Times New Roman" w:cs="Times New Roman"/>
          <w:sz w:val="24"/>
          <w:szCs w:val="24"/>
        </w:rPr>
        <w:t xml:space="preserve"> dan </w:t>
      </w:r>
      <w:proofErr w:type="spellStart"/>
      <w:r w:rsidR="00BE2445" w:rsidRPr="007720BC">
        <w:rPr>
          <w:rFonts w:ascii="Times New Roman" w:hAnsi="Times New Roman" w:cs="Times New Roman"/>
          <w:sz w:val="24"/>
          <w:szCs w:val="24"/>
        </w:rPr>
        <w:t>berakhlak</w:t>
      </w:r>
      <w:proofErr w:type="spellEnd"/>
      <w:r w:rsidR="00BE2445" w:rsidRPr="007720BC">
        <w:rPr>
          <w:rFonts w:ascii="Times New Roman" w:hAnsi="Times New Roman" w:cs="Times New Roman"/>
          <w:sz w:val="24"/>
          <w:szCs w:val="24"/>
        </w:rPr>
        <w:t xml:space="preserve"> </w:t>
      </w:r>
      <w:proofErr w:type="spellStart"/>
      <w:r w:rsidR="00BE2445" w:rsidRPr="007720BC">
        <w:rPr>
          <w:rFonts w:ascii="Times New Roman" w:hAnsi="Times New Roman" w:cs="Times New Roman"/>
          <w:sz w:val="24"/>
          <w:szCs w:val="24"/>
        </w:rPr>
        <w:t>mulia</w:t>
      </w:r>
      <w:proofErr w:type="spellEnd"/>
      <w:r w:rsidR="00A638A7" w:rsidRPr="007720BC">
        <w:rPr>
          <w:rFonts w:ascii="Times New Roman" w:hAnsi="Times New Roman" w:cs="Times New Roman"/>
          <w:sz w:val="24"/>
          <w:szCs w:val="24"/>
          <w:lang w:val="en-US"/>
        </w:rPr>
        <w:t xml:space="preserve">. </w:t>
      </w:r>
      <w:proofErr w:type="spellStart"/>
      <w:r w:rsidR="00A638A7" w:rsidRPr="007720BC">
        <w:rPr>
          <w:rFonts w:ascii="Times New Roman" w:hAnsi="Times New Roman" w:cs="Times New Roman"/>
          <w:sz w:val="24"/>
          <w:szCs w:val="24"/>
          <w:lang w:val="en-US"/>
        </w:rPr>
        <w:t>Untuk</w:t>
      </w:r>
      <w:proofErr w:type="spellEnd"/>
      <w:r w:rsidR="00A638A7" w:rsidRPr="007720BC">
        <w:rPr>
          <w:rFonts w:ascii="Times New Roman" w:hAnsi="Times New Roman" w:cs="Times New Roman"/>
          <w:sz w:val="24"/>
          <w:szCs w:val="24"/>
          <w:lang w:val="en-US"/>
        </w:rPr>
        <w:t xml:space="preserve"> </w:t>
      </w:r>
      <w:proofErr w:type="spellStart"/>
      <w:r w:rsidR="00A638A7" w:rsidRPr="007720BC">
        <w:rPr>
          <w:rFonts w:ascii="Times New Roman" w:hAnsi="Times New Roman" w:cs="Times New Roman"/>
          <w:sz w:val="24"/>
          <w:szCs w:val="24"/>
          <w:lang w:val="en-US"/>
        </w:rPr>
        <w:t>mewujudkan</w:t>
      </w:r>
      <w:proofErr w:type="spellEnd"/>
      <w:r w:rsidR="00A638A7" w:rsidRPr="007720BC">
        <w:rPr>
          <w:rFonts w:ascii="Times New Roman" w:hAnsi="Times New Roman" w:cs="Times New Roman"/>
          <w:sz w:val="24"/>
          <w:szCs w:val="24"/>
          <w:lang w:val="en-US"/>
        </w:rPr>
        <w:t xml:space="preserve"> </w:t>
      </w:r>
      <w:proofErr w:type="spellStart"/>
      <w:r w:rsidR="00A638A7" w:rsidRPr="007720BC">
        <w:rPr>
          <w:rFonts w:ascii="Times New Roman" w:hAnsi="Times New Roman" w:cs="Times New Roman"/>
          <w:sz w:val="24"/>
          <w:szCs w:val="24"/>
          <w:lang w:val="en-US"/>
        </w:rPr>
        <w:t>visi</w:t>
      </w:r>
      <w:proofErr w:type="spellEnd"/>
      <w:r w:rsidR="00A638A7" w:rsidRPr="007720BC">
        <w:rPr>
          <w:rFonts w:ascii="Times New Roman" w:hAnsi="Times New Roman" w:cs="Times New Roman"/>
          <w:sz w:val="24"/>
          <w:szCs w:val="24"/>
          <w:lang w:val="en-US"/>
        </w:rPr>
        <w:t xml:space="preserve"> </w:t>
      </w:r>
      <w:proofErr w:type="spellStart"/>
      <w:r w:rsidR="00A638A7" w:rsidRPr="007720BC">
        <w:rPr>
          <w:rFonts w:ascii="Times New Roman" w:hAnsi="Times New Roman" w:cs="Times New Roman"/>
          <w:sz w:val="24"/>
          <w:szCs w:val="24"/>
          <w:lang w:val="en-US"/>
        </w:rPr>
        <w:t>tersebut</w:t>
      </w:r>
      <w:proofErr w:type="spellEnd"/>
      <w:r w:rsidR="00A638A7" w:rsidRPr="007720BC">
        <w:rPr>
          <w:rFonts w:ascii="Times New Roman" w:hAnsi="Times New Roman" w:cs="Times New Roman"/>
          <w:sz w:val="24"/>
          <w:szCs w:val="24"/>
          <w:lang w:val="en-US"/>
        </w:rPr>
        <w:t xml:space="preserve">, </w:t>
      </w:r>
      <w:proofErr w:type="spellStart"/>
      <w:r w:rsidR="00A638A7" w:rsidRPr="007720BC">
        <w:rPr>
          <w:rFonts w:ascii="Times New Roman" w:hAnsi="Times New Roman" w:cs="Times New Roman"/>
          <w:sz w:val="24"/>
          <w:szCs w:val="24"/>
          <w:lang w:val="en-US"/>
        </w:rPr>
        <w:t>misi</w:t>
      </w:r>
      <w:proofErr w:type="spellEnd"/>
      <w:r w:rsidR="00A638A7" w:rsidRPr="007720BC">
        <w:rPr>
          <w:rFonts w:ascii="Times New Roman" w:hAnsi="Times New Roman" w:cs="Times New Roman"/>
          <w:sz w:val="24"/>
          <w:szCs w:val="24"/>
          <w:lang w:val="en-US"/>
        </w:rPr>
        <w:t xml:space="preserve"> Kampung KB Desa </w:t>
      </w:r>
      <w:proofErr w:type="spellStart"/>
      <w:r w:rsidR="00A638A7" w:rsidRPr="007720BC">
        <w:rPr>
          <w:rFonts w:ascii="Times New Roman" w:hAnsi="Times New Roman" w:cs="Times New Roman"/>
          <w:sz w:val="24"/>
          <w:szCs w:val="24"/>
          <w:lang w:val="en-US"/>
        </w:rPr>
        <w:t>Mongpok</w:t>
      </w:r>
      <w:proofErr w:type="spellEnd"/>
      <w:r w:rsidR="00A638A7" w:rsidRPr="007720BC">
        <w:rPr>
          <w:rFonts w:ascii="Times New Roman" w:hAnsi="Times New Roman" w:cs="Times New Roman"/>
          <w:sz w:val="24"/>
          <w:szCs w:val="24"/>
          <w:lang w:val="en-US"/>
        </w:rPr>
        <w:t xml:space="preserve"> </w:t>
      </w:r>
      <w:proofErr w:type="spellStart"/>
      <w:r w:rsidR="00A638A7" w:rsidRPr="007720BC">
        <w:rPr>
          <w:rFonts w:ascii="Times New Roman" w:hAnsi="Times New Roman" w:cs="Times New Roman"/>
          <w:sz w:val="24"/>
          <w:szCs w:val="24"/>
          <w:lang w:val="en-US"/>
        </w:rPr>
        <w:t>yaitu</w:t>
      </w:r>
      <w:proofErr w:type="spellEnd"/>
      <w:r w:rsidR="00A638A7" w:rsidRPr="007720BC">
        <w:rPr>
          <w:rFonts w:ascii="Times New Roman" w:hAnsi="Times New Roman" w:cs="Times New Roman"/>
          <w:sz w:val="24"/>
          <w:szCs w:val="24"/>
          <w:lang w:val="en-US"/>
        </w:rPr>
        <w:t xml:space="preserve"> </w:t>
      </w:r>
      <w:proofErr w:type="spellStart"/>
      <w:r w:rsidR="00147422" w:rsidRPr="007720BC">
        <w:rPr>
          <w:rFonts w:ascii="Times New Roman" w:hAnsi="Times New Roman" w:cs="Times New Roman"/>
          <w:sz w:val="24"/>
          <w:szCs w:val="24"/>
        </w:rPr>
        <w:t>m</w:t>
      </w:r>
      <w:r w:rsidR="00A638A7" w:rsidRPr="007720BC">
        <w:rPr>
          <w:rFonts w:ascii="Times New Roman" w:hAnsi="Times New Roman" w:cs="Times New Roman"/>
          <w:sz w:val="24"/>
          <w:szCs w:val="24"/>
        </w:rPr>
        <w:t>ewujudkan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Pemerintah</w:t>
      </w:r>
      <w:proofErr w:type="spellEnd"/>
      <w:r w:rsidR="00A638A7" w:rsidRPr="007720BC">
        <w:rPr>
          <w:rFonts w:ascii="Times New Roman" w:hAnsi="Times New Roman" w:cs="Times New Roman"/>
          <w:sz w:val="24"/>
          <w:szCs w:val="24"/>
        </w:rPr>
        <w:t xml:space="preserve"> Desa yang </w:t>
      </w:r>
      <w:proofErr w:type="spellStart"/>
      <w:r w:rsidR="00A638A7" w:rsidRPr="007720BC">
        <w:rPr>
          <w:rFonts w:ascii="Times New Roman" w:hAnsi="Times New Roman" w:cs="Times New Roman"/>
          <w:sz w:val="24"/>
          <w:szCs w:val="24"/>
        </w:rPr>
        <w:t>transparan</w:t>
      </w:r>
      <w:proofErr w:type="spellEnd"/>
      <w:r w:rsidR="00A638A7" w:rsidRPr="007720BC">
        <w:rPr>
          <w:rFonts w:ascii="Times New Roman" w:hAnsi="Times New Roman" w:cs="Times New Roman"/>
          <w:sz w:val="24"/>
          <w:szCs w:val="24"/>
        </w:rPr>
        <w:t xml:space="preserve"> dan </w:t>
      </w:r>
      <w:proofErr w:type="spellStart"/>
      <w:r w:rsidR="00A638A7" w:rsidRPr="007720BC">
        <w:rPr>
          <w:rFonts w:ascii="Times New Roman" w:hAnsi="Times New Roman" w:cs="Times New Roman"/>
          <w:sz w:val="24"/>
          <w:szCs w:val="24"/>
        </w:rPr>
        <w:t>berwibaw</w:t>
      </w:r>
      <w:proofErr w:type="spellEnd"/>
      <w:r w:rsidR="00A638A7" w:rsidRPr="007720BC">
        <w:rPr>
          <w:rFonts w:ascii="Times New Roman" w:hAnsi="Times New Roman" w:cs="Times New Roman"/>
          <w:sz w:val="24"/>
          <w:szCs w:val="24"/>
          <w:lang w:val="en-US"/>
        </w:rPr>
        <w:t>a</w:t>
      </w:r>
      <w:r w:rsidR="00BE2445" w:rsidRPr="007720BC">
        <w:rPr>
          <w:rFonts w:ascii="Times New Roman" w:hAnsi="Times New Roman" w:cs="Times New Roman"/>
          <w:sz w:val="24"/>
          <w:szCs w:val="24"/>
          <w:lang w:val="en-US"/>
        </w:rPr>
        <w:t>; m</w:t>
      </w:r>
      <w:proofErr w:type="spellStart"/>
      <w:r w:rsidR="00A638A7" w:rsidRPr="007720BC">
        <w:rPr>
          <w:rFonts w:ascii="Times New Roman" w:hAnsi="Times New Roman" w:cs="Times New Roman"/>
          <w:sz w:val="24"/>
          <w:szCs w:val="24"/>
        </w:rPr>
        <w:t>engedepankan</w:t>
      </w:r>
      <w:proofErr w:type="spellEnd"/>
      <w:r w:rsidR="00A638A7" w:rsidRPr="007720BC">
        <w:rPr>
          <w:rFonts w:ascii="Times New Roman" w:hAnsi="Times New Roman" w:cs="Times New Roman"/>
          <w:sz w:val="24"/>
          <w:szCs w:val="24"/>
        </w:rPr>
        <w:t xml:space="preserve"> gotong royong, </w:t>
      </w:r>
      <w:proofErr w:type="spellStart"/>
      <w:r w:rsidR="00A638A7" w:rsidRPr="007720BC">
        <w:rPr>
          <w:rFonts w:ascii="Times New Roman" w:hAnsi="Times New Roman" w:cs="Times New Roman"/>
          <w:sz w:val="24"/>
          <w:szCs w:val="24"/>
        </w:rPr>
        <w:t>musy</w:t>
      </w:r>
      <w:proofErr w:type="spellEnd"/>
      <w:r w:rsidR="00A638A7" w:rsidRPr="007720BC">
        <w:rPr>
          <w:rFonts w:ascii="Times New Roman" w:hAnsi="Times New Roman" w:cs="Times New Roman"/>
          <w:sz w:val="24"/>
          <w:szCs w:val="24"/>
          <w:lang w:val="en-US"/>
        </w:rPr>
        <w:t>a</w:t>
      </w:r>
      <w:proofErr w:type="spellStart"/>
      <w:r w:rsidR="00A638A7" w:rsidRPr="007720BC">
        <w:rPr>
          <w:rFonts w:ascii="Times New Roman" w:hAnsi="Times New Roman" w:cs="Times New Roman"/>
          <w:sz w:val="24"/>
          <w:szCs w:val="24"/>
        </w:rPr>
        <w:t>warah</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mufakat</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dalam</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kehidupan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sehari-hari</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baik</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dengan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pemerintahan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maupun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dengan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masyarakat</w:t>
      </w:r>
      <w:proofErr w:type="spellEnd"/>
      <w:r w:rsidR="00A638A7" w:rsidRPr="007720BC">
        <w:rPr>
          <w:rFonts w:ascii="Times New Roman" w:hAnsi="Times New Roman" w:cs="Times New Roman"/>
          <w:sz w:val="24"/>
          <w:szCs w:val="24"/>
          <w:lang w:val="en-US"/>
        </w:rPr>
        <w:t xml:space="preserve">; </w:t>
      </w:r>
      <w:r w:rsidR="00BE2445" w:rsidRPr="007720BC">
        <w:rPr>
          <w:rFonts w:ascii="Times New Roman" w:hAnsi="Times New Roman" w:cs="Times New Roman"/>
          <w:sz w:val="24"/>
          <w:szCs w:val="24"/>
          <w:lang w:val="en-US"/>
        </w:rPr>
        <w:t>m</w:t>
      </w:r>
      <w:proofErr w:type="spellStart"/>
      <w:r w:rsidR="00A638A7" w:rsidRPr="007720BC">
        <w:rPr>
          <w:rFonts w:ascii="Times New Roman" w:hAnsi="Times New Roman" w:cs="Times New Roman"/>
          <w:sz w:val="24"/>
          <w:szCs w:val="24"/>
        </w:rPr>
        <w:t>eningkatkan</w:t>
      </w:r>
      <w:proofErr w:type="spellEnd"/>
      <w:r w:rsidR="00A638A7" w:rsidRPr="007720BC">
        <w:rPr>
          <w:rFonts w:ascii="Times New Roman" w:hAnsi="Times New Roman" w:cs="Times New Roman"/>
          <w:sz w:val="24"/>
          <w:szCs w:val="24"/>
        </w:rPr>
        <w:t xml:space="preserve"> </w:t>
      </w:r>
      <w:proofErr w:type="spellStart"/>
      <w:r w:rsidR="00BE2445" w:rsidRPr="007720BC">
        <w:rPr>
          <w:rFonts w:ascii="Times New Roman" w:hAnsi="Times New Roman" w:cs="Times New Roman"/>
          <w:sz w:val="24"/>
          <w:szCs w:val="24"/>
        </w:rPr>
        <w:t>p</w:t>
      </w:r>
      <w:r w:rsidR="00A638A7" w:rsidRPr="007720BC">
        <w:rPr>
          <w:rFonts w:ascii="Times New Roman" w:hAnsi="Times New Roman" w:cs="Times New Roman"/>
          <w:sz w:val="24"/>
          <w:szCs w:val="24"/>
        </w:rPr>
        <w:t>rofesionalitas</w:t>
      </w:r>
      <w:proofErr w:type="spellEnd"/>
      <w:r w:rsidR="00A638A7" w:rsidRPr="007720BC">
        <w:rPr>
          <w:rFonts w:ascii="Times New Roman" w:hAnsi="Times New Roman" w:cs="Times New Roman"/>
          <w:sz w:val="24"/>
          <w:szCs w:val="24"/>
        </w:rPr>
        <w:t xml:space="preserve"> SDM </w:t>
      </w:r>
      <w:proofErr w:type="spellStart"/>
      <w:r w:rsidR="00C76E11" w:rsidRPr="007720BC">
        <w:rPr>
          <w:rFonts w:ascii="Times New Roman" w:hAnsi="Times New Roman" w:cs="Times New Roman"/>
          <w:sz w:val="24"/>
          <w:szCs w:val="24"/>
        </w:rPr>
        <w:t>aparatur</w:t>
      </w:r>
      <w:proofErr w:type="spellEnd"/>
      <w:r w:rsidR="00C76E11" w:rsidRPr="007720BC">
        <w:rPr>
          <w:rFonts w:ascii="Times New Roman" w:hAnsi="Times New Roman" w:cs="Times New Roman"/>
          <w:sz w:val="24"/>
          <w:szCs w:val="24"/>
        </w:rPr>
        <w:t xml:space="preserve"> des</w:t>
      </w:r>
      <w:r w:rsidR="00C76E11" w:rsidRPr="007720BC">
        <w:rPr>
          <w:rFonts w:ascii="Times New Roman" w:hAnsi="Times New Roman" w:cs="Times New Roman"/>
          <w:sz w:val="24"/>
          <w:szCs w:val="24"/>
          <w:lang w:val="en-US"/>
        </w:rPr>
        <w:t>a</w:t>
      </w:r>
      <w:r w:rsidR="00A638A7" w:rsidRPr="007720BC">
        <w:rPr>
          <w:rFonts w:ascii="Times New Roman" w:hAnsi="Times New Roman" w:cs="Times New Roman"/>
          <w:sz w:val="24"/>
          <w:szCs w:val="24"/>
          <w:lang w:val="en-US"/>
        </w:rPr>
        <w:t xml:space="preserve">; </w:t>
      </w:r>
      <w:r w:rsidR="00BE2445" w:rsidRPr="007720BC">
        <w:rPr>
          <w:rFonts w:ascii="Times New Roman" w:hAnsi="Times New Roman" w:cs="Times New Roman"/>
          <w:sz w:val="24"/>
          <w:szCs w:val="24"/>
          <w:lang w:val="en-US"/>
        </w:rPr>
        <w:t>m</w:t>
      </w:r>
      <w:proofErr w:type="spellStart"/>
      <w:r w:rsidR="00A638A7" w:rsidRPr="007720BC">
        <w:rPr>
          <w:rFonts w:ascii="Times New Roman" w:hAnsi="Times New Roman" w:cs="Times New Roman"/>
          <w:sz w:val="24"/>
          <w:szCs w:val="24"/>
        </w:rPr>
        <w:t>ewujudkan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sarana</w:t>
      </w:r>
      <w:proofErr w:type="spellEnd"/>
      <w:r w:rsidR="00A638A7" w:rsidRPr="007720BC">
        <w:rPr>
          <w:rFonts w:ascii="Times New Roman" w:hAnsi="Times New Roman" w:cs="Times New Roman"/>
          <w:sz w:val="24"/>
          <w:szCs w:val="24"/>
        </w:rPr>
        <w:t xml:space="preserve"> dan </w:t>
      </w:r>
      <w:proofErr w:type="spellStart"/>
      <w:r w:rsidR="00A638A7" w:rsidRPr="007720BC">
        <w:rPr>
          <w:rFonts w:ascii="Times New Roman" w:hAnsi="Times New Roman" w:cs="Times New Roman"/>
          <w:sz w:val="24"/>
          <w:szCs w:val="24"/>
        </w:rPr>
        <w:t>prasarana</w:t>
      </w:r>
      <w:proofErr w:type="spellEnd"/>
      <w:r w:rsidR="00A638A7" w:rsidRPr="007720BC">
        <w:rPr>
          <w:rFonts w:ascii="Times New Roman" w:hAnsi="Times New Roman" w:cs="Times New Roman"/>
          <w:sz w:val="24"/>
          <w:szCs w:val="24"/>
        </w:rPr>
        <w:t xml:space="preserve"> </w:t>
      </w:r>
      <w:proofErr w:type="spellStart"/>
      <w:r w:rsidR="00C76E11" w:rsidRPr="007720BC">
        <w:rPr>
          <w:rFonts w:ascii="Times New Roman" w:hAnsi="Times New Roman" w:cs="Times New Roman"/>
          <w:sz w:val="24"/>
          <w:szCs w:val="24"/>
        </w:rPr>
        <w:t>d</w:t>
      </w:r>
      <w:r w:rsidR="00A638A7" w:rsidRPr="007720BC">
        <w:rPr>
          <w:rFonts w:ascii="Times New Roman" w:hAnsi="Times New Roman" w:cs="Times New Roman"/>
          <w:sz w:val="24"/>
          <w:szCs w:val="24"/>
        </w:rPr>
        <w:t>esa</w:t>
      </w:r>
      <w:proofErr w:type="spellEnd"/>
      <w:r w:rsidR="00A638A7" w:rsidRPr="007720BC">
        <w:rPr>
          <w:rFonts w:ascii="Times New Roman" w:hAnsi="Times New Roman" w:cs="Times New Roman"/>
          <w:sz w:val="24"/>
          <w:szCs w:val="24"/>
        </w:rPr>
        <w:t xml:space="preserve"> yang </w:t>
      </w:r>
      <w:proofErr w:type="spellStart"/>
      <w:r w:rsidR="00A638A7" w:rsidRPr="007720BC">
        <w:rPr>
          <w:rFonts w:ascii="Times New Roman" w:hAnsi="Times New Roman" w:cs="Times New Roman"/>
          <w:sz w:val="24"/>
          <w:szCs w:val="24"/>
        </w:rPr>
        <w:t>memadai</w:t>
      </w:r>
      <w:proofErr w:type="spellEnd"/>
      <w:r w:rsidR="00A638A7" w:rsidRPr="007720BC">
        <w:rPr>
          <w:rFonts w:ascii="Times New Roman" w:hAnsi="Times New Roman" w:cs="Times New Roman"/>
          <w:sz w:val="24"/>
          <w:szCs w:val="24"/>
        </w:rPr>
        <w:t xml:space="preserve">; </w:t>
      </w:r>
      <w:r w:rsidR="00BE2445" w:rsidRPr="007720BC">
        <w:rPr>
          <w:rFonts w:ascii="Times New Roman" w:hAnsi="Times New Roman" w:cs="Times New Roman"/>
          <w:sz w:val="24"/>
          <w:szCs w:val="24"/>
          <w:lang w:val="en-US"/>
        </w:rPr>
        <w:t>m</w:t>
      </w:r>
      <w:proofErr w:type="spellStart"/>
      <w:r w:rsidR="00A638A7" w:rsidRPr="007720BC">
        <w:rPr>
          <w:rFonts w:ascii="Times New Roman" w:hAnsi="Times New Roman" w:cs="Times New Roman"/>
          <w:sz w:val="24"/>
          <w:szCs w:val="24"/>
        </w:rPr>
        <w:t>eningkatkan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pelayanan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lastRenderedPageBreak/>
        <w:t>terhadap</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masyarakat</w:t>
      </w:r>
      <w:proofErr w:type="spellEnd"/>
      <w:r w:rsidR="00A638A7" w:rsidRPr="007720BC">
        <w:rPr>
          <w:rFonts w:ascii="Times New Roman" w:hAnsi="Times New Roman" w:cs="Times New Roman"/>
          <w:sz w:val="24"/>
          <w:szCs w:val="24"/>
        </w:rPr>
        <w:t xml:space="preserve"> di </w:t>
      </w:r>
      <w:proofErr w:type="spellStart"/>
      <w:r w:rsidR="00C76E11" w:rsidRPr="007720BC">
        <w:rPr>
          <w:rFonts w:ascii="Times New Roman" w:hAnsi="Times New Roman" w:cs="Times New Roman"/>
          <w:sz w:val="24"/>
          <w:szCs w:val="24"/>
        </w:rPr>
        <w:t>b</w:t>
      </w:r>
      <w:r w:rsidR="00A638A7" w:rsidRPr="007720BC">
        <w:rPr>
          <w:rFonts w:ascii="Times New Roman" w:hAnsi="Times New Roman" w:cs="Times New Roman"/>
          <w:sz w:val="24"/>
          <w:szCs w:val="24"/>
        </w:rPr>
        <w:t>idang</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Administrasi</w:t>
      </w:r>
      <w:proofErr w:type="spellEnd"/>
      <w:r w:rsidR="00A638A7" w:rsidRPr="007720BC">
        <w:rPr>
          <w:rFonts w:ascii="Times New Roman" w:hAnsi="Times New Roman" w:cs="Times New Roman"/>
          <w:sz w:val="24"/>
          <w:szCs w:val="24"/>
        </w:rPr>
        <w:t xml:space="preserve"> dan Kesehatan</w:t>
      </w:r>
      <w:r w:rsidR="00A638A7" w:rsidRPr="007720BC">
        <w:rPr>
          <w:rFonts w:ascii="Times New Roman" w:hAnsi="Times New Roman" w:cs="Times New Roman"/>
          <w:sz w:val="24"/>
          <w:szCs w:val="24"/>
          <w:lang w:val="en-US"/>
        </w:rPr>
        <w:t xml:space="preserve">; </w:t>
      </w:r>
      <w:r w:rsidR="00C76E11" w:rsidRPr="007720BC">
        <w:rPr>
          <w:rFonts w:ascii="Times New Roman" w:hAnsi="Times New Roman" w:cs="Times New Roman"/>
          <w:sz w:val="24"/>
          <w:szCs w:val="24"/>
          <w:lang w:val="en-US"/>
        </w:rPr>
        <w:t>m</w:t>
      </w:r>
      <w:proofErr w:type="spellStart"/>
      <w:r w:rsidR="00A638A7" w:rsidRPr="007720BC">
        <w:rPr>
          <w:rFonts w:ascii="Times New Roman" w:hAnsi="Times New Roman" w:cs="Times New Roman"/>
          <w:sz w:val="24"/>
          <w:szCs w:val="24"/>
        </w:rPr>
        <w:t>eningkatkan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kualitas</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taraf</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hidup</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masyarakat</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dalam</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segi</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keagamaan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kebudayaan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perdagangan</w:t>
      </w:r>
      <w:proofErr w:type="spellEnd"/>
      <w:r w:rsidR="00A638A7" w:rsidRPr="007720BC">
        <w:rPr>
          <w:rFonts w:ascii="Times New Roman" w:hAnsi="Times New Roman" w:cs="Times New Roman"/>
          <w:sz w:val="24"/>
          <w:szCs w:val="24"/>
        </w:rPr>
        <w:t xml:space="preserve"> dan </w:t>
      </w:r>
      <w:proofErr w:type="spellStart"/>
      <w:r w:rsidR="00A638A7" w:rsidRPr="007720BC">
        <w:rPr>
          <w:rFonts w:ascii="Times New Roman" w:hAnsi="Times New Roman" w:cs="Times New Roman"/>
          <w:sz w:val="24"/>
          <w:szCs w:val="24"/>
        </w:rPr>
        <w:t>pertanian</w:t>
      </w:r>
      <w:proofErr w:type="spellEnd"/>
      <w:r w:rsidR="00A638A7" w:rsidRPr="007720BC">
        <w:rPr>
          <w:rFonts w:ascii="Times New Roman" w:hAnsi="Times New Roman" w:cs="Times New Roman"/>
          <w:sz w:val="24"/>
          <w:szCs w:val="24"/>
        </w:rPr>
        <w:t>.</w:t>
      </w:r>
      <w:r w:rsidR="001C718A" w:rsidRPr="007720BC">
        <w:rPr>
          <w:rFonts w:ascii="Times New Roman" w:hAnsi="Times New Roman" w:cs="Times New Roman"/>
          <w:sz w:val="24"/>
          <w:szCs w:val="24"/>
        </w:rPr>
        <w:t xml:space="preserve"> </w:t>
      </w:r>
      <w:r w:rsidR="00A17183" w:rsidRPr="007720BC">
        <w:rPr>
          <w:rFonts w:ascii="Times New Roman" w:hAnsi="Times New Roman" w:cs="Times New Roman"/>
          <w:sz w:val="24"/>
          <w:szCs w:val="24"/>
          <w:lang w:val="en-US"/>
        </w:rPr>
        <w:t xml:space="preserve">Adapun </w:t>
      </w:r>
      <w:proofErr w:type="spellStart"/>
      <w:r w:rsidR="00A17183" w:rsidRPr="007720BC">
        <w:rPr>
          <w:rFonts w:ascii="Times New Roman" w:hAnsi="Times New Roman" w:cs="Times New Roman"/>
          <w:sz w:val="24"/>
          <w:szCs w:val="24"/>
          <w:lang w:val="en-US"/>
        </w:rPr>
        <w:t>mekanisme</w:t>
      </w:r>
      <w:proofErr w:type="spellEnd"/>
      <w:r w:rsidR="00A17183" w:rsidRPr="007720BC">
        <w:rPr>
          <w:rFonts w:ascii="Times New Roman" w:hAnsi="Times New Roman" w:cs="Times New Roman"/>
          <w:sz w:val="24"/>
          <w:szCs w:val="24"/>
          <w:lang w:val="en-US"/>
        </w:rPr>
        <w:t xml:space="preserve"> </w:t>
      </w:r>
      <w:proofErr w:type="spellStart"/>
      <w:r w:rsidR="00A17183" w:rsidRPr="007720BC">
        <w:rPr>
          <w:rFonts w:ascii="Times New Roman" w:hAnsi="Times New Roman" w:cs="Times New Roman"/>
          <w:sz w:val="24"/>
          <w:szCs w:val="24"/>
          <w:lang w:val="en-US"/>
        </w:rPr>
        <w:t>pengelolaan</w:t>
      </w:r>
      <w:proofErr w:type="spellEnd"/>
      <w:r w:rsidR="00A17183" w:rsidRPr="007720BC">
        <w:rPr>
          <w:rFonts w:ascii="Times New Roman" w:hAnsi="Times New Roman" w:cs="Times New Roman"/>
          <w:sz w:val="24"/>
          <w:szCs w:val="24"/>
          <w:lang w:val="en-US"/>
        </w:rPr>
        <w:t xml:space="preserve"> Kampung KB Desa </w:t>
      </w:r>
      <w:proofErr w:type="spellStart"/>
      <w:r w:rsidR="00A17183" w:rsidRPr="007720BC">
        <w:rPr>
          <w:rFonts w:ascii="Times New Roman" w:hAnsi="Times New Roman" w:cs="Times New Roman"/>
          <w:sz w:val="24"/>
          <w:szCs w:val="24"/>
          <w:lang w:val="en-US"/>
        </w:rPr>
        <w:t>Mongpok</w:t>
      </w:r>
      <w:proofErr w:type="spellEnd"/>
      <w:r w:rsidR="00A17183" w:rsidRPr="007720BC">
        <w:rPr>
          <w:rFonts w:ascii="Times New Roman" w:hAnsi="Times New Roman" w:cs="Times New Roman"/>
          <w:sz w:val="24"/>
          <w:szCs w:val="24"/>
          <w:lang w:val="en-US"/>
        </w:rPr>
        <w:t xml:space="preserve"> </w:t>
      </w:r>
      <w:proofErr w:type="spellStart"/>
      <w:r w:rsidR="00A17183" w:rsidRPr="007720BC">
        <w:rPr>
          <w:rFonts w:ascii="Times New Roman" w:hAnsi="Times New Roman" w:cs="Times New Roman"/>
          <w:sz w:val="24"/>
          <w:szCs w:val="24"/>
          <w:lang w:val="en-US"/>
        </w:rPr>
        <w:t>disajikan</w:t>
      </w:r>
      <w:proofErr w:type="spellEnd"/>
      <w:r w:rsidR="00A17183" w:rsidRPr="007720BC">
        <w:rPr>
          <w:rFonts w:ascii="Times New Roman" w:hAnsi="Times New Roman" w:cs="Times New Roman"/>
          <w:sz w:val="24"/>
          <w:szCs w:val="24"/>
          <w:lang w:val="en-US"/>
        </w:rPr>
        <w:t xml:space="preserve"> pada </w:t>
      </w:r>
      <w:proofErr w:type="spellStart"/>
      <w:r w:rsidR="00A17183" w:rsidRPr="007720BC">
        <w:rPr>
          <w:rFonts w:ascii="Times New Roman" w:hAnsi="Times New Roman" w:cs="Times New Roman"/>
          <w:sz w:val="24"/>
          <w:szCs w:val="24"/>
          <w:lang w:val="en-US"/>
        </w:rPr>
        <w:t>gambar</w:t>
      </w:r>
      <w:proofErr w:type="spellEnd"/>
      <w:r w:rsidR="00A17183" w:rsidRPr="007720BC">
        <w:rPr>
          <w:rFonts w:ascii="Times New Roman" w:hAnsi="Times New Roman" w:cs="Times New Roman"/>
          <w:sz w:val="24"/>
          <w:szCs w:val="24"/>
          <w:lang w:val="en-US"/>
        </w:rPr>
        <w:t xml:space="preserve"> 3 </w:t>
      </w:r>
      <w:proofErr w:type="spellStart"/>
      <w:r w:rsidR="00A17183" w:rsidRPr="007720BC">
        <w:rPr>
          <w:rFonts w:ascii="Times New Roman" w:hAnsi="Times New Roman" w:cs="Times New Roman"/>
          <w:sz w:val="24"/>
          <w:szCs w:val="24"/>
          <w:lang w:val="en-US"/>
        </w:rPr>
        <w:t>berikut</w:t>
      </w:r>
      <w:proofErr w:type="spellEnd"/>
      <w:r w:rsidR="00A17183" w:rsidRPr="007720BC">
        <w:rPr>
          <w:rFonts w:ascii="Times New Roman" w:hAnsi="Times New Roman" w:cs="Times New Roman"/>
          <w:sz w:val="24"/>
          <w:szCs w:val="24"/>
          <w:lang w:val="en-US"/>
        </w:rPr>
        <w:t xml:space="preserve"> </w:t>
      </w:r>
      <w:proofErr w:type="spellStart"/>
      <w:r w:rsidR="00A17183" w:rsidRPr="007720BC">
        <w:rPr>
          <w:rFonts w:ascii="Times New Roman" w:hAnsi="Times New Roman" w:cs="Times New Roman"/>
          <w:sz w:val="24"/>
          <w:szCs w:val="24"/>
          <w:lang w:val="en-US"/>
        </w:rPr>
        <w:t>ini</w:t>
      </w:r>
      <w:proofErr w:type="spellEnd"/>
      <w:r w:rsidR="00A17183" w:rsidRPr="007720BC">
        <w:rPr>
          <w:rFonts w:ascii="Times New Roman" w:hAnsi="Times New Roman" w:cs="Times New Roman"/>
          <w:sz w:val="24"/>
          <w:szCs w:val="24"/>
          <w:lang w:val="en-US"/>
        </w:rPr>
        <w:t>.</w:t>
      </w:r>
    </w:p>
    <w:p w14:paraId="6766B41F" w14:textId="77777777" w:rsidR="000459C2" w:rsidRPr="007720BC" w:rsidRDefault="000459C2" w:rsidP="0084284E">
      <w:pPr>
        <w:shd w:val="clear" w:color="auto" w:fill="FFFFFF"/>
        <w:spacing w:after="0" w:line="240" w:lineRule="auto"/>
        <w:ind w:firstLine="720"/>
        <w:contextualSpacing/>
        <w:jc w:val="center"/>
        <w:textAlignment w:val="baseline"/>
        <w:rPr>
          <w:rFonts w:ascii="Times New Roman" w:hAnsi="Times New Roman" w:cs="Times New Roman"/>
          <w:b/>
          <w:bCs/>
          <w:sz w:val="24"/>
          <w:szCs w:val="24"/>
          <w:lang w:val="fi-FI"/>
        </w:rPr>
      </w:pPr>
    </w:p>
    <w:p w14:paraId="585CE7A6" w14:textId="77777777" w:rsidR="000459C2" w:rsidRPr="007720BC" w:rsidRDefault="0084284E" w:rsidP="0084284E">
      <w:pPr>
        <w:shd w:val="clear" w:color="auto" w:fill="FFFFFF"/>
        <w:spacing w:after="0" w:line="240" w:lineRule="auto"/>
        <w:ind w:firstLine="720"/>
        <w:contextualSpacing/>
        <w:jc w:val="center"/>
        <w:textAlignment w:val="baseline"/>
        <w:rPr>
          <w:rFonts w:ascii="Times New Roman" w:hAnsi="Times New Roman" w:cs="Times New Roman"/>
          <w:b/>
          <w:bCs/>
          <w:sz w:val="20"/>
          <w:szCs w:val="20"/>
          <w:lang w:val="fi-FI"/>
        </w:rPr>
      </w:pPr>
      <w:r w:rsidRPr="007720BC">
        <w:rPr>
          <w:rFonts w:ascii="Times New Roman" w:hAnsi="Times New Roman" w:cs="Times New Roman"/>
          <w:b/>
          <w:bCs/>
          <w:sz w:val="20"/>
          <w:szCs w:val="20"/>
          <w:lang w:val="fi-FI"/>
        </w:rPr>
        <w:t xml:space="preserve">Gambar 3. </w:t>
      </w:r>
    </w:p>
    <w:p w14:paraId="14FCD5DD" w14:textId="6A18E6D8" w:rsidR="0084284E" w:rsidRDefault="0084284E" w:rsidP="0084284E">
      <w:pPr>
        <w:shd w:val="clear" w:color="auto" w:fill="FFFFFF"/>
        <w:spacing w:after="0" w:line="240" w:lineRule="auto"/>
        <w:ind w:firstLine="720"/>
        <w:contextualSpacing/>
        <w:jc w:val="center"/>
        <w:textAlignment w:val="baseline"/>
        <w:rPr>
          <w:rFonts w:ascii="Times New Roman" w:hAnsi="Times New Roman" w:cs="Times New Roman"/>
          <w:b/>
          <w:bCs/>
          <w:sz w:val="20"/>
          <w:szCs w:val="20"/>
          <w:lang w:val="sv-SE"/>
        </w:rPr>
      </w:pPr>
      <w:r w:rsidRPr="007720BC">
        <w:rPr>
          <w:rFonts w:ascii="Times New Roman" w:hAnsi="Times New Roman" w:cs="Times New Roman"/>
          <w:b/>
          <w:bCs/>
          <w:sz w:val="20"/>
          <w:szCs w:val="20"/>
          <w:lang w:val="fi-FI"/>
        </w:rPr>
        <w:t xml:space="preserve">Mekanisme pengelolaan </w:t>
      </w:r>
      <w:r w:rsidRPr="007720BC">
        <w:rPr>
          <w:rFonts w:ascii="Times New Roman" w:hAnsi="Times New Roman" w:cs="Times New Roman"/>
          <w:b/>
          <w:bCs/>
          <w:sz w:val="20"/>
          <w:szCs w:val="20"/>
          <w:lang w:val="sv-SE"/>
        </w:rPr>
        <w:t>Kampung KB Desa Mongpok</w:t>
      </w:r>
    </w:p>
    <w:p w14:paraId="0CCEDA10" w14:textId="77777777" w:rsidR="00B61E88" w:rsidRPr="007720BC" w:rsidRDefault="00B61E88" w:rsidP="0084284E">
      <w:pPr>
        <w:shd w:val="clear" w:color="auto" w:fill="FFFFFF"/>
        <w:spacing w:after="0" w:line="240" w:lineRule="auto"/>
        <w:ind w:firstLine="720"/>
        <w:contextualSpacing/>
        <w:jc w:val="center"/>
        <w:textAlignment w:val="baseline"/>
        <w:rPr>
          <w:rFonts w:ascii="Times New Roman" w:hAnsi="Times New Roman" w:cs="Times New Roman"/>
          <w:b/>
          <w:bCs/>
          <w:sz w:val="20"/>
          <w:szCs w:val="20"/>
          <w:lang w:val="sv-SE"/>
        </w:rPr>
      </w:pPr>
    </w:p>
    <w:p w14:paraId="5A60C620" w14:textId="4FF2E888" w:rsidR="00F23EBF" w:rsidRPr="007720BC" w:rsidRDefault="00F23EBF" w:rsidP="00CB2900">
      <w:pPr>
        <w:shd w:val="clear" w:color="auto" w:fill="FFFFFF"/>
        <w:spacing w:after="0" w:line="240" w:lineRule="auto"/>
        <w:contextualSpacing/>
        <w:jc w:val="both"/>
        <w:textAlignment w:val="baseline"/>
        <w:rPr>
          <w:rFonts w:ascii="Times New Roman" w:hAnsi="Times New Roman" w:cs="Times New Roman"/>
          <w:sz w:val="24"/>
          <w:szCs w:val="24"/>
          <w:lang w:val="en-US"/>
        </w:rPr>
      </w:pPr>
      <w:r w:rsidRPr="007720BC">
        <w:rPr>
          <w:rFonts w:ascii="Times New Roman" w:hAnsi="Times New Roman" w:cs="Times New Roman"/>
          <w:noProof/>
          <w:sz w:val="24"/>
          <w:szCs w:val="24"/>
          <w:lang w:val="en-US"/>
        </w:rPr>
        <w:drawing>
          <wp:inline distT="0" distB="0" distL="0" distR="0" wp14:anchorId="34CF81F9" wp14:editId="18314713">
            <wp:extent cx="5581290" cy="2409825"/>
            <wp:effectExtent l="0" t="19050" r="635" b="9525"/>
            <wp:docPr id="137871841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88656F5" w14:textId="54C7B2C8" w:rsidR="00D6252E" w:rsidRPr="007720BC" w:rsidRDefault="00D6252E" w:rsidP="00B61E88">
      <w:pPr>
        <w:shd w:val="clear" w:color="auto" w:fill="FFFFFF"/>
        <w:spacing w:after="0" w:line="240" w:lineRule="auto"/>
        <w:contextualSpacing/>
        <w:jc w:val="center"/>
        <w:textAlignment w:val="baseline"/>
        <w:rPr>
          <w:rFonts w:ascii="Times New Roman" w:hAnsi="Times New Roman" w:cs="Times New Roman"/>
          <w:b/>
          <w:bCs/>
          <w:sz w:val="20"/>
          <w:szCs w:val="20"/>
          <w:lang w:val="sv-SE"/>
        </w:rPr>
      </w:pPr>
      <w:r w:rsidRPr="007720BC">
        <w:rPr>
          <w:rFonts w:ascii="Times New Roman" w:hAnsi="Times New Roman" w:cs="Times New Roman"/>
          <w:b/>
          <w:bCs/>
          <w:sz w:val="20"/>
          <w:szCs w:val="20"/>
          <w:lang w:val="sv-SE"/>
        </w:rPr>
        <w:t>Sumber: Kantor Desa Mongpok Kabupaten Serang</w:t>
      </w:r>
      <w:r w:rsidR="000459C2" w:rsidRPr="007720BC">
        <w:rPr>
          <w:rFonts w:ascii="Times New Roman" w:hAnsi="Times New Roman" w:cs="Times New Roman"/>
          <w:b/>
          <w:bCs/>
          <w:sz w:val="20"/>
          <w:szCs w:val="20"/>
          <w:lang w:val="sv-SE"/>
        </w:rPr>
        <w:t xml:space="preserve"> (2023)</w:t>
      </w:r>
    </w:p>
    <w:p w14:paraId="737ECC51" w14:textId="77777777" w:rsidR="00B64E52" w:rsidRPr="007720BC" w:rsidRDefault="00B64E52" w:rsidP="007305D4">
      <w:pPr>
        <w:shd w:val="clear" w:color="auto" w:fill="FFFFFF"/>
        <w:spacing w:after="0" w:line="240" w:lineRule="auto"/>
        <w:contextualSpacing/>
        <w:jc w:val="center"/>
        <w:textAlignment w:val="baseline"/>
        <w:rPr>
          <w:rFonts w:ascii="Times New Roman" w:hAnsi="Times New Roman" w:cs="Times New Roman"/>
          <w:b/>
          <w:bCs/>
          <w:sz w:val="20"/>
          <w:szCs w:val="20"/>
          <w:lang w:val="sv-SE"/>
        </w:rPr>
      </w:pPr>
    </w:p>
    <w:p w14:paraId="2B3F4504" w14:textId="13F4D1CF" w:rsidR="00A638A7" w:rsidRPr="007720BC" w:rsidRDefault="00A638A7" w:rsidP="00CB2900">
      <w:pPr>
        <w:pStyle w:val="ListParagraph"/>
        <w:widowControl/>
        <w:numPr>
          <w:ilvl w:val="0"/>
          <w:numId w:val="3"/>
        </w:numPr>
        <w:shd w:val="clear" w:color="auto" w:fill="FFFFFF"/>
        <w:autoSpaceDE/>
        <w:autoSpaceDN/>
        <w:spacing w:before="0"/>
        <w:ind w:left="360" w:right="-1"/>
        <w:contextualSpacing/>
        <w:textAlignment w:val="baseline"/>
        <w:rPr>
          <w:sz w:val="24"/>
          <w:szCs w:val="24"/>
          <w:lang w:val="en-US"/>
        </w:rPr>
      </w:pPr>
      <w:proofErr w:type="spellStart"/>
      <w:r w:rsidRPr="007720BC">
        <w:rPr>
          <w:sz w:val="24"/>
          <w:szCs w:val="24"/>
          <w:lang w:val="en-US"/>
        </w:rPr>
        <w:t>Sekretariat</w:t>
      </w:r>
      <w:proofErr w:type="spellEnd"/>
      <w:r w:rsidRPr="007720BC">
        <w:rPr>
          <w:sz w:val="24"/>
          <w:szCs w:val="24"/>
          <w:lang w:val="en-US"/>
        </w:rPr>
        <w:t xml:space="preserve"> Kampung KB</w:t>
      </w:r>
      <w:r w:rsidR="00D6252E" w:rsidRPr="007720BC">
        <w:rPr>
          <w:sz w:val="24"/>
          <w:szCs w:val="24"/>
          <w:lang w:val="en-US"/>
        </w:rPr>
        <w:t xml:space="preserve"> </w:t>
      </w:r>
      <w:proofErr w:type="spellStart"/>
      <w:r w:rsidR="00D6252E" w:rsidRPr="007720BC">
        <w:rPr>
          <w:sz w:val="24"/>
          <w:szCs w:val="24"/>
          <w:lang w:val="en-US"/>
        </w:rPr>
        <w:t>merupakan</w:t>
      </w:r>
      <w:proofErr w:type="spellEnd"/>
      <w:r w:rsidR="00D6252E" w:rsidRPr="007720BC">
        <w:rPr>
          <w:sz w:val="24"/>
          <w:szCs w:val="24"/>
          <w:lang w:val="en-US"/>
        </w:rPr>
        <w:t xml:space="preserve"> </w:t>
      </w:r>
      <w:proofErr w:type="spellStart"/>
      <w:r w:rsidRPr="007720BC">
        <w:rPr>
          <w:sz w:val="24"/>
          <w:szCs w:val="24"/>
          <w:lang w:val="en-US"/>
        </w:rPr>
        <w:t>pusat</w:t>
      </w:r>
      <w:proofErr w:type="spellEnd"/>
      <w:r w:rsidRPr="007720BC">
        <w:rPr>
          <w:sz w:val="24"/>
          <w:szCs w:val="24"/>
          <w:lang w:val="en-US"/>
        </w:rPr>
        <w:t xml:space="preserve"> </w:t>
      </w:r>
      <w:proofErr w:type="spellStart"/>
      <w:r w:rsidRPr="007720BC">
        <w:rPr>
          <w:sz w:val="24"/>
          <w:szCs w:val="24"/>
          <w:lang w:val="en-US"/>
        </w:rPr>
        <w:t>informasi</w:t>
      </w:r>
      <w:proofErr w:type="spellEnd"/>
      <w:r w:rsidRPr="007720BC">
        <w:rPr>
          <w:sz w:val="24"/>
          <w:szCs w:val="24"/>
          <w:lang w:val="en-US"/>
        </w:rPr>
        <w:t xml:space="preserve"> dan </w:t>
      </w:r>
      <w:proofErr w:type="spellStart"/>
      <w:r w:rsidRPr="007720BC">
        <w:rPr>
          <w:sz w:val="24"/>
          <w:szCs w:val="24"/>
          <w:lang w:val="en-US"/>
        </w:rPr>
        <w:t>sosialisasi</w:t>
      </w:r>
      <w:proofErr w:type="spellEnd"/>
      <w:r w:rsidRPr="007720BC">
        <w:rPr>
          <w:sz w:val="24"/>
          <w:szCs w:val="24"/>
          <w:lang w:val="en-US"/>
        </w:rPr>
        <w:t xml:space="preserve"> </w:t>
      </w:r>
      <w:proofErr w:type="spellStart"/>
      <w:r w:rsidRPr="007720BC">
        <w:rPr>
          <w:sz w:val="24"/>
          <w:szCs w:val="24"/>
          <w:lang w:val="en-US"/>
        </w:rPr>
        <w:t>penanganan</w:t>
      </w:r>
      <w:proofErr w:type="spellEnd"/>
      <w:r w:rsidRPr="007720BC">
        <w:rPr>
          <w:sz w:val="24"/>
          <w:szCs w:val="24"/>
          <w:lang w:val="en-US"/>
        </w:rPr>
        <w:t xml:space="preserve"> dan </w:t>
      </w:r>
      <w:proofErr w:type="spellStart"/>
      <w:r w:rsidRPr="007720BC">
        <w:rPr>
          <w:sz w:val="24"/>
          <w:szCs w:val="24"/>
          <w:lang w:val="en-US"/>
        </w:rPr>
        <w:t>pencegahan</w:t>
      </w:r>
      <w:proofErr w:type="spellEnd"/>
      <w:r w:rsidRPr="007720BC">
        <w:rPr>
          <w:sz w:val="24"/>
          <w:szCs w:val="24"/>
          <w:lang w:val="en-US"/>
        </w:rPr>
        <w:t xml:space="preserve"> stunting</w:t>
      </w:r>
      <w:r w:rsidR="00F13B9B" w:rsidRPr="007720BC">
        <w:rPr>
          <w:sz w:val="24"/>
          <w:szCs w:val="24"/>
          <w:lang w:val="en-US"/>
        </w:rPr>
        <w:t xml:space="preserve"> di Desa </w:t>
      </w:r>
      <w:proofErr w:type="spellStart"/>
      <w:r w:rsidR="00F13B9B" w:rsidRPr="007720BC">
        <w:rPr>
          <w:sz w:val="24"/>
          <w:szCs w:val="24"/>
          <w:lang w:val="en-US"/>
        </w:rPr>
        <w:t>Mongpok</w:t>
      </w:r>
      <w:proofErr w:type="spellEnd"/>
      <w:r w:rsidR="00F13B9B" w:rsidRPr="007720BC">
        <w:rPr>
          <w:sz w:val="24"/>
          <w:szCs w:val="24"/>
          <w:lang w:val="en-US"/>
        </w:rPr>
        <w:t xml:space="preserve"> </w:t>
      </w:r>
      <w:proofErr w:type="spellStart"/>
      <w:r w:rsidR="00F13B9B" w:rsidRPr="007720BC">
        <w:rPr>
          <w:sz w:val="24"/>
          <w:szCs w:val="24"/>
          <w:lang w:val="en-US"/>
        </w:rPr>
        <w:t>Kecamatan</w:t>
      </w:r>
      <w:proofErr w:type="spellEnd"/>
      <w:r w:rsidR="00F13B9B" w:rsidRPr="007720BC">
        <w:rPr>
          <w:sz w:val="24"/>
          <w:szCs w:val="24"/>
          <w:lang w:val="en-US"/>
        </w:rPr>
        <w:t xml:space="preserve"> </w:t>
      </w:r>
      <w:proofErr w:type="spellStart"/>
      <w:r w:rsidR="00F13B9B" w:rsidRPr="007720BC">
        <w:rPr>
          <w:sz w:val="24"/>
          <w:szCs w:val="24"/>
          <w:lang w:val="en-US"/>
        </w:rPr>
        <w:t>Cikeusal</w:t>
      </w:r>
      <w:proofErr w:type="spellEnd"/>
      <w:r w:rsidR="00F13B9B" w:rsidRPr="007720BC">
        <w:rPr>
          <w:sz w:val="24"/>
          <w:szCs w:val="24"/>
          <w:lang w:val="en-US"/>
        </w:rPr>
        <w:t>.</w:t>
      </w:r>
    </w:p>
    <w:p w14:paraId="354765A6" w14:textId="77777777" w:rsidR="00A638A7" w:rsidRPr="007720BC" w:rsidRDefault="00A638A7" w:rsidP="00CB2900">
      <w:pPr>
        <w:pStyle w:val="ListParagraph"/>
        <w:widowControl/>
        <w:numPr>
          <w:ilvl w:val="0"/>
          <w:numId w:val="3"/>
        </w:numPr>
        <w:shd w:val="clear" w:color="auto" w:fill="FFFFFF"/>
        <w:autoSpaceDE/>
        <w:autoSpaceDN/>
        <w:spacing w:before="0"/>
        <w:ind w:left="360" w:right="-1"/>
        <w:contextualSpacing/>
        <w:textAlignment w:val="baseline"/>
        <w:rPr>
          <w:sz w:val="24"/>
          <w:szCs w:val="24"/>
          <w:lang w:val="en-US"/>
        </w:rPr>
      </w:pPr>
      <w:proofErr w:type="spellStart"/>
      <w:r w:rsidRPr="007720BC">
        <w:rPr>
          <w:sz w:val="24"/>
          <w:szCs w:val="24"/>
          <w:lang w:val="en-US"/>
        </w:rPr>
        <w:t>Kelompok</w:t>
      </w:r>
      <w:proofErr w:type="spellEnd"/>
      <w:r w:rsidRPr="007720BC">
        <w:rPr>
          <w:sz w:val="24"/>
          <w:szCs w:val="24"/>
          <w:lang w:val="en-US"/>
        </w:rPr>
        <w:t xml:space="preserve"> </w:t>
      </w:r>
      <w:proofErr w:type="spellStart"/>
      <w:r w:rsidRPr="007720BC">
        <w:rPr>
          <w:sz w:val="24"/>
          <w:szCs w:val="24"/>
          <w:lang w:val="en-US"/>
        </w:rPr>
        <w:t>Kerja</w:t>
      </w:r>
      <w:proofErr w:type="spellEnd"/>
      <w:r w:rsidRPr="007720BC">
        <w:rPr>
          <w:sz w:val="24"/>
          <w:szCs w:val="24"/>
          <w:lang w:val="en-US"/>
        </w:rPr>
        <w:t xml:space="preserve">. </w:t>
      </w:r>
      <w:proofErr w:type="spellStart"/>
      <w:r w:rsidRPr="007720BC">
        <w:rPr>
          <w:sz w:val="24"/>
          <w:szCs w:val="24"/>
          <w:lang w:val="en-US"/>
        </w:rPr>
        <w:t>Mengacu</w:t>
      </w:r>
      <w:proofErr w:type="spellEnd"/>
      <w:r w:rsidRPr="007720BC">
        <w:rPr>
          <w:sz w:val="24"/>
          <w:szCs w:val="24"/>
          <w:lang w:val="en-US"/>
        </w:rPr>
        <w:t xml:space="preserve"> pada </w:t>
      </w:r>
      <w:proofErr w:type="spellStart"/>
      <w:r w:rsidRPr="007720BC">
        <w:rPr>
          <w:sz w:val="24"/>
          <w:szCs w:val="24"/>
          <w:lang w:val="en-US"/>
        </w:rPr>
        <w:t>empat</w:t>
      </w:r>
      <w:proofErr w:type="spellEnd"/>
      <w:r w:rsidRPr="007720BC">
        <w:rPr>
          <w:sz w:val="24"/>
          <w:szCs w:val="24"/>
          <w:lang w:val="en-US"/>
        </w:rPr>
        <w:t xml:space="preserve"> </w:t>
      </w:r>
      <w:proofErr w:type="spellStart"/>
      <w:r w:rsidRPr="007720BC">
        <w:rPr>
          <w:sz w:val="24"/>
          <w:szCs w:val="24"/>
          <w:lang w:val="en-US"/>
        </w:rPr>
        <w:t>fungsi</w:t>
      </w:r>
      <w:proofErr w:type="spellEnd"/>
      <w:r w:rsidRPr="007720BC">
        <w:rPr>
          <w:sz w:val="24"/>
          <w:szCs w:val="24"/>
          <w:lang w:val="en-US"/>
        </w:rPr>
        <w:t xml:space="preserve"> </w:t>
      </w:r>
      <w:proofErr w:type="spellStart"/>
      <w:r w:rsidRPr="007720BC">
        <w:rPr>
          <w:sz w:val="24"/>
          <w:szCs w:val="24"/>
          <w:lang w:val="en-US"/>
        </w:rPr>
        <w:t>yaitu</w:t>
      </w:r>
      <w:proofErr w:type="spellEnd"/>
      <w:r w:rsidRPr="007720BC">
        <w:rPr>
          <w:sz w:val="24"/>
          <w:szCs w:val="24"/>
          <w:lang w:val="en-US"/>
        </w:rPr>
        <w:t xml:space="preserve"> </w:t>
      </w:r>
      <w:proofErr w:type="gramStart"/>
      <w:r w:rsidRPr="007720BC">
        <w:rPr>
          <w:sz w:val="24"/>
          <w:szCs w:val="24"/>
          <w:lang w:val="en-US"/>
        </w:rPr>
        <w:t>1)</w:t>
      </w:r>
      <w:r w:rsidRPr="007720BC">
        <w:rPr>
          <w:sz w:val="24"/>
          <w:szCs w:val="24"/>
        </w:rPr>
        <w:t>Penyediaan</w:t>
      </w:r>
      <w:proofErr w:type="gramEnd"/>
      <w:r w:rsidRPr="007720BC">
        <w:rPr>
          <w:sz w:val="24"/>
          <w:szCs w:val="24"/>
        </w:rPr>
        <w:t xml:space="preserve"> data keluarga dan data kependudukan</w:t>
      </w:r>
      <w:r w:rsidRPr="007720BC">
        <w:rPr>
          <w:sz w:val="24"/>
          <w:szCs w:val="24"/>
          <w:lang w:val="en-US"/>
        </w:rPr>
        <w:t>; 2)</w:t>
      </w:r>
      <w:r w:rsidRPr="007720BC">
        <w:rPr>
          <w:sz w:val="24"/>
          <w:szCs w:val="24"/>
        </w:rPr>
        <w:t>Perubahan perilaku keluarga</w:t>
      </w:r>
      <w:r w:rsidRPr="007720BC">
        <w:rPr>
          <w:sz w:val="24"/>
          <w:szCs w:val="24"/>
          <w:lang w:val="en-US"/>
        </w:rPr>
        <w:t>; 3)</w:t>
      </w:r>
      <w:r w:rsidRPr="007720BC">
        <w:rPr>
          <w:sz w:val="24"/>
          <w:szCs w:val="24"/>
        </w:rPr>
        <w:t>Peningkatan cakupan layanan dan rujukan pada keluarg</w:t>
      </w:r>
      <w:r w:rsidRPr="007720BC">
        <w:rPr>
          <w:sz w:val="24"/>
          <w:szCs w:val="24"/>
          <w:lang w:val="en-US"/>
        </w:rPr>
        <w:t>a; 4)</w:t>
      </w:r>
      <w:r w:rsidRPr="007720BC">
        <w:rPr>
          <w:sz w:val="24"/>
          <w:szCs w:val="24"/>
        </w:rPr>
        <w:t>Penataan lingkungan keluarga dan masyarakat</w:t>
      </w:r>
    </w:p>
    <w:p w14:paraId="4BC958E2" w14:textId="6C29740E" w:rsidR="00D6252E" w:rsidRPr="007720BC" w:rsidRDefault="00A638A7" w:rsidP="00CB2900">
      <w:pPr>
        <w:pStyle w:val="ListParagraph"/>
        <w:widowControl/>
        <w:numPr>
          <w:ilvl w:val="0"/>
          <w:numId w:val="3"/>
        </w:numPr>
        <w:shd w:val="clear" w:color="auto" w:fill="FFFFFF"/>
        <w:autoSpaceDE/>
        <w:autoSpaceDN/>
        <w:spacing w:before="0"/>
        <w:ind w:left="360" w:right="-1"/>
        <w:contextualSpacing/>
        <w:textAlignment w:val="baseline"/>
        <w:rPr>
          <w:sz w:val="24"/>
          <w:szCs w:val="24"/>
          <w:lang w:val="en-US"/>
        </w:rPr>
      </w:pPr>
      <w:proofErr w:type="spellStart"/>
      <w:r w:rsidRPr="007720BC">
        <w:rPr>
          <w:sz w:val="24"/>
          <w:szCs w:val="24"/>
          <w:lang w:val="en-US"/>
        </w:rPr>
        <w:t>Rencana</w:t>
      </w:r>
      <w:proofErr w:type="spellEnd"/>
      <w:r w:rsidRPr="007720BC">
        <w:rPr>
          <w:sz w:val="24"/>
          <w:szCs w:val="24"/>
          <w:lang w:val="en-US"/>
        </w:rPr>
        <w:t xml:space="preserve"> </w:t>
      </w:r>
      <w:proofErr w:type="spellStart"/>
      <w:r w:rsidRPr="007720BC">
        <w:rPr>
          <w:sz w:val="24"/>
          <w:szCs w:val="24"/>
          <w:lang w:val="en-US"/>
        </w:rPr>
        <w:t>Kerja</w:t>
      </w:r>
      <w:proofErr w:type="spellEnd"/>
      <w:r w:rsidRPr="007720BC">
        <w:rPr>
          <w:sz w:val="24"/>
          <w:szCs w:val="24"/>
          <w:lang w:val="en-US"/>
        </w:rPr>
        <w:t xml:space="preserve"> Masyarakat</w:t>
      </w:r>
      <w:r w:rsidR="007E50DF" w:rsidRPr="007720BC">
        <w:rPr>
          <w:sz w:val="24"/>
          <w:szCs w:val="24"/>
          <w:lang w:val="en-US"/>
        </w:rPr>
        <w:t xml:space="preserve"> (RKM)</w:t>
      </w:r>
      <w:r w:rsidRPr="007720BC">
        <w:rPr>
          <w:sz w:val="24"/>
          <w:szCs w:val="24"/>
          <w:lang w:val="en-US"/>
        </w:rPr>
        <w:t xml:space="preserve">. </w:t>
      </w:r>
      <w:proofErr w:type="spellStart"/>
      <w:r w:rsidRPr="007720BC">
        <w:rPr>
          <w:sz w:val="24"/>
          <w:szCs w:val="24"/>
          <w:lang w:val="en-US"/>
        </w:rPr>
        <w:t>Disusun</w:t>
      </w:r>
      <w:proofErr w:type="spellEnd"/>
      <w:r w:rsidRPr="007720BC">
        <w:rPr>
          <w:sz w:val="24"/>
          <w:szCs w:val="24"/>
          <w:lang w:val="en-US"/>
        </w:rPr>
        <w:t xml:space="preserve"> </w:t>
      </w:r>
      <w:proofErr w:type="spellStart"/>
      <w:r w:rsidRPr="007720BC">
        <w:rPr>
          <w:sz w:val="24"/>
          <w:szCs w:val="24"/>
          <w:lang w:val="en-US"/>
        </w:rPr>
        <w:t>berdasarkan</w:t>
      </w:r>
      <w:proofErr w:type="spellEnd"/>
      <w:r w:rsidRPr="007720BC">
        <w:rPr>
          <w:sz w:val="24"/>
          <w:szCs w:val="24"/>
          <w:lang w:val="en-US"/>
        </w:rPr>
        <w:t xml:space="preserve"> </w:t>
      </w:r>
      <w:r w:rsidRPr="007720BC">
        <w:rPr>
          <w:sz w:val="24"/>
          <w:szCs w:val="24"/>
        </w:rPr>
        <w:t>Pendataan Keluarga 2022 dan Pendataan R1 PUS Tahun 2022.</w:t>
      </w:r>
      <w:r w:rsidR="00D6252E" w:rsidRPr="007720BC">
        <w:rPr>
          <w:sz w:val="24"/>
          <w:szCs w:val="24"/>
          <w:lang w:val="en-US"/>
        </w:rPr>
        <w:t xml:space="preserve"> </w:t>
      </w:r>
      <w:r w:rsidRPr="007720BC">
        <w:rPr>
          <w:sz w:val="24"/>
          <w:szCs w:val="24"/>
        </w:rPr>
        <w:t>RKM</w:t>
      </w:r>
      <w:r w:rsidR="007E50DF" w:rsidRPr="007720BC">
        <w:rPr>
          <w:sz w:val="24"/>
          <w:szCs w:val="24"/>
          <w:lang w:val="en-US"/>
        </w:rPr>
        <w:t xml:space="preserve"> </w:t>
      </w:r>
      <w:r w:rsidRPr="007720BC">
        <w:rPr>
          <w:sz w:val="24"/>
          <w:szCs w:val="24"/>
        </w:rPr>
        <w:t>dibuat di setiap awal tahun melalui rapat koordinasi pokja Kampung KB Desa Mongpok dengan para pemangku kebijakan. RKM dibuat berdasarkan</w:t>
      </w:r>
      <w:r w:rsidR="007E50DF" w:rsidRPr="007720BC">
        <w:rPr>
          <w:sz w:val="24"/>
          <w:szCs w:val="24"/>
          <w:lang w:val="en-US"/>
        </w:rPr>
        <w:t xml:space="preserve"> </w:t>
      </w:r>
      <w:r w:rsidRPr="007720BC">
        <w:rPr>
          <w:sz w:val="24"/>
          <w:szCs w:val="24"/>
        </w:rPr>
        <w:t>seksi di pokja Kampung KB dimana masing - masing seksi memetakan potensi dan masalah yang ada di Kampung KB Mongpok serta menuangkan solusi melalui penyusunan RKM yang nantinya akan di musyawarahkan melalui Forum Desa.</w:t>
      </w:r>
    </w:p>
    <w:p w14:paraId="54E7EDC1" w14:textId="7B91CB05" w:rsidR="00A638A7" w:rsidRPr="007720BC" w:rsidRDefault="00A638A7" w:rsidP="00CB2900">
      <w:pPr>
        <w:pStyle w:val="ListParagraph"/>
        <w:widowControl/>
        <w:numPr>
          <w:ilvl w:val="0"/>
          <w:numId w:val="3"/>
        </w:numPr>
        <w:shd w:val="clear" w:color="auto" w:fill="FFFFFF"/>
        <w:autoSpaceDE/>
        <w:autoSpaceDN/>
        <w:spacing w:before="0"/>
        <w:ind w:left="360" w:right="-1"/>
        <w:contextualSpacing/>
        <w:textAlignment w:val="baseline"/>
        <w:rPr>
          <w:sz w:val="24"/>
          <w:szCs w:val="24"/>
          <w:lang w:val="en-US"/>
        </w:rPr>
      </w:pPr>
      <w:r w:rsidRPr="007720BC">
        <w:rPr>
          <w:bCs/>
          <w:sz w:val="24"/>
          <w:szCs w:val="24"/>
        </w:rPr>
        <w:t xml:space="preserve">Dalam menjalankan </w:t>
      </w:r>
      <w:r w:rsidR="007E50DF" w:rsidRPr="007720BC">
        <w:rPr>
          <w:bCs/>
          <w:sz w:val="24"/>
          <w:szCs w:val="24"/>
          <w:lang w:val="en-US"/>
        </w:rPr>
        <w:t>o</w:t>
      </w:r>
      <w:r w:rsidRPr="007720BC">
        <w:rPr>
          <w:bCs/>
          <w:sz w:val="24"/>
          <w:szCs w:val="24"/>
        </w:rPr>
        <w:t xml:space="preserve">perasional Kampung KB, Kelompok Kerja </w:t>
      </w:r>
      <w:r w:rsidR="00034792" w:rsidRPr="007720BC">
        <w:rPr>
          <w:bCs/>
          <w:sz w:val="24"/>
          <w:szCs w:val="24"/>
        </w:rPr>
        <w:t>yang telah dibentuk</w:t>
      </w:r>
      <w:r w:rsidRPr="007720BC">
        <w:rPr>
          <w:bCs/>
          <w:sz w:val="24"/>
          <w:szCs w:val="24"/>
        </w:rPr>
        <w:t xml:space="preserve"> wajib menjalankan </w:t>
      </w:r>
      <w:r w:rsidR="00034792" w:rsidRPr="007720BC">
        <w:rPr>
          <w:bCs/>
          <w:sz w:val="24"/>
          <w:szCs w:val="24"/>
        </w:rPr>
        <w:t xml:space="preserve">mekanisme operasional </w:t>
      </w:r>
      <w:r w:rsidRPr="007720BC">
        <w:rPr>
          <w:bCs/>
          <w:sz w:val="24"/>
          <w:szCs w:val="24"/>
        </w:rPr>
        <w:t>agar dapat berjalan sesuai dengan petunjuk teknis pengelolaan Kampung KB yang dikeluarkan oleh BKKBN melalui</w:t>
      </w:r>
      <w:r w:rsidR="00034792" w:rsidRPr="007720BC">
        <w:rPr>
          <w:bCs/>
          <w:sz w:val="24"/>
          <w:szCs w:val="24"/>
        </w:rPr>
        <w:t xml:space="preserve"> tahapan sebagai berikut:</w:t>
      </w:r>
      <w:r w:rsidRPr="007720BC">
        <w:rPr>
          <w:bCs/>
          <w:sz w:val="24"/>
          <w:szCs w:val="24"/>
          <w:lang w:val="en-US"/>
        </w:rPr>
        <w:t xml:space="preserve"> 1)</w:t>
      </w:r>
      <w:r w:rsidRPr="007720BC">
        <w:rPr>
          <w:bCs/>
          <w:sz w:val="24"/>
          <w:szCs w:val="24"/>
        </w:rPr>
        <w:t xml:space="preserve">Rapat </w:t>
      </w:r>
      <w:proofErr w:type="spellStart"/>
      <w:r w:rsidRPr="007720BC">
        <w:rPr>
          <w:bCs/>
          <w:sz w:val="24"/>
          <w:szCs w:val="24"/>
          <w:lang w:val="en-US"/>
        </w:rPr>
        <w:t>Perencanaan</w:t>
      </w:r>
      <w:proofErr w:type="spellEnd"/>
      <w:r w:rsidRPr="007720BC">
        <w:rPr>
          <w:bCs/>
          <w:sz w:val="24"/>
          <w:szCs w:val="24"/>
          <w:lang w:val="en-US"/>
        </w:rPr>
        <w:t xml:space="preserve"> </w:t>
      </w:r>
      <w:proofErr w:type="spellStart"/>
      <w:r w:rsidRPr="007720BC">
        <w:rPr>
          <w:bCs/>
          <w:sz w:val="24"/>
          <w:szCs w:val="24"/>
          <w:lang w:val="en-US"/>
        </w:rPr>
        <w:t>melalui</w:t>
      </w:r>
      <w:proofErr w:type="spellEnd"/>
      <w:r w:rsidRPr="007720BC">
        <w:rPr>
          <w:bCs/>
          <w:sz w:val="24"/>
          <w:szCs w:val="24"/>
          <w:lang w:val="en-US"/>
        </w:rPr>
        <w:t xml:space="preserve"> p</w:t>
      </w:r>
      <w:r w:rsidRPr="007720BC">
        <w:rPr>
          <w:bCs/>
          <w:sz w:val="24"/>
          <w:szCs w:val="24"/>
        </w:rPr>
        <w:t>ertemuan Pokja Kampung KB Desa Mongpok</w:t>
      </w:r>
      <w:r w:rsidRPr="007720BC">
        <w:rPr>
          <w:bCs/>
          <w:sz w:val="24"/>
          <w:szCs w:val="24"/>
          <w:lang w:val="en-US"/>
        </w:rPr>
        <w:t xml:space="preserve"> yang </w:t>
      </w:r>
      <w:proofErr w:type="spellStart"/>
      <w:r w:rsidRPr="007720BC">
        <w:rPr>
          <w:bCs/>
          <w:sz w:val="24"/>
          <w:szCs w:val="24"/>
          <w:lang w:val="en-US"/>
        </w:rPr>
        <w:t>dilakukan</w:t>
      </w:r>
      <w:proofErr w:type="spellEnd"/>
      <w:r w:rsidRPr="007720BC">
        <w:rPr>
          <w:bCs/>
          <w:sz w:val="24"/>
          <w:szCs w:val="24"/>
          <w:lang w:val="en-US"/>
        </w:rPr>
        <w:t xml:space="preserve"> pada </w:t>
      </w:r>
      <w:proofErr w:type="spellStart"/>
      <w:r w:rsidRPr="007720BC">
        <w:rPr>
          <w:bCs/>
          <w:sz w:val="24"/>
          <w:szCs w:val="24"/>
          <w:lang w:val="en-US"/>
        </w:rPr>
        <w:t>minggu</w:t>
      </w:r>
      <w:proofErr w:type="spellEnd"/>
      <w:r w:rsidRPr="007720BC">
        <w:rPr>
          <w:bCs/>
          <w:sz w:val="24"/>
          <w:szCs w:val="24"/>
          <w:lang w:val="en-US"/>
        </w:rPr>
        <w:t xml:space="preserve"> </w:t>
      </w:r>
      <w:proofErr w:type="spellStart"/>
      <w:r w:rsidRPr="007720BC">
        <w:rPr>
          <w:bCs/>
          <w:sz w:val="24"/>
          <w:szCs w:val="24"/>
          <w:lang w:val="en-US"/>
        </w:rPr>
        <w:t>pertama</w:t>
      </w:r>
      <w:proofErr w:type="spellEnd"/>
      <w:r w:rsidRPr="007720BC">
        <w:rPr>
          <w:bCs/>
          <w:sz w:val="24"/>
          <w:szCs w:val="24"/>
          <w:lang w:val="en-US"/>
        </w:rPr>
        <w:t xml:space="preserve"> </w:t>
      </w:r>
      <w:proofErr w:type="spellStart"/>
      <w:r w:rsidRPr="007720BC">
        <w:rPr>
          <w:bCs/>
          <w:sz w:val="24"/>
          <w:szCs w:val="24"/>
          <w:lang w:val="en-US"/>
        </w:rPr>
        <w:t>setiap</w:t>
      </w:r>
      <w:proofErr w:type="spellEnd"/>
      <w:r w:rsidRPr="007720BC">
        <w:rPr>
          <w:bCs/>
          <w:sz w:val="24"/>
          <w:szCs w:val="24"/>
          <w:lang w:val="en-US"/>
        </w:rPr>
        <w:t xml:space="preserve"> </w:t>
      </w:r>
      <w:proofErr w:type="spellStart"/>
      <w:r w:rsidRPr="007720BC">
        <w:rPr>
          <w:bCs/>
          <w:sz w:val="24"/>
          <w:szCs w:val="24"/>
          <w:lang w:val="en-US"/>
        </w:rPr>
        <w:t>bulan</w:t>
      </w:r>
      <w:proofErr w:type="spellEnd"/>
      <w:r w:rsidRPr="007720BC">
        <w:rPr>
          <w:bCs/>
          <w:sz w:val="24"/>
          <w:szCs w:val="24"/>
          <w:lang w:val="en-US"/>
        </w:rPr>
        <w:t>; 2)</w:t>
      </w:r>
      <w:r w:rsidRPr="007720BC">
        <w:rPr>
          <w:bCs/>
          <w:sz w:val="24"/>
          <w:szCs w:val="24"/>
        </w:rPr>
        <w:t>Lokakarya Mini/Rapat Koordinasi Tingkat Desa</w:t>
      </w:r>
      <w:r w:rsidRPr="007720BC">
        <w:rPr>
          <w:bCs/>
          <w:sz w:val="24"/>
          <w:szCs w:val="24"/>
          <w:lang w:val="en-US"/>
        </w:rPr>
        <w:t xml:space="preserve"> dan </w:t>
      </w:r>
      <w:r w:rsidRPr="007720BC">
        <w:rPr>
          <w:bCs/>
          <w:sz w:val="24"/>
          <w:szCs w:val="24"/>
        </w:rPr>
        <w:t>Rapat Koordinasi lintas sector</w:t>
      </w:r>
      <w:r w:rsidRPr="007720BC">
        <w:rPr>
          <w:bCs/>
          <w:sz w:val="24"/>
          <w:szCs w:val="24"/>
          <w:lang w:val="en-US"/>
        </w:rPr>
        <w:t xml:space="preserve"> yang </w:t>
      </w:r>
      <w:proofErr w:type="spellStart"/>
      <w:r w:rsidRPr="007720BC">
        <w:rPr>
          <w:bCs/>
          <w:sz w:val="24"/>
          <w:szCs w:val="24"/>
          <w:lang w:val="en-US"/>
        </w:rPr>
        <w:t>diadakan</w:t>
      </w:r>
      <w:proofErr w:type="spellEnd"/>
      <w:r w:rsidRPr="007720BC">
        <w:rPr>
          <w:bCs/>
          <w:sz w:val="24"/>
          <w:szCs w:val="24"/>
          <w:lang w:val="en-US"/>
        </w:rPr>
        <w:t xml:space="preserve"> </w:t>
      </w:r>
      <w:proofErr w:type="spellStart"/>
      <w:r w:rsidRPr="007720BC">
        <w:rPr>
          <w:bCs/>
          <w:sz w:val="24"/>
          <w:szCs w:val="24"/>
          <w:lang w:val="en-US"/>
        </w:rPr>
        <w:t>setiap</w:t>
      </w:r>
      <w:proofErr w:type="spellEnd"/>
      <w:r w:rsidRPr="007720BC">
        <w:rPr>
          <w:bCs/>
          <w:sz w:val="24"/>
          <w:szCs w:val="24"/>
          <w:lang w:val="en-US"/>
        </w:rPr>
        <w:t xml:space="preserve"> </w:t>
      </w:r>
      <w:proofErr w:type="spellStart"/>
      <w:r w:rsidRPr="007720BC">
        <w:rPr>
          <w:bCs/>
          <w:sz w:val="24"/>
          <w:szCs w:val="24"/>
          <w:lang w:val="en-US"/>
        </w:rPr>
        <w:t>triwulan</w:t>
      </w:r>
      <w:proofErr w:type="spellEnd"/>
      <w:r w:rsidRPr="007720BC">
        <w:rPr>
          <w:bCs/>
          <w:sz w:val="24"/>
          <w:szCs w:val="24"/>
          <w:lang w:val="en-US"/>
        </w:rPr>
        <w:t xml:space="preserve"> </w:t>
      </w:r>
      <w:proofErr w:type="spellStart"/>
      <w:r w:rsidRPr="007720BC">
        <w:rPr>
          <w:bCs/>
          <w:sz w:val="24"/>
          <w:szCs w:val="24"/>
          <w:lang w:val="en-US"/>
        </w:rPr>
        <w:t>sekali</w:t>
      </w:r>
      <w:proofErr w:type="spellEnd"/>
      <w:r w:rsidRPr="007720BC">
        <w:rPr>
          <w:bCs/>
          <w:sz w:val="24"/>
          <w:szCs w:val="24"/>
          <w:lang w:val="en-US"/>
        </w:rPr>
        <w:t>; 3)</w:t>
      </w:r>
      <w:proofErr w:type="spellStart"/>
      <w:r w:rsidRPr="007720BC">
        <w:rPr>
          <w:bCs/>
          <w:sz w:val="24"/>
          <w:szCs w:val="24"/>
          <w:lang w:val="en-US"/>
        </w:rPr>
        <w:t>Sosialiasi</w:t>
      </w:r>
      <w:proofErr w:type="spellEnd"/>
      <w:r w:rsidRPr="007720BC">
        <w:rPr>
          <w:bCs/>
          <w:sz w:val="24"/>
          <w:szCs w:val="24"/>
          <w:lang w:val="en-US"/>
        </w:rPr>
        <w:t xml:space="preserve"> </w:t>
      </w:r>
      <w:proofErr w:type="spellStart"/>
      <w:r w:rsidRPr="007720BC">
        <w:rPr>
          <w:bCs/>
          <w:sz w:val="24"/>
          <w:szCs w:val="24"/>
          <w:lang w:val="en-US"/>
        </w:rPr>
        <w:t>kegiatan</w:t>
      </w:r>
      <w:proofErr w:type="spellEnd"/>
      <w:r w:rsidRPr="007720BC">
        <w:rPr>
          <w:bCs/>
          <w:sz w:val="24"/>
          <w:szCs w:val="24"/>
          <w:lang w:val="en-US"/>
        </w:rPr>
        <w:t xml:space="preserve">; 4)Monitoring dan </w:t>
      </w:r>
      <w:proofErr w:type="spellStart"/>
      <w:r w:rsidRPr="007720BC">
        <w:rPr>
          <w:bCs/>
          <w:sz w:val="24"/>
          <w:szCs w:val="24"/>
          <w:lang w:val="en-US"/>
        </w:rPr>
        <w:t>evaluasi</w:t>
      </w:r>
      <w:proofErr w:type="spellEnd"/>
      <w:r w:rsidRPr="007720BC">
        <w:rPr>
          <w:bCs/>
          <w:sz w:val="24"/>
          <w:szCs w:val="24"/>
          <w:lang w:val="en-US"/>
        </w:rPr>
        <w:t>; 4)</w:t>
      </w:r>
      <w:r w:rsidRPr="007720BC">
        <w:rPr>
          <w:bCs/>
          <w:sz w:val="24"/>
          <w:szCs w:val="24"/>
        </w:rPr>
        <w:t>Penyusunan laporan intervensi kegiatan</w:t>
      </w:r>
      <w:r w:rsidRPr="007720BC">
        <w:rPr>
          <w:bCs/>
          <w:sz w:val="24"/>
          <w:szCs w:val="24"/>
          <w:lang w:val="en-US"/>
        </w:rPr>
        <w:t>.</w:t>
      </w:r>
      <w:r w:rsidR="00A8371F" w:rsidRPr="007720BC">
        <w:rPr>
          <w:bCs/>
          <w:sz w:val="24"/>
          <w:szCs w:val="24"/>
          <w:lang w:val="en-US"/>
        </w:rPr>
        <w:t xml:space="preserve"> </w:t>
      </w:r>
      <w:r w:rsidR="00834830" w:rsidRPr="007720BC">
        <w:rPr>
          <w:bCs/>
          <w:sz w:val="24"/>
          <w:szCs w:val="24"/>
        </w:rPr>
        <w:t>M</w:t>
      </w:r>
      <w:r w:rsidRPr="007720BC">
        <w:rPr>
          <w:bCs/>
          <w:sz w:val="24"/>
          <w:szCs w:val="24"/>
        </w:rPr>
        <w:t xml:space="preserve">ekanisme </w:t>
      </w:r>
      <w:r w:rsidR="00034792" w:rsidRPr="007720BC">
        <w:rPr>
          <w:bCs/>
          <w:sz w:val="24"/>
          <w:szCs w:val="24"/>
        </w:rPr>
        <w:t xml:space="preserve">pencatatan dan pelaporan </w:t>
      </w:r>
      <w:r w:rsidRPr="007720BC">
        <w:rPr>
          <w:bCs/>
          <w:sz w:val="24"/>
          <w:szCs w:val="24"/>
        </w:rPr>
        <w:t xml:space="preserve">dari hasil kegiatan pengelolaan Kampung KB Mongpok ini, dilakukan secara rutin setiap akhir bulan dengan </w:t>
      </w:r>
      <w:r w:rsidR="00034792" w:rsidRPr="007720BC">
        <w:rPr>
          <w:bCs/>
          <w:sz w:val="24"/>
          <w:szCs w:val="24"/>
        </w:rPr>
        <w:t>dua</w:t>
      </w:r>
      <w:r w:rsidRPr="007720BC">
        <w:rPr>
          <w:bCs/>
          <w:sz w:val="24"/>
          <w:szCs w:val="24"/>
        </w:rPr>
        <w:t xml:space="preserve"> cara yaitu pencatatan pelaporan secara manual dan </w:t>
      </w:r>
      <w:r w:rsidRPr="007720BC">
        <w:rPr>
          <w:bCs/>
          <w:i/>
          <w:iCs/>
          <w:sz w:val="24"/>
          <w:szCs w:val="24"/>
        </w:rPr>
        <w:t>online</w:t>
      </w:r>
      <w:r w:rsidRPr="007720BC">
        <w:rPr>
          <w:bCs/>
          <w:sz w:val="24"/>
          <w:szCs w:val="24"/>
        </w:rPr>
        <w:t xml:space="preserve"> yang bersumber dari laporan pengendalian lapangan oleh kader Bangga Kencana dan Kader Lintas Sektor</w:t>
      </w:r>
      <w:r w:rsidRPr="007720BC">
        <w:rPr>
          <w:bCs/>
          <w:sz w:val="24"/>
          <w:szCs w:val="24"/>
          <w:lang w:val="en-US"/>
        </w:rPr>
        <w:t xml:space="preserve">. </w:t>
      </w:r>
    </w:p>
    <w:p w14:paraId="07ECBFFA" w14:textId="158E2E41" w:rsidR="00543477" w:rsidRPr="007720BC" w:rsidRDefault="0053750D" w:rsidP="00543477">
      <w:pPr>
        <w:spacing w:after="0" w:line="240" w:lineRule="auto"/>
        <w:ind w:firstLine="720"/>
        <w:jc w:val="both"/>
        <w:rPr>
          <w:rFonts w:ascii="Times New Roman" w:hAnsi="Times New Roman" w:cs="Times New Roman"/>
          <w:sz w:val="24"/>
          <w:szCs w:val="24"/>
          <w:lang w:val="en-US"/>
        </w:rPr>
      </w:pPr>
      <w:bookmarkStart w:id="6" w:name="_Hlk138896915"/>
      <w:proofErr w:type="spellStart"/>
      <w:r w:rsidRPr="007720BC">
        <w:rPr>
          <w:rFonts w:ascii="Times New Roman" w:hAnsi="Times New Roman" w:cs="Times New Roman"/>
          <w:sz w:val="24"/>
          <w:szCs w:val="24"/>
          <w:lang w:val="en-US"/>
        </w:rPr>
        <w:t>Berdasarkan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hasil</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penelitian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u</w:t>
      </w:r>
      <w:r w:rsidR="00D6252E" w:rsidRPr="007720BC">
        <w:rPr>
          <w:rFonts w:ascii="Times New Roman" w:hAnsi="Times New Roman" w:cs="Times New Roman"/>
          <w:sz w:val="24"/>
          <w:szCs w:val="24"/>
          <w:lang w:val="en-US"/>
        </w:rPr>
        <w:t>paya</w:t>
      </w:r>
      <w:proofErr w:type="spellEnd"/>
      <w:r w:rsidR="00D6252E" w:rsidRPr="007720BC">
        <w:rPr>
          <w:rFonts w:ascii="Times New Roman" w:hAnsi="Times New Roman" w:cs="Times New Roman"/>
          <w:sz w:val="24"/>
          <w:szCs w:val="24"/>
          <w:lang w:val="en-US"/>
        </w:rPr>
        <w:t xml:space="preserve"> </w:t>
      </w:r>
      <w:proofErr w:type="spellStart"/>
      <w:r w:rsidR="00D6252E" w:rsidRPr="007720BC">
        <w:rPr>
          <w:rFonts w:ascii="Times New Roman" w:hAnsi="Times New Roman" w:cs="Times New Roman"/>
          <w:sz w:val="24"/>
          <w:szCs w:val="24"/>
          <w:lang w:val="en-US"/>
        </w:rPr>
        <w:t>pendekatan</w:t>
      </w:r>
      <w:proofErr w:type="spellEnd"/>
      <w:r w:rsidR="00D6252E"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kebijakan</w:t>
      </w:r>
      <w:proofErr w:type="spellEnd"/>
      <w:r w:rsidR="00543477" w:rsidRPr="007720BC">
        <w:rPr>
          <w:rFonts w:ascii="Times New Roman" w:hAnsi="Times New Roman" w:cs="Times New Roman"/>
          <w:sz w:val="24"/>
          <w:szCs w:val="24"/>
          <w:lang w:val="en-US"/>
        </w:rPr>
        <w:t xml:space="preserve"> </w:t>
      </w:r>
      <w:proofErr w:type="spellStart"/>
      <w:r w:rsidR="0043288E" w:rsidRPr="007720BC">
        <w:rPr>
          <w:rFonts w:ascii="Times New Roman" w:hAnsi="Times New Roman" w:cs="Times New Roman"/>
          <w:sz w:val="24"/>
          <w:szCs w:val="24"/>
          <w:lang w:val="en-US"/>
        </w:rPr>
        <w:t>percepatan</w:t>
      </w:r>
      <w:proofErr w:type="spellEnd"/>
      <w:r w:rsidR="0043288E" w:rsidRPr="007720BC">
        <w:rPr>
          <w:rFonts w:ascii="Times New Roman" w:hAnsi="Times New Roman" w:cs="Times New Roman"/>
          <w:sz w:val="24"/>
          <w:szCs w:val="24"/>
          <w:lang w:val="en-US"/>
        </w:rPr>
        <w:t xml:space="preserve"> </w:t>
      </w:r>
      <w:proofErr w:type="spellStart"/>
      <w:r w:rsidR="0043288E" w:rsidRPr="007720BC">
        <w:rPr>
          <w:rFonts w:ascii="Times New Roman" w:hAnsi="Times New Roman" w:cs="Times New Roman"/>
          <w:sz w:val="24"/>
          <w:szCs w:val="24"/>
          <w:lang w:val="en-US"/>
        </w:rPr>
        <w:t>penurunan</w:t>
      </w:r>
      <w:proofErr w:type="spellEnd"/>
      <w:r w:rsidR="00CB4E4C" w:rsidRPr="007720BC">
        <w:rPr>
          <w:rFonts w:ascii="Times New Roman" w:hAnsi="Times New Roman" w:cs="Times New Roman"/>
          <w:sz w:val="24"/>
          <w:szCs w:val="24"/>
          <w:lang w:val="en-US"/>
        </w:rPr>
        <w:t xml:space="preserve"> stunting </w:t>
      </w:r>
      <w:proofErr w:type="spellStart"/>
      <w:r w:rsidR="00D6252E" w:rsidRPr="007720BC">
        <w:rPr>
          <w:rFonts w:ascii="Times New Roman" w:hAnsi="Times New Roman" w:cs="Times New Roman"/>
          <w:sz w:val="24"/>
          <w:szCs w:val="24"/>
          <w:lang w:val="en-US"/>
        </w:rPr>
        <w:t>terhadap</w:t>
      </w:r>
      <w:proofErr w:type="spellEnd"/>
      <w:r w:rsidR="00D6252E" w:rsidRPr="007720BC">
        <w:rPr>
          <w:rFonts w:ascii="Times New Roman" w:hAnsi="Times New Roman" w:cs="Times New Roman"/>
          <w:sz w:val="24"/>
          <w:szCs w:val="24"/>
          <w:lang w:val="en-US"/>
        </w:rPr>
        <w:t xml:space="preserve"> </w:t>
      </w:r>
      <w:proofErr w:type="spellStart"/>
      <w:r w:rsidR="00D6252E" w:rsidRPr="007720BC">
        <w:rPr>
          <w:rFonts w:ascii="Times New Roman" w:hAnsi="Times New Roman" w:cs="Times New Roman"/>
          <w:sz w:val="24"/>
          <w:szCs w:val="24"/>
          <w:lang w:val="en-US"/>
        </w:rPr>
        <w:t>perubahan</w:t>
      </w:r>
      <w:proofErr w:type="spellEnd"/>
      <w:r w:rsidR="00D6252E" w:rsidRPr="007720BC">
        <w:rPr>
          <w:rFonts w:ascii="Times New Roman" w:hAnsi="Times New Roman" w:cs="Times New Roman"/>
          <w:sz w:val="24"/>
          <w:szCs w:val="24"/>
          <w:lang w:val="en-US"/>
        </w:rPr>
        <w:t xml:space="preserve"> </w:t>
      </w:r>
      <w:proofErr w:type="spellStart"/>
      <w:r w:rsidR="00D6252E" w:rsidRPr="007720BC">
        <w:rPr>
          <w:rFonts w:ascii="Times New Roman" w:hAnsi="Times New Roman" w:cs="Times New Roman"/>
          <w:sz w:val="24"/>
          <w:szCs w:val="24"/>
          <w:lang w:val="en-US"/>
        </w:rPr>
        <w:t>kelompok</w:t>
      </w:r>
      <w:proofErr w:type="spellEnd"/>
      <w:r w:rsidR="00D6252E" w:rsidRPr="007720BC">
        <w:rPr>
          <w:rFonts w:ascii="Times New Roman" w:hAnsi="Times New Roman" w:cs="Times New Roman"/>
          <w:sz w:val="24"/>
          <w:szCs w:val="24"/>
          <w:lang w:val="en-US"/>
        </w:rPr>
        <w:t xml:space="preserve"> </w:t>
      </w:r>
      <w:proofErr w:type="spellStart"/>
      <w:r w:rsidR="00D6252E" w:rsidRPr="007720BC">
        <w:rPr>
          <w:rFonts w:ascii="Times New Roman" w:hAnsi="Times New Roman" w:cs="Times New Roman"/>
          <w:sz w:val="24"/>
          <w:szCs w:val="24"/>
          <w:lang w:val="en-US"/>
        </w:rPr>
        <w:t>sasaran</w:t>
      </w:r>
      <w:proofErr w:type="spellEnd"/>
      <w:r w:rsidR="00D6252E" w:rsidRPr="007720BC">
        <w:rPr>
          <w:rFonts w:ascii="Times New Roman" w:hAnsi="Times New Roman" w:cs="Times New Roman"/>
          <w:sz w:val="24"/>
          <w:szCs w:val="24"/>
          <w:lang w:val="en-US"/>
        </w:rPr>
        <w:t xml:space="preserve"> </w:t>
      </w:r>
      <w:proofErr w:type="spellStart"/>
      <w:r w:rsidR="00D6252E" w:rsidRPr="007720BC">
        <w:rPr>
          <w:rFonts w:ascii="Times New Roman" w:hAnsi="Times New Roman" w:cs="Times New Roman"/>
          <w:sz w:val="24"/>
          <w:szCs w:val="24"/>
          <w:lang w:val="en-US"/>
        </w:rPr>
        <w:t>dilakukan</w:t>
      </w:r>
      <w:proofErr w:type="spellEnd"/>
      <w:r w:rsidR="00D6252E" w:rsidRPr="007720BC">
        <w:rPr>
          <w:rFonts w:ascii="Times New Roman" w:hAnsi="Times New Roman" w:cs="Times New Roman"/>
          <w:sz w:val="24"/>
          <w:szCs w:val="24"/>
          <w:lang w:val="en-US"/>
        </w:rPr>
        <w:t xml:space="preserve"> </w:t>
      </w:r>
      <w:proofErr w:type="spellStart"/>
      <w:r w:rsidR="00CB4E4C" w:rsidRPr="007720BC">
        <w:rPr>
          <w:rFonts w:ascii="Times New Roman" w:hAnsi="Times New Roman" w:cs="Times New Roman"/>
          <w:sz w:val="24"/>
          <w:szCs w:val="24"/>
          <w:lang w:val="en-US"/>
        </w:rPr>
        <w:t>secara</w:t>
      </w:r>
      <w:proofErr w:type="spellEnd"/>
      <w:r w:rsidR="00CB4E4C" w:rsidRPr="007720BC">
        <w:rPr>
          <w:rFonts w:ascii="Times New Roman" w:hAnsi="Times New Roman" w:cs="Times New Roman"/>
          <w:sz w:val="24"/>
          <w:szCs w:val="24"/>
          <w:lang w:val="en-US"/>
        </w:rPr>
        <w:t xml:space="preserve"> </w:t>
      </w:r>
      <w:proofErr w:type="spellStart"/>
      <w:r w:rsidR="00CB4E4C" w:rsidRPr="007720BC">
        <w:rPr>
          <w:rFonts w:ascii="Times New Roman" w:hAnsi="Times New Roman" w:cs="Times New Roman"/>
          <w:sz w:val="24"/>
          <w:szCs w:val="24"/>
          <w:lang w:val="en-US"/>
        </w:rPr>
        <w:t>lintas</w:t>
      </w:r>
      <w:proofErr w:type="spellEnd"/>
      <w:r w:rsidR="00CB4E4C" w:rsidRPr="007720BC">
        <w:rPr>
          <w:rFonts w:ascii="Times New Roman" w:hAnsi="Times New Roman" w:cs="Times New Roman"/>
          <w:sz w:val="24"/>
          <w:szCs w:val="24"/>
          <w:lang w:val="en-US"/>
        </w:rPr>
        <w:t xml:space="preserve"> program </w:t>
      </w:r>
      <w:proofErr w:type="spellStart"/>
      <w:r w:rsidR="00CB4E4C" w:rsidRPr="007720BC">
        <w:rPr>
          <w:rFonts w:ascii="Times New Roman" w:hAnsi="Times New Roman" w:cs="Times New Roman"/>
          <w:sz w:val="24"/>
          <w:szCs w:val="24"/>
          <w:lang w:val="en-US"/>
        </w:rPr>
        <w:t>meliputi</w:t>
      </w:r>
      <w:proofErr w:type="spellEnd"/>
      <w:r w:rsidR="00CB4E4C" w:rsidRPr="007720BC">
        <w:rPr>
          <w:rFonts w:ascii="Times New Roman" w:hAnsi="Times New Roman" w:cs="Times New Roman"/>
          <w:sz w:val="24"/>
          <w:szCs w:val="24"/>
          <w:lang w:val="en-US"/>
        </w:rPr>
        <w:t xml:space="preserve"> </w:t>
      </w:r>
      <w:proofErr w:type="spellStart"/>
      <w:r w:rsidR="00CB4E4C" w:rsidRPr="007720BC">
        <w:rPr>
          <w:rFonts w:ascii="Times New Roman" w:hAnsi="Times New Roman" w:cs="Times New Roman"/>
          <w:sz w:val="24"/>
          <w:szCs w:val="24"/>
          <w:lang w:val="en-US"/>
        </w:rPr>
        <w:t>kegiatan</w:t>
      </w:r>
      <w:proofErr w:type="spellEnd"/>
      <w:r w:rsidR="00CB4E4C" w:rsidRPr="007720BC">
        <w:rPr>
          <w:rFonts w:ascii="Times New Roman" w:hAnsi="Times New Roman" w:cs="Times New Roman"/>
          <w:sz w:val="24"/>
          <w:szCs w:val="24"/>
          <w:lang w:val="en-US"/>
        </w:rPr>
        <w:t xml:space="preserve"> k</w:t>
      </w:r>
      <w:r w:rsidR="00CB4E4C" w:rsidRPr="007720BC">
        <w:rPr>
          <w:rFonts w:ascii="Times New Roman" w:hAnsi="Times New Roman" w:cs="Times New Roman"/>
          <w:sz w:val="24"/>
          <w:szCs w:val="24"/>
          <w:lang w:val="id-ID"/>
        </w:rPr>
        <w:t>unjungan rumah</w:t>
      </w:r>
      <w:r w:rsidR="00CB4E4C" w:rsidRPr="007720BC">
        <w:rPr>
          <w:rFonts w:ascii="Times New Roman" w:hAnsi="Times New Roman" w:cs="Times New Roman"/>
          <w:sz w:val="24"/>
          <w:szCs w:val="24"/>
          <w:lang w:val="en-US"/>
        </w:rPr>
        <w:t>/</w:t>
      </w:r>
      <w:proofErr w:type="spellStart"/>
      <w:r w:rsidR="00CB4E4C" w:rsidRPr="007720BC">
        <w:rPr>
          <w:rFonts w:ascii="Times New Roman" w:hAnsi="Times New Roman" w:cs="Times New Roman"/>
          <w:sz w:val="24"/>
          <w:szCs w:val="24"/>
          <w:lang w:val="en-US"/>
        </w:rPr>
        <w:t>keluarga</w:t>
      </w:r>
      <w:proofErr w:type="spellEnd"/>
      <w:r w:rsidR="00CB4E4C" w:rsidRPr="007720BC">
        <w:rPr>
          <w:rFonts w:ascii="Times New Roman" w:hAnsi="Times New Roman" w:cs="Times New Roman"/>
          <w:sz w:val="24"/>
          <w:szCs w:val="24"/>
          <w:lang w:val="en-US"/>
        </w:rPr>
        <w:t xml:space="preserve"> </w:t>
      </w:r>
      <w:r w:rsidR="00CB4E4C" w:rsidRPr="007720BC">
        <w:rPr>
          <w:rFonts w:ascii="Times New Roman" w:hAnsi="Times New Roman" w:cs="Times New Roman"/>
          <w:i/>
          <w:iCs/>
          <w:sz w:val="24"/>
          <w:szCs w:val="24"/>
          <w:lang w:val="en-US"/>
        </w:rPr>
        <w:t>(home</w:t>
      </w:r>
      <w:r w:rsidR="0043288E" w:rsidRPr="007720BC">
        <w:rPr>
          <w:rFonts w:ascii="Times New Roman" w:hAnsi="Times New Roman" w:cs="Times New Roman"/>
          <w:i/>
          <w:iCs/>
          <w:sz w:val="24"/>
          <w:szCs w:val="24"/>
          <w:lang w:val="en-US"/>
        </w:rPr>
        <w:t xml:space="preserve"> </w:t>
      </w:r>
      <w:proofErr w:type="spellStart"/>
      <w:r w:rsidR="0043288E" w:rsidRPr="007720BC">
        <w:rPr>
          <w:rFonts w:ascii="Times New Roman" w:hAnsi="Times New Roman" w:cs="Times New Roman"/>
          <w:i/>
          <w:iCs/>
          <w:sz w:val="24"/>
          <w:szCs w:val="24"/>
          <w:lang w:val="en-US"/>
        </w:rPr>
        <w:t>viti</w:t>
      </w:r>
      <w:proofErr w:type="spellEnd"/>
      <w:r w:rsidR="00CB4E4C" w:rsidRPr="007720BC">
        <w:rPr>
          <w:rFonts w:ascii="Times New Roman" w:hAnsi="Times New Roman" w:cs="Times New Roman"/>
          <w:i/>
          <w:iCs/>
          <w:sz w:val="24"/>
          <w:szCs w:val="24"/>
          <w:lang w:val="en-US"/>
        </w:rPr>
        <w:t>)</w:t>
      </w:r>
      <w:r w:rsidR="00CB4E4C" w:rsidRPr="007720BC">
        <w:rPr>
          <w:rFonts w:ascii="Times New Roman" w:hAnsi="Times New Roman" w:cs="Times New Roman"/>
          <w:sz w:val="24"/>
          <w:szCs w:val="24"/>
          <w:lang w:val="en-US"/>
        </w:rPr>
        <w:t xml:space="preserve"> dan </w:t>
      </w:r>
      <w:proofErr w:type="spellStart"/>
      <w:r w:rsidR="00CB4E4C" w:rsidRPr="007720BC">
        <w:rPr>
          <w:rFonts w:ascii="Times New Roman" w:hAnsi="Times New Roman" w:cs="Times New Roman"/>
          <w:sz w:val="24"/>
          <w:szCs w:val="24"/>
          <w:lang w:val="en-US"/>
        </w:rPr>
        <w:t>penyuluhan</w:t>
      </w:r>
      <w:proofErr w:type="spellEnd"/>
      <w:r w:rsidR="00CB4E4C" w:rsidRPr="007720BC">
        <w:rPr>
          <w:rFonts w:ascii="Times New Roman" w:hAnsi="Times New Roman" w:cs="Times New Roman"/>
          <w:sz w:val="24"/>
          <w:szCs w:val="24"/>
          <w:lang w:val="en-US"/>
        </w:rPr>
        <w:t xml:space="preserve"> </w:t>
      </w:r>
      <w:proofErr w:type="spellStart"/>
      <w:r w:rsidR="00CB4E4C" w:rsidRPr="007720BC">
        <w:rPr>
          <w:rFonts w:ascii="Times New Roman" w:hAnsi="Times New Roman" w:cs="Times New Roman"/>
          <w:sz w:val="24"/>
          <w:szCs w:val="24"/>
          <w:lang w:val="en-US"/>
        </w:rPr>
        <w:t>dari</w:t>
      </w:r>
      <w:proofErr w:type="spellEnd"/>
      <w:r w:rsidR="00CB4E4C" w:rsidRPr="007720BC">
        <w:rPr>
          <w:rFonts w:ascii="Times New Roman" w:hAnsi="Times New Roman" w:cs="Times New Roman"/>
          <w:sz w:val="24"/>
          <w:szCs w:val="24"/>
          <w:lang w:val="en-US"/>
        </w:rPr>
        <w:t xml:space="preserve"> </w:t>
      </w:r>
      <w:r w:rsidR="00CB4E4C" w:rsidRPr="007720BC">
        <w:rPr>
          <w:rFonts w:ascii="Times New Roman" w:hAnsi="Times New Roman" w:cs="Times New Roman"/>
          <w:sz w:val="24"/>
          <w:szCs w:val="24"/>
          <w:lang w:val="id-ID" w:eastAsia="en-ID"/>
        </w:rPr>
        <w:t>Posyandu</w:t>
      </w:r>
      <w:r w:rsidR="00CB4E4C" w:rsidRPr="007720BC">
        <w:rPr>
          <w:rFonts w:ascii="Times New Roman" w:hAnsi="Times New Roman" w:cs="Times New Roman"/>
          <w:sz w:val="24"/>
          <w:szCs w:val="24"/>
          <w:lang w:val="en-US" w:eastAsia="en-ID"/>
        </w:rPr>
        <w:t xml:space="preserve">. </w:t>
      </w:r>
      <w:proofErr w:type="spellStart"/>
      <w:r w:rsidR="00CB4E4C" w:rsidRPr="007720BC">
        <w:rPr>
          <w:rFonts w:ascii="Times New Roman" w:hAnsi="Times New Roman" w:cs="Times New Roman"/>
          <w:sz w:val="24"/>
          <w:szCs w:val="24"/>
          <w:lang w:val="en-US" w:eastAsia="en-ID"/>
        </w:rPr>
        <w:t>Pendekatan</w:t>
      </w:r>
      <w:proofErr w:type="spellEnd"/>
      <w:r w:rsidR="00CB4E4C" w:rsidRPr="007720BC">
        <w:rPr>
          <w:rFonts w:ascii="Times New Roman" w:hAnsi="Times New Roman" w:cs="Times New Roman"/>
          <w:sz w:val="24"/>
          <w:szCs w:val="24"/>
          <w:lang w:val="en-US" w:eastAsia="en-ID"/>
        </w:rPr>
        <w:t xml:space="preserve"> </w:t>
      </w:r>
      <w:proofErr w:type="spellStart"/>
      <w:r w:rsidR="00CB4E4C" w:rsidRPr="007720BC">
        <w:rPr>
          <w:rFonts w:ascii="Times New Roman" w:hAnsi="Times New Roman" w:cs="Times New Roman"/>
          <w:sz w:val="24"/>
          <w:szCs w:val="24"/>
          <w:lang w:val="en-US" w:eastAsia="en-ID"/>
        </w:rPr>
        <w:t>tersebut</w:t>
      </w:r>
      <w:proofErr w:type="spellEnd"/>
      <w:r w:rsidR="00CB4E4C" w:rsidRPr="007720BC">
        <w:rPr>
          <w:rFonts w:ascii="Times New Roman" w:hAnsi="Times New Roman" w:cs="Times New Roman"/>
          <w:sz w:val="24"/>
          <w:szCs w:val="24"/>
          <w:lang w:val="en-US" w:eastAsia="en-ID"/>
        </w:rPr>
        <w:t xml:space="preserve"> </w:t>
      </w:r>
      <w:proofErr w:type="spellStart"/>
      <w:r w:rsidR="00CB4E4C" w:rsidRPr="007720BC">
        <w:rPr>
          <w:rFonts w:ascii="Times New Roman" w:hAnsi="Times New Roman" w:cs="Times New Roman"/>
          <w:sz w:val="24"/>
          <w:szCs w:val="24"/>
          <w:lang w:val="en-US" w:eastAsia="en-ID"/>
        </w:rPr>
        <w:t>melibatkan</w:t>
      </w:r>
      <w:proofErr w:type="spellEnd"/>
      <w:r w:rsidR="00CB4E4C" w:rsidRPr="007720BC">
        <w:rPr>
          <w:rFonts w:ascii="Times New Roman" w:hAnsi="Times New Roman" w:cs="Times New Roman"/>
          <w:sz w:val="24"/>
          <w:szCs w:val="24"/>
          <w:lang w:val="en-US" w:eastAsia="en-ID"/>
        </w:rPr>
        <w:t xml:space="preserve"> </w:t>
      </w:r>
      <w:proofErr w:type="spellStart"/>
      <w:r w:rsidR="00D6252E" w:rsidRPr="007720BC">
        <w:rPr>
          <w:rFonts w:ascii="Times New Roman" w:hAnsi="Times New Roman" w:cs="Times New Roman"/>
          <w:sz w:val="24"/>
          <w:szCs w:val="24"/>
          <w:lang w:val="en-US"/>
        </w:rPr>
        <w:t>berbagai</w:t>
      </w:r>
      <w:proofErr w:type="spellEnd"/>
      <w:r w:rsidR="00D6252E" w:rsidRPr="007720BC">
        <w:rPr>
          <w:rFonts w:ascii="Times New Roman" w:hAnsi="Times New Roman" w:cs="Times New Roman"/>
          <w:sz w:val="24"/>
          <w:szCs w:val="24"/>
          <w:lang w:val="en-US"/>
        </w:rPr>
        <w:t xml:space="preserve"> </w:t>
      </w:r>
      <w:proofErr w:type="spellStart"/>
      <w:r w:rsidR="00D6252E" w:rsidRPr="007720BC">
        <w:rPr>
          <w:rFonts w:ascii="Times New Roman" w:hAnsi="Times New Roman" w:cs="Times New Roman"/>
          <w:sz w:val="24"/>
          <w:szCs w:val="24"/>
          <w:lang w:val="en-US"/>
        </w:rPr>
        <w:t>kelompok</w:t>
      </w:r>
      <w:proofErr w:type="spellEnd"/>
      <w:r w:rsidR="00D6252E" w:rsidRPr="007720BC">
        <w:rPr>
          <w:rFonts w:ascii="Times New Roman" w:hAnsi="Times New Roman" w:cs="Times New Roman"/>
          <w:sz w:val="24"/>
          <w:szCs w:val="24"/>
        </w:rPr>
        <w:t xml:space="preserve"> </w:t>
      </w:r>
      <w:proofErr w:type="spellStart"/>
      <w:r w:rsidR="00D6252E" w:rsidRPr="007720BC">
        <w:rPr>
          <w:rFonts w:ascii="Times New Roman" w:hAnsi="Times New Roman" w:cs="Times New Roman"/>
          <w:sz w:val="24"/>
          <w:szCs w:val="24"/>
          <w:lang w:val="en-US"/>
        </w:rPr>
        <w:t>kegiatan</w:t>
      </w:r>
      <w:proofErr w:type="spellEnd"/>
      <w:r w:rsidR="00D6252E" w:rsidRPr="007720BC">
        <w:rPr>
          <w:rFonts w:ascii="Times New Roman" w:hAnsi="Times New Roman" w:cs="Times New Roman"/>
          <w:sz w:val="24"/>
          <w:szCs w:val="24"/>
          <w:lang w:val="en-US"/>
        </w:rPr>
        <w:t xml:space="preserve"> yang </w:t>
      </w:r>
      <w:proofErr w:type="spellStart"/>
      <w:r w:rsidR="00D6252E" w:rsidRPr="007720BC">
        <w:rPr>
          <w:rFonts w:ascii="Times New Roman" w:hAnsi="Times New Roman" w:cs="Times New Roman"/>
          <w:sz w:val="24"/>
          <w:szCs w:val="24"/>
          <w:lang w:val="en-US"/>
        </w:rPr>
        <w:t>berperan</w:t>
      </w:r>
      <w:proofErr w:type="spellEnd"/>
      <w:r w:rsidR="00D6252E" w:rsidRPr="007720BC">
        <w:rPr>
          <w:rFonts w:ascii="Times New Roman" w:hAnsi="Times New Roman" w:cs="Times New Roman"/>
          <w:sz w:val="24"/>
          <w:szCs w:val="24"/>
          <w:lang w:val="en-US"/>
        </w:rPr>
        <w:t xml:space="preserve"> </w:t>
      </w:r>
      <w:proofErr w:type="spellStart"/>
      <w:r w:rsidR="00D6252E" w:rsidRPr="007720BC">
        <w:rPr>
          <w:rFonts w:ascii="Times New Roman" w:hAnsi="Times New Roman" w:cs="Times New Roman"/>
          <w:sz w:val="24"/>
          <w:szCs w:val="24"/>
          <w:lang w:val="en-US"/>
        </w:rPr>
        <w:t>sebagai</w:t>
      </w:r>
      <w:proofErr w:type="spellEnd"/>
      <w:r w:rsidR="00D6252E" w:rsidRPr="007720BC">
        <w:rPr>
          <w:rFonts w:ascii="Times New Roman" w:hAnsi="Times New Roman" w:cs="Times New Roman"/>
          <w:sz w:val="24"/>
          <w:szCs w:val="24"/>
        </w:rPr>
        <w:t xml:space="preserve"> </w:t>
      </w:r>
      <w:r w:rsidR="00D6252E" w:rsidRPr="007720BC">
        <w:rPr>
          <w:rFonts w:ascii="Times New Roman" w:hAnsi="Times New Roman" w:cs="Times New Roman"/>
          <w:i/>
          <w:iCs/>
          <w:sz w:val="24"/>
          <w:szCs w:val="24"/>
          <w:lang w:val="en-US"/>
        </w:rPr>
        <w:t>leading sector</w:t>
      </w:r>
      <w:r w:rsidR="00D6252E" w:rsidRPr="007720BC">
        <w:rPr>
          <w:rFonts w:ascii="Times New Roman" w:hAnsi="Times New Roman" w:cs="Times New Roman"/>
          <w:sz w:val="24"/>
          <w:szCs w:val="24"/>
        </w:rPr>
        <w:t xml:space="preserve"> </w:t>
      </w:r>
      <w:proofErr w:type="spellStart"/>
      <w:r w:rsidR="00D6252E" w:rsidRPr="007720BC">
        <w:rPr>
          <w:rFonts w:ascii="Times New Roman" w:hAnsi="Times New Roman" w:cs="Times New Roman"/>
          <w:sz w:val="24"/>
          <w:szCs w:val="24"/>
          <w:lang w:val="en-US"/>
        </w:rPr>
        <w:lastRenderedPageBreak/>
        <w:t>seperti</w:t>
      </w:r>
      <w:proofErr w:type="spellEnd"/>
      <w:r w:rsidR="00D6252E" w:rsidRPr="007720BC">
        <w:rPr>
          <w:rFonts w:ascii="Times New Roman" w:hAnsi="Times New Roman" w:cs="Times New Roman"/>
          <w:sz w:val="24"/>
          <w:szCs w:val="24"/>
          <w:lang w:val="en-US"/>
        </w:rPr>
        <w:t xml:space="preserve"> Bina </w:t>
      </w:r>
      <w:proofErr w:type="spellStart"/>
      <w:r w:rsidR="00D6252E" w:rsidRPr="007720BC">
        <w:rPr>
          <w:rFonts w:ascii="Times New Roman" w:hAnsi="Times New Roman" w:cs="Times New Roman"/>
          <w:sz w:val="24"/>
          <w:szCs w:val="24"/>
          <w:lang w:val="en-US"/>
        </w:rPr>
        <w:t>Keluarga</w:t>
      </w:r>
      <w:proofErr w:type="spellEnd"/>
      <w:r w:rsidR="00D6252E" w:rsidRPr="007720BC">
        <w:rPr>
          <w:rFonts w:ascii="Times New Roman" w:hAnsi="Times New Roman" w:cs="Times New Roman"/>
          <w:sz w:val="24"/>
          <w:szCs w:val="24"/>
        </w:rPr>
        <w:t xml:space="preserve"> </w:t>
      </w:r>
      <w:r w:rsidR="00D6252E" w:rsidRPr="007720BC">
        <w:rPr>
          <w:rFonts w:ascii="Times New Roman" w:hAnsi="Times New Roman" w:cs="Times New Roman"/>
          <w:sz w:val="24"/>
          <w:szCs w:val="24"/>
          <w:lang w:val="en-US"/>
        </w:rPr>
        <w:t xml:space="preserve">Balita (BKB), Bina </w:t>
      </w:r>
      <w:proofErr w:type="spellStart"/>
      <w:r w:rsidR="00D6252E" w:rsidRPr="007720BC">
        <w:rPr>
          <w:rFonts w:ascii="Times New Roman" w:hAnsi="Times New Roman" w:cs="Times New Roman"/>
          <w:sz w:val="24"/>
          <w:szCs w:val="24"/>
          <w:lang w:val="en-US"/>
        </w:rPr>
        <w:t>Keluarga</w:t>
      </w:r>
      <w:proofErr w:type="spellEnd"/>
      <w:r w:rsidR="00D6252E" w:rsidRPr="007720BC">
        <w:rPr>
          <w:rFonts w:ascii="Times New Roman" w:hAnsi="Times New Roman" w:cs="Times New Roman"/>
          <w:sz w:val="24"/>
          <w:szCs w:val="24"/>
        </w:rPr>
        <w:t xml:space="preserve"> </w:t>
      </w:r>
      <w:proofErr w:type="spellStart"/>
      <w:r w:rsidR="00D6252E" w:rsidRPr="007720BC">
        <w:rPr>
          <w:rFonts w:ascii="Times New Roman" w:hAnsi="Times New Roman" w:cs="Times New Roman"/>
          <w:sz w:val="24"/>
          <w:szCs w:val="24"/>
          <w:lang w:val="en-US"/>
        </w:rPr>
        <w:t>Remaja</w:t>
      </w:r>
      <w:proofErr w:type="spellEnd"/>
      <w:r w:rsidR="00D6252E" w:rsidRPr="007720BC">
        <w:rPr>
          <w:rFonts w:ascii="Times New Roman" w:hAnsi="Times New Roman" w:cs="Times New Roman"/>
          <w:sz w:val="24"/>
          <w:szCs w:val="24"/>
          <w:lang w:val="en-US"/>
        </w:rPr>
        <w:t xml:space="preserve"> (BKR), Bina </w:t>
      </w:r>
      <w:proofErr w:type="spellStart"/>
      <w:r w:rsidR="00D6252E" w:rsidRPr="007720BC">
        <w:rPr>
          <w:rFonts w:ascii="Times New Roman" w:hAnsi="Times New Roman" w:cs="Times New Roman"/>
          <w:sz w:val="24"/>
          <w:szCs w:val="24"/>
          <w:lang w:val="en-US"/>
        </w:rPr>
        <w:t>Keluarga</w:t>
      </w:r>
      <w:proofErr w:type="spellEnd"/>
      <w:r w:rsidR="00D6252E" w:rsidRPr="007720BC">
        <w:rPr>
          <w:rFonts w:ascii="Times New Roman" w:hAnsi="Times New Roman" w:cs="Times New Roman"/>
          <w:sz w:val="24"/>
          <w:szCs w:val="24"/>
        </w:rPr>
        <w:t xml:space="preserve"> </w:t>
      </w:r>
      <w:proofErr w:type="spellStart"/>
      <w:r w:rsidR="00D6252E" w:rsidRPr="007720BC">
        <w:rPr>
          <w:rFonts w:ascii="Times New Roman" w:hAnsi="Times New Roman" w:cs="Times New Roman"/>
          <w:sz w:val="24"/>
          <w:szCs w:val="24"/>
          <w:lang w:val="en-US"/>
        </w:rPr>
        <w:t>Lansia</w:t>
      </w:r>
      <w:proofErr w:type="spellEnd"/>
      <w:r w:rsidR="00D6252E" w:rsidRPr="007720BC">
        <w:rPr>
          <w:rFonts w:ascii="Times New Roman" w:hAnsi="Times New Roman" w:cs="Times New Roman"/>
          <w:sz w:val="24"/>
          <w:szCs w:val="24"/>
          <w:lang w:val="en-US"/>
        </w:rPr>
        <w:t xml:space="preserve"> (BKL), Upaya</w:t>
      </w:r>
      <w:r w:rsidR="00D6252E" w:rsidRPr="007720BC">
        <w:rPr>
          <w:rFonts w:ascii="Times New Roman" w:hAnsi="Times New Roman" w:cs="Times New Roman"/>
          <w:sz w:val="24"/>
          <w:szCs w:val="24"/>
        </w:rPr>
        <w:t xml:space="preserve"> </w:t>
      </w:r>
      <w:proofErr w:type="spellStart"/>
      <w:r w:rsidR="00D6252E" w:rsidRPr="007720BC">
        <w:rPr>
          <w:rFonts w:ascii="Times New Roman" w:hAnsi="Times New Roman" w:cs="Times New Roman"/>
          <w:sz w:val="24"/>
          <w:szCs w:val="24"/>
          <w:lang w:val="en-US"/>
        </w:rPr>
        <w:t>Peningkatan</w:t>
      </w:r>
      <w:proofErr w:type="spellEnd"/>
      <w:r w:rsidR="00D6252E" w:rsidRPr="007720BC">
        <w:rPr>
          <w:rFonts w:ascii="Times New Roman" w:hAnsi="Times New Roman" w:cs="Times New Roman"/>
          <w:sz w:val="24"/>
          <w:szCs w:val="24"/>
        </w:rPr>
        <w:t xml:space="preserve"> </w:t>
      </w:r>
      <w:proofErr w:type="spellStart"/>
      <w:r w:rsidR="00D6252E" w:rsidRPr="007720BC">
        <w:rPr>
          <w:rFonts w:ascii="Times New Roman" w:hAnsi="Times New Roman" w:cs="Times New Roman"/>
          <w:sz w:val="24"/>
          <w:szCs w:val="24"/>
          <w:lang w:val="en-US"/>
        </w:rPr>
        <w:t>Keluarga</w:t>
      </w:r>
      <w:proofErr w:type="spellEnd"/>
      <w:r w:rsidR="00D6252E" w:rsidRPr="007720BC">
        <w:rPr>
          <w:rFonts w:ascii="Times New Roman" w:hAnsi="Times New Roman" w:cs="Times New Roman"/>
          <w:sz w:val="24"/>
          <w:szCs w:val="24"/>
        </w:rPr>
        <w:t xml:space="preserve"> </w:t>
      </w:r>
      <w:proofErr w:type="spellStart"/>
      <w:r w:rsidR="00D6252E" w:rsidRPr="007720BC">
        <w:rPr>
          <w:rFonts w:ascii="Times New Roman" w:hAnsi="Times New Roman" w:cs="Times New Roman"/>
          <w:sz w:val="24"/>
          <w:szCs w:val="24"/>
          <w:lang w:val="en-US"/>
        </w:rPr>
        <w:t>Akseptor</w:t>
      </w:r>
      <w:proofErr w:type="spellEnd"/>
      <w:r w:rsidR="00D6252E" w:rsidRPr="007720BC">
        <w:rPr>
          <w:rFonts w:ascii="Times New Roman" w:hAnsi="Times New Roman" w:cs="Times New Roman"/>
          <w:sz w:val="24"/>
          <w:szCs w:val="24"/>
          <w:lang w:val="en-US"/>
        </w:rPr>
        <w:t xml:space="preserve"> (UPPKA) dan Pusat </w:t>
      </w:r>
      <w:proofErr w:type="spellStart"/>
      <w:r w:rsidR="00D6252E" w:rsidRPr="007720BC">
        <w:rPr>
          <w:rFonts w:ascii="Times New Roman" w:hAnsi="Times New Roman" w:cs="Times New Roman"/>
          <w:sz w:val="24"/>
          <w:szCs w:val="24"/>
          <w:lang w:val="en-US"/>
        </w:rPr>
        <w:t>Informasi</w:t>
      </w:r>
      <w:proofErr w:type="spellEnd"/>
      <w:r w:rsidR="00D6252E" w:rsidRPr="007720BC">
        <w:rPr>
          <w:rFonts w:ascii="Times New Roman" w:hAnsi="Times New Roman" w:cs="Times New Roman"/>
          <w:sz w:val="24"/>
          <w:szCs w:val="24"/>
          <w:lang w:val="en-US"/>
        </w:rPr>
        <w:t xml:space="preserve"> dan </w:t>
      </w:r>
      <w:proofErr w:type="spellStart"/>
      <w:r w:rsidR="00D6252E" w:rsidRPr="007720BC">
        <w:rPr>
          <w:rFonts w:ascii="Times New Roman" w:hAnsi="Times New Roman" w:cs="Times New Roman"/>
          <w:sz w:val="24"/>
          <w:szCs w:val="24"/>
          <w:lang w:val="en-US"/>
        </w:rPr>
        <w:t>Konseling</w:t>
      </w:r>
      <w:proofErr w:type="spellEnd"/>
      <w:r w:rsidR="00D6252E" w:rsidRPr="007720BC">
        <w:rPr>
          <w:rFonts w:ascii="Times New Roman" w:hAnsi="Times New Roman" w:cs="Times New Roman"/>
          <w:sz w:val="24"/>
          <w:szCs w:val="24"/>
        </w:rPr>
        <w:t xml:space="preserve"> </w:t>
      </w:r>
      <w:proofErr w:type="spellStart"/>
      <w:r w:rsidR="00D6252E" w:rsidRPr="007720BC">
        <w:rPr>
          <w:rFonts w:ascii="Times New Roman" w:hAnsi="Times New Roman" w:cs="Times New Roman"/>
          <w:sz w:val="24"/>
          <w:szCs w:val="24"/>
          <w:lang w:val="en-US"/>
        </w:rPr>
        <w:t>Remaja</w:t>
      </w:r>
      <w:proofErr w:type="spellEnd"/>
      <w:r w:rsidR="00D6252E" w:rsidRPr="007720BC">
        <w:rPr>
          <w:rFonts w:ascii="Times New Roman" w:hAnsi="Times New Roman" w:cs="Times New Roman"/>
          <w:sz w:val="24"/>
          <w:szCs w:val="24"/>
          <w:lang w:val="en-US"/>
        </w:rPr>
        <w:t xml:space="preserve"> (PIK-R).</w:t>
      </w:r>
      <w:r w:rsidR="00C76E11" w:rsidRPr="007720BC">
        <w:rPr>
          <w:rFonts w:ascii="Times New Roman" w:hAnsi="Times New Roman" w:cs="Times New Roman"/>
          <w:sz w:val="24"/>
          <w:szCs w:val="24"/>
          <w:lang w:val="en-US"/>
        </w:rPr>
        <w:t xml:space="preserve"> </w:t>
      </w:r>
      <w:r w:rsidR="00543477" w:rsidRPr="007720BC">
        <w:rPr>
          <w:rFonts w:ascii="Times New Roman" w:hAnsi="Times New Roman" w:cs="Times New Roman"/>
          <w:sz w:val="24"/>
          <w:szCs w:val="24"/>
          <w:lang w:val="en-US"/>
        </w:rPr>
        <w:t xml:space="preserve">Selain </w:t>
      </w:r>
      <w:proofErr w:type="spellStart"/>
      <w:r w:rsidR="00543477" w:rsidRPr="007720BC">
        <w:rPr>
          <w:rFonts w:ascii="Times New Roman" w:hAnsi="Times New Roman" w:cs="Times New Roman"/>
          <w:sz w:val="24"/>
          <w:szCs w:val="24"/>
          <w:lang w:val="en-US"/>
        </w:rPr>
        <w:t>itu</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dibentuk</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Kelompok</w:t>
      </w:r>
      <w:proofErr w:type="spellEnd"/>
      <w:r w:rsidR="00543477" w:rsidRPr="007720BC">
        <w:rPr>
          <w:rFonts w:ascii="Times New Roman" w:hAnsi="Times New Roman" w:cs="Times New Roman"/>
          <w:sz w:val="24"/>
          <w:szCs w:val="24"/>
        </w:rPr>
        <w:t xml:space="preserve"> </w:t>
      </w:r>
      <w:proofErr w:type="spellStart"/>
      <w:r w:rsidR="00543477" w:rsidRPr="007720BC">
        <w:rPr>
          <w:rFonts w:ascii="Times New Roman" w:hAnsi="Times New Roman" w:cs="Times New Roman"/>
          <w:sz w:val="24"/>
          <w:szCs w:val="24"/>
          <w:lang w:val="en-US"/>
        </w:rPr>
        <w:t>Kerja</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Pokja</w:t>
      </w:r>
      <w:proofErr w:type="spellEnd"/>
      <w:r w:rsidR="00543477" w:rsidRPr="007720BC">
        <w:rPr>
          <w:rFonts w:ascii="Times New Roman" w:hAnsi="Times New Roman" w:cs="Times New Roman"/>
          <w:sz w:val="24"/>
          <w:szCs w:val="24"/>
          <w:lang w:val="en-US"/>
        </w:rPr>
        <w:t xml:space="preserve">) yang </w:t>
      </w:r>
      <w:proofErr w:type="spellStart"/>
      <w:r w:rsidR="00543477" w:rsidRPr="007720BC">
        <w:rPr>
          <w:rFonts w:ascii="Times New Roman" w:hAnsi="Times New Roman" w:cs="Times New Roman"/>
          <w:sz w:val="24"/>
          <w:szCs w:val="24"/>
          <w:lang w:val="en-US"/>
        </w:rPr>
        <w:t>anggotanya</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disepakati</w:t>
      </w:r>
      <w:proofErr w:type="spellEnd"/>
      <w:r w:rsidR="00543477" w:rsidRPr="007720BC">
        <w:rPr>
          <w:rFonts w:ascii="Times New Roman" w:hAnsi="Times New Roman" w:cs="Times New Roman"/>
          <w:sz w:val="24"/>
          <w:szCs w:val="24"/>
        </w:rPr>
        <w:t xml:space="preserve"> </w:t>
      </w:r>
      <w:proofErr w:type="spellStart"/>
      <w:r w:rsidR="00543477" w:rsidRPr="007720BC">
        <w:rPr>
          <w:rFonts w:ascii="Times New Roman" w:hAnsi="Times New Roman" w:cs="Times New Roman"/>
          <w:sz w:val="24"/>
          <w:szCs w:val="24"/>
          <w:lang w:val="en-US"/>
        </w:rPr>
        <w:t>seluruh</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masyarakat</w:t>
      </w:r>
      <w:proofErr w:type="spellEnd"/>
      <w:r w:rsidR="00543477" w:rsidRPr="007720BC">
        <w:rPr>
          <w:rFonts w:ascii="Times New Roman" w:hAnsi="Times New Roman" w:cs="Times New Roman"/>
          <w:sz w:val="24"/>
          <w:szCs w:val="24"/>
          <w:lang w:val="en-US"/>
        </w:rPr>
        <w:t xml:space="preserve"> dan </w:t>
      </w:r>
      <w:proofErr w:type="spellStart"/>
      <w:r w:rsidR="00543477" w:rsidRPr="007720BC">
        <w:rPr>
          <w:rFonts w:ascii="Times New Roman" w:hAnsi="Times New Roman" w:cs="Times New Roman"/>
          <w:sz w:val="24"/>
          <w:szCs w:val="24"/>
          <w:lang w:val="en-US"/>
        </w:rPr>
        <w:t>dikembangkan</w:t>
      </w:r>
      <w:proofErr w:type="spellEnd"/>
      <w:r w:rsidR="00543477" w:rsidRPr="007720BC">
        <w:rPr>
          <w:rFonts w:ascii="Times New Roman" w:hAnsi="Times New Roman" w:cs="Times New Roman"/>
          <w:sz w:val="24"/>
          <w:szCs w:val="24"/>
        </w:rPr>
        <w:t xml:space="preserve"> </w:t>
      </w:r>
      <w:proofErr w:type="spellStart"/>
      <w:r w:rsidR="00543477" w:rsidRPr="007720BC">
        <w:rPr>
          <w:rFonts w:ascii="Times New Roman" w:hAnsi="Times New Roman" w:cs="Times New Roman"/>
          <w:sz w:val="24"/>
          <w:szCs w:val="24"/>
          <w:lang w:val="en-US"/>
        </w:rPr>
        <w:t>sesuai</w:t>
      </w:r>
      <w:proofErr w:type="spellEnd"/>
      <w:r w:rsidR="00543477" w:rsidRPr="007720BC">
        <w:rPr>
          <w:rFonts w:ascii="Times New Roman" w:hAnsi="Times New Roman" w:cs="Times New Roman"/>
          <w:sz w:val="24"/>
          <w:szCs w:val="24"/>
        </w:rPr>
        <w:t xml:space="preserve"> </w:t>
      </w:r>
      <w:proofErr w:type="spellStart"/>
      <w:r w:rsidR="00543477" w:rsidRPr="007720BC">
        <w:rPr>
          <w:rFonts w:ascii="Times New Roman" w:hAnsi="Times New Roman" w:cs="Times New Roman"/>
          <w:sz w:val="24"/>
          <w:szCs w:val="24"/>
          <w:lang w:val="en-US"/>
        </w:rPr>
        <w:t>dengan</w:t>
      </w:r>
      <w:proofErr w:type="spellEnd"/>
      <w:r w:rsidR="00543477" w:rsidRPr="007720BC">
        <w:rPr>
          <w:rFonts w:ascii="Times New Roman" w:hAnsi="Times New Roman" w:cs="Times New Roman"/>
          <w:sz w:val="24"/>
          <w:szCs w:val="24"/>
        </w:rPr>
        <w:t xml:space="preserve"> </w:t>
      </w:r>
      <w:proofErr w:type="spellStart"/>
      <w:r w:rsidR="00543477" w:rsidRPr="007720BC">
        <w:rPr>
          <w:rFonts w:ascii="Times New Roman" w:hAnsi="Times New Roman" w:cs="Times New Roman"/>
          <w:sz w:val="24"/>
          <w:szCs w:val="24"/>
          <w:lang w:val="en-US"/>
        </w:rPr>
        <w:t>situasi</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kondisi</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kebutuhan</w:t>
      </w:r>
      <w:proofErr w:type="spellEnd"/>
      <w:r w:rsidR="00543477" w:rsidRPr="007720BC">
        <w:rPr>
          <w:rFonts w:ascii="Times New Roman" w:hAnsi="Times New Roman" w:cs="Times New Roman"/>
          <w:sz w:val="24"/>
          <w:szCs w:val="24"/>
          <w:lang w:val="en-US"/>
        </w:rPr>
        <w:t xml:space="preserve">, dan </w:t>
      </w:r>
      <w:proofErr w:type="spellStart"/>
      <w:r w:rsidR="00543477" w:rsidRPr="007720BC">
        <w:rPr>
          <w:rFonts w:ascii="Times New Roman" w:hAnsi="Times New Roman" w:cs="Times New Roman"/>
          <w:sz w:val="24"/>
          <w:szCs w:val="24"/>
          <w:lang w:val="en-US"/>
        </w:rPr>
        <w:t>kemampuan</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masyarakat</w:t>
      </w:r>
      <w:proofErr w:type="spellEnd"/>
      <w:r w:rsidR="00543477" w:rsidRPr="007720BC">
        <w:rPr>
          <w:rFonts w:ascii="Times New Roman" w:hAnsi="Times New Roman" w:cs="Times New Roman"/>
          <w:sz w:val="24"/>
          <w:szCs w:val="24"/>
        </w:rPr>
        <w:t xml:space="preserve"> </w:t>
      </w:r>
      <w:proofErr w:type="spellStart"/>
      <w:r w:rsidR="00543477" w:rsidRPr="007720BC">
        <w:rPr>
          <w:rFonts w:ascii="Times New Roman" w:hAnsi="Times New Roman" w:cs="Times New Roman"/>
          <w:sz w:val="24"/>
          <w:szCs w:val="24"/>
          <w:lang w:val="en-US"/>
        </w:rPr>
        <w:t>dengan</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tetap</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mengacu</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kepada</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delapan</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fungsi</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keluarga</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yaitu</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fungsi</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keagamaan</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fungsi</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sosial</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budaya</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fungsi</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cinta</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kasih</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fungsi</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perlindungan</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fungsi</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reproduksi</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fungsi</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sosial</w:t>
      </w:r>
      <w:proofErr w:type="spellEnd"/>
      <w:r w:rsidR="00543477" w:rsidRPr="007720BC">
        <w:rPr>
          <w:rFonts w:ascii="Times New Roman" w:hAnsi="Times New Roman" w:cs="Times New Roman"/>
          <w:sz w:val="24"/>
          <w:szCs w:val="24"/>
          <w:lang w:val="en-US"/>
        </w:rPr>
        <w:t xml:space="preserve"> dan </w:t>
      </w:r>
      <w:proofErr w:type="spellStart"/>
      <w:r w:rsidR="00543477" w:rsidRPr="007720BC">
        <w:rPr>
          <w:rFonts w:ascii="Times New Roman" w:hAnsi="Times New Roman" w:cs="Times New Roman"/>
          <w:sz w:val="24"/>
          <w:szCs w:val="24"/>
          <w:lang w:val="en-US"/>
        </w:rPr>
        <w:t>pendidikan</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fungsi</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ekonomi</w:t>
      </w:r>
      <w:proofErr w:type="spellEnd"/>
      <w:r w:rsidR="00543477" w:rsidRPr="007720BC">
        <w:rPr>
          <w:rFonts w:ascii="Times New Roman" w:hAnsi="Times New Roman" w:cs="Times New Roman"/>
          <w:sz w:val="24"/>
          <w:szCs w:val="24"/>
          <w:lang w:val="en-US"/>
        </w:rPr>
        <w:t xml:space="preserve"> dan </w:t>
      </w:r>
      <w:proofErr w:type="spellStart"/>
      <w:r w:rsidR="00543477" w:rsidRPr="007720BC">
        <w:rPr>
          <w:rFonts w:ascii="Times New Roman" w:hAnsi="Times New Roman" w:cs="Times New Roman"/>
          <w:sz w:val="24"/>
          <w:szCs w:val="24"/>
          <w:lang w:val="en-US"/>
        </w:rPr>
        <w:t>fungsi</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pembinaan</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lingkungan</w:t>
      </w:r>
      <w:proofErr w:type="spellEnd"/>
      <w:r w:rsidR="00543477" w:rsidRPr="007720BC">
        <w:rPr>
          <w:rFonts w:ascii="Times New Roman" w:hAnsi="Times New Roman" w:cs="Times New Roman"/>
          <w:sz w:val="24"/>
          <w:szCs w:val="24"/>
          <w:lang w:val="en-US"/>
        </w:rPr>
        <w:t>.</w:t>
      </w:r>
    </w:p>
    <w:p w14:paraId="20DFE392" w14:textId="1650B0D1" w:rsidR="006C6E29" w:rsidRPr="007720BC" w:rsidRDefault="0022051D" w:rsidP="006C6E29">
      <w:pPr>
        <w:spacing w:after="0" w:line="240" w:lineRule="auto"/>
        <w:ind w:firstLine="720"/>
        <w:jc w:val="both"/>
        <w:rPr>
          <w:rFonts w:ascii="Times New Roman" w:hAnsi="Times New Roman" w:cs="Times New Roman"/>
          <w:sz w:val="24"/>
          <w:szCs w:val="24"/>
          <w:lang w:val="en-US"/>
        </w:rPr>
      </w:pPr>
      <w:r w:rsidRPr="007720BC">
        <w:rPr>
          <w:rFonts w:ascii="Times New Roman" w:hAnsi="Times New Roman" w:cs="Times New Roman"/>
          <w:sz w:val="24"/>
          <w:szCs w:val="24"/>
          <w:lang w:val="en-US"/>
        </w:rPr>
        <w:t xml:space="preserve">Selain </w:t>
      </w:r>
      <w:proofErr w:type="spellStart"/>
      <w:r w:rsidRPr="007720BC">
        <w:rPr>
          <w:rFonts w:ascii="Times New Roman" w:hAnsi="Times New Roman" w:cs="Times New Roman"/>
          <w:sz w:val="24"/>
          <w:szCs w:val="24"/>
          <w:lang w:val="en-US"/>
        </w:rPr>
        <w:t>kegiatan</w:t>
      </w:r>
      <w:proofErr w:type="spellEnd"/>
      <w:r w:rsidRPr="007720BC">
        <w:rPr>
          <w:rFonts w:ascii="Times New Roman" w:hAnsi="Times New Roman" w:cs="Times New Roman"/>
          <w:sz w:val="24"/>
          <w:szCs w:val="24"/>
          <w:lang w:val="en-US"/>
        </w:rPr>
        <w:t xml:space="preserve"> k</w:t>
      </w:r>
      <w:r w:rsidRPr="007720BC">
        <w:rPr>
          <w:rFonts w:ascii="Times New Roman" w:hAnsi="Times New Roman" w:cs="Times New Roman"/>
          <w:sz w:val="24"/>
          <w:szCs w:val="24"/>
          <w:lang w:val="id-ID"/>
        </w:rPr>
        <w:t>unjungan rumah</w:t>
      </w:r>
      <w:r w:rsidRPr="007720BC">
        <w:rPr>
          <w:rFonts w:ascii="Times New Roman" w:hAnsi="Times New Roman" w:cs="Times New Roman"/>
          <w:sz w:val="24"/>
          <w:szCs w:val="24"/>
          <w:lang w:val="en-US"/>
        </w:rPr>
        <w:t>/</w:t>
      </w:r>
      <w:proofErr w:type="spellStart"/>
      <w:r w:rsidRPr="007720BC">
        <w:rPr>
          <w:rFonts w:ascii="Times New Roman" w:hAnsi="Times New Roman" w:cs="Times New Roman"/>
          <w:sz w:val="24"/>
          <w:szCs w:val="24"/>
          <w:lang w:val="en-US"/>
        </w:rPr>
        <w:t>keluarga</w:t>
      </w:r>
      <w:proofErr w:type="spellEnd"/>
      <w:r w:rsidRPr="007720BC">
        <w:rPr>
          <w:rFonts w:ascii="Times New Roman" w:hAnsi="Times New Roman" w:cs="Times New Roman"/>
          <w:sz w:val="24"/>
          <w:szCs w:val="24"/>
          <w:lang w:val="en-US"/>
        </w:rPr>
        <w:t xml:space="preserve"> </w:t>
      </w:r>
      <w:r w:rsidRPr="007720BC">
        <w:rPr>
          <w:rFonts w:ascii="Times New Roman" w:hAnsi="Times New Roman" w:cs="Times New Roman"/>
          <w:i/>
          <w:iCs/>
          <w:sz w:val="24"/>
          <w:szCs w:val="24"/>
          <w:lang w:val="en-US"/>
        </w:rPr>
        <w:t>(home</w:t>
      </w:r>
      <w:r w:rsidR="0043288E" w:rsidRPr="007720BC">
        <w:rPr>
          <w:rFonts w:ascii="Times New Roman" w:hAnsi="Times New Roman" w:cs="Times New Roman"/>
          <w:i/>
          <w:iCs/>
          <w:sz w:val="24"/>
          <w:szCs w:val="24"/>
          <w:lang w:val="en-US"/>
        </w:rPr>
        <w:t xml:space="preserve"> visit</w:t>
      </w:r>
      <w:r w:rsidRPr="007720BC">
        <w:rPr>
          <w:rFonts w:ascii="Times New Roman" w:hAnsi="Times New Roman" w:cs="Times New Roman"/>
          <w:i/>
          <w:iCs/>
          <w:sz w:val="24"/>
          <w:szCs w:val="24"/>
          <w:lang w:val="en-US"/>
        </w:rPr>
        <w:t>)</w:t>
      </w:r>
      <w:r w:rsidRPr="007720BC">
        <w:rPr>
          <w:rFonts w:ascii="Times New Roman" w:hAnsi="Times New Roman" w:cs="Times New Roman"/>
          <w:sz w:val="24"/>
          <w:szCs w:val="24"/>
          <w:lang w:val="en-US"/>
        </w:rPr>
        <w:t xml:space="preserve"> dan </w:t>
      </w:r>
      <w:proofErr w:type="spellStart"/>
      <w:r w:rsidRPr="007720BC">
        <w:rPr>
          <w:rFonts w:ascii="Times New Roman" w:hAnsi="Times New Roman" w:cs="Times New Roman"/>
          <w:sz w:val="24"/>
          <w:szCs w:val="24"/>
          <w:lang w:val="en-US"/>
        </w:rPr>
        <w:t>penyuluhan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dari</w:t>
      </w:r>
      <w:proofErr w:type="spellEnd"/>
      <w:r w:rsidRPr="007720BC">
        <w:rPr>
          <w:rFonts w:ascii="Times New Roman" w:hAnsi="Times New Roman" w:cs="Times New Roman"/>
          <w:sz w:val="24"/>
          <w:szCs w:val="24"/>
          <w:lang w:val="en-US"/>
        </w:rPr>
        <w:t xml:space="preserve"> </w:t>
      </w:r>
      <w:r w:rsidRPr="007720BC">
        <w:rPr>
          <w:rFonts w:ascii="Times New Roman" w:hAnsi="Times New Roman" w:cs="Times New Roman"/>
          <w:sz w:val="24"/>
          <w:szCs w:val="24"/>
          <w:lang w:val="id-ID" w:eastAsia="en-ID"/>
        </w:rPr>
        <w:t>Posyandu</w:t>
      </w:r>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kegiatan</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sosialisasi</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hidup</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sehat</w:t>
      </w:r>
      <w:proofErr w:type="spellEnd"/>
      <w:r w:rsidRPr="007720BC">
        <w:rPr>
          <w:rFonts w:ascii="Times New Roman" w:hAnsi="Times New Roman" w:cs="Times New Roman"/>
          <w:sz w:val="24"/>
          <w:szCs w:val="24"/>
          <w:lang w:val="en-US" w:eastAsia="en-ID"/>
        </w:rPr>
        <w:t xml:space="preserve"> dan </w:t>
      </w:r>
      <w:proofErr w:type="spellStart"/>
      <w:r w:rsidRPr="007720BC">
        <w:rPr>
          <w:rFonts w:ascii="Times New Roman" w:hAnsi="Times New Roman" w:cs="Times New Roman"/>
          <w:sz w:val="24"/>
          <w:szCs w:val="24"/>
          <w:lang w:val="en-US" w:eastAsia="en-ID"/>
        </w:rPr>
        <w:t>bersih</w:t>
      </w:r>
      <w:proofErr w:type="spellEnd"/>
      <w:r w:rsidRPr="007720BC">
        <w:rPr>
          <w:rFonts w:ascii="Times New Roman" w:hAnsi="Times New Roman" w:cs="Times New Roman"/>
          <w:sz w:val="24"/>
          <w:szCs w:val="24"/>
          <w:lang w:val="en-US" w:eastAsia="en-ID"/>
        </w:rPr>
        <w:t xml:space="preserve"> juga </w:t>
      </w:r>
      <w:proofErr w:type="spellStart"/>
      <w:r w:rsidRPr="007720BC">
        <w:rPr>
          <w:rFonts w:ascii="Times New Roman" w:hAnsi="Times New Roman" w:cs="Times New Roman"/>
          <w:sz w:val="24"/>
          <w:szCs w:val="24"/>
          <w:lang w:val="en-US" w:eastAsia="en-ID"/>
        </w:rPr>
        <w:t>dilakukan</w:t>
      </w:r>
      <w:proofErr w:type="spellEnd"/>
      <w:r w:rsidRPr="007720BC">
        <w:rPr>
          <w:rFonts w:ascii="Times New Roman" w:hAnsi="Times New Roman" w:cs="Times New Roman"/>
          <w:sz w:val="24"/>
          <w:szCs w:val="24"/>
          <w:lang w:val="en-US" w:eastAsia="en-ID"/>
        </w:rPr>
        <w:t xml:space="preserve"> di forum-forum </w:t>
      </w:r>
      <w:proofErr w:type="spellStart"/>
      <w:r w:rsidRPr="007720BC">
        <w:rPr>
          <w:rFonts w:ascii="Times New Roman" w:hAnsi="Times New Roman" w:cs="Times New Roman"/>
          <w:sz w:val="24"/>
          <w:szCs w:val="24"/>
          <w:lang w:val="en-US" w:eastAsia="en-ID"/>
        </w:rPr>
        <w:t>keagamaan</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seperti</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pengajian</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dengan</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melibatkan</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tokoh</w:t>
      </w:r>
      <w:proofErr w:type="spellEnd"/>
      <w:r w:rsidRPr="007720BC">
        <w:rPr>
          <w:rFonts w:ascii="Times New Roman" w:hAnsi="Times New Roman" w:cs="Times New Roman"/>
          <w:sz w:val="24"/>
          <w:szCs w:val="24"/>
          <w:lang w:val="en-US" w:eastAsia="en-ID"/>
        </w:rPr>
        <w:t xml:space="preserve"> agama dan forum </w:t>
      </w:r>
      <w:proofErr w:type="spellStart"/>
      <w:r w:rsidRPr="007720BC">
        <w:rPr>
          <w:rFonts w:ascii="Times New Roman" w:hAnsi="Times New Roman" w:cs="Times New Roman"/>
          <w:sz w:val="24"/>
          <w:szCs w:val="24"/>
          <w:lang w:val="en-US" w:eastAsia="en-ID"/>
        </w:rPr>
        <w:t>kemasyarakatan</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seperti</w:t>
      </w:r>
      <w:proofErr w:type="spellEnd"/>
      <w:r w:rsidRPr="007720BC">
        <w:rPr>
          <w:rFonts w:ascii="Times New Roman" w:hAnsi="Times New Roman" w:cs="Times New Roman"/>
          <w:sz w:val="24"/>
          <w:szCs w:val="24"/>
          <w:lang w:val="en-US" w:eastAsia="en-ID"/>
        </w:rPr>
        <w:t xml:space="preserve"> pada </w:t>
      </w:r>
      <w:proofErr w:type="spellStart"/>
      <w:r w:rsidRPr="007720BC">
        <w:rPr>
          <w:rFonts w:ascii="Times New Roman" w:hAnsi="Times New Roman" w:cs="Times New Roman"/>
          <w:sz w:val="24"/>
          <w:szCs w:val="24"/>
          <w:lang w:val="en-US" w:eastAsia="en-ID"/>
        </w:rPr>
        <w:t>kegiatan</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rapat</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atau</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musyawarah</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desa</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sehingga</w:t>
      </w:r>
      <w:proofErr w:type="spellEnd"/>
      <w:r w:rsidRPr="007720BC">
        <w:rPr>
          <w:rFonts w:ascii="Times New Roman" w:hAnsi="Times New Roman" w:cs="Times New Roman"/>
          <w:sz w:val="24"/>
          <w:szCs w:val="24"/>
          <w:lang w:val="en-US" w:eastAsia="en-ID"/>
        </w:rPr>
        <w:t xml:space="preserve"> t</w:t>
      </w:r>
      <w:proofErr w:type="spellStart"/>
      <w:r w:rsidRPr="007720BC">
        <w:rPr>
          <w:rFonts w:ascii="Times New Roman" w:hAnsi="Times New Roman" w:cs="Times New Roman"/>
          <w:sz w:val="24"/>
          <w:szCs w:val="24"/>
        </w:rPr>
        <w:t>arget</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kelompok</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sasaran</w:t>
      </w:r>
      <w:proofErr w:type="spellEnd"/>
      <w:r w:rsidRPr="007720BC">
        <w:rPr>
          <w:rFonts w:ascii="Times New Roman" w:hAnsi="Times New Roman" w:cs="Times New Roman"/>
          <w:sz w:val="24"/>
          <w:szCs w:val="24"/>
        </w:rPr>
        <w:t xml:space="preserve"> Kampung KB </w:t>
      </w:r>
      <w:proofErr w:type="spellStart"/>
      <w:r w:rsidRPr="007720BC">
        <w:rPr>
          <w:rFonts w:ascii="Times New Roman" w:hAnsi="Times New Roman" w:cs="Times New Roman"/>
          <w:sz w:val="24"/>
          <w:szCs w:val="24"/>
        </w:rPr>
        <w:t>tidak</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hanya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merubah</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perilaku</w:t>
      </w:r>
      <w:proofErr w:type="spellEnd"/>
      <w:r w:rsidRPr="007720BC">
        <w:rPr>
          <w:rFonts w:ascii="Times New Roman" w:hAnsi="Times New Roman" w:cs="Times New Roman"/>
          <w:sz w:val="24"/>
          <w:szCs w:val="24"/>
        </w:rPr>
        <w:t xml:space="preserve"> pada </w:t>
      </w:r>
      <w:proofErr w:type="spellStart"/>
      <w:r w:rsidRPr="007720BC">
        <w:rPr>
          <w:rFonts w:ascii="Times New Roman" w:hAnsi="Times New Roman" w:cs="Times New Roman"/>
          <w:sz w:val="24"/>
          <w:szCs w:val="24"/>
        </w:rPr>
        <w:t>kelompok</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seperti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ibu</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hamil</w:t>
      </w:r>
      <w:proofErr w:type="spellEnd"/>
      <w:r w:rsidRPr="007720BC">
        <w:rPr>
          <w:rFonts w:ascii="Times New Roman" w:hAnsi="Times New Roman" w:cs="Times New Roman"/>
          <w:sz w:val="24"/>
          <w:szCs w:val="24"/>
        </w:rPr>
        <w:t xml:space="preserve"> dan </w:t>
      </w:r>
      <w:proofErr w:type="spellStart"/>
      <w:r w:rsidRPr="007720BC">
        <w:rPr>
          <w:rFonts w:ascii="Times New Roman" w:hAnsi="Times New Roman" w:cs="Times New Roman"/>
          <w:sz w:val="24"/>
          <w:szCs w:val="24"/>
        </w:rPr>
        <w:t>ibu</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rumah</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tangga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saja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tetapi</w:t>
      </w:r>
      <w:proofErr w:type="spellEnd"/>
      <w:r w:rsidRPr="007720BC">
        <w:rPr>
          <w:rFonts w:ascii="Times New Roman" w:hAnsi="Times New Roman" w:cs="Times New Roman"/>
          <w:sz w:val="24"/>
          <w:szCs w:val="24"/>
        </w:rPr>
        <w:t xml:space="preserve"> juga di </w:t>
      </w:r>
      <w:proofErr w:type="spellStart"/>
      <w:r w:rsidRPr="007720BC">
        <w:rPr>
          <w:rFonts w:ascii="Times New Roman" w:hAnsi="Times New Roman" w:cs="Times New Roman"/>
          <w:sz w:val="24"/>
          <w:szCs w:val="24"/>
        </w:rPr>
        <w:t>kalangan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masyarakat</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umum</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seperti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anggota</w:t>
      </w:r>
      <w:proofErr w:type="spellEnd"/>
      <w:r w:rsidRPr="007720BC">
        <w:rPr>
          <w:rFonts w:ascii="Times New Roman" w:hAnsi="Times New Roman" w:cs="Times New Roman"/>
          <w:sz w:val="24"/>
          <w:szCs w:val="24"/>
        </w:rPr>
        <w:t xml:space="preserve"> Masyarakat yang </w:t>
      </w:r>
      <w:proofErr w:type="spellStart"/>
      <w:r w:rsidRPr="007720BC">
        <w:rPr>
          <w:rFonts w:ascii="Times New Roman" w:hAnsi="Times New Roman" w:cs="Times New Roman"/>
          <w:sz w:val="24"/>
          <w:szCs w:val="24"/>
        </w:rPr>
        <w:t>sudah</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memasuki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usia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lanjut</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usia</w:t>
      </w:r>
      <w:proofErr w:type="spellEnd"/>
      <w:r w:rsidRPr="007720BC">
        <w:rPr>
          <w:rFonts w:ascii="Times New Roman" w:hAnsi="Times New Roman" w:cs="Times New Roman"/>
          <w:sz w:val="24"/>
          <w:szCs w:val="24"/>
        </w:rPr>
        <w:t xml:space="preserve">, para pemuda dan </w:t>
      </w:r>
      <w:proofErr w:type="spellStart"/>
      <w:r w:rsidRPr="007720BC">
        <w:rPr>
          <w:rFonts w:ascii="Times New Roman" w:hAnsi="Times New Roman" w:cs="Times New Roman"/>
          <w:sz w:val="24"/>
          <w:szCs w:val="24"/>
        </w:rPr>
        <w:t>remaja</w:t>
      </w:r>
      <w:proofErr w:type="spellEnd"/>
      <w:r w:rsidRPr="007720BC">
        <w:rPr>
          <w:rFonts w:ascii="Times New Roman" w:hAnsi="Times New Roman" w:cs="Times New Roman"/>
          <w:sz w:val="24"/>
          <w:szCs w:val="24"/>
        </w:rPr>
        <w:t xml:space="preserve">. </w:t>
      </w:r>
      <w:r w:rsidR="006C6E29" w:rsidRPr="007720BC">
        <w:rPr>
          <w:rFonts w:ascii="Times New Roman" w:hAnsi="Times New Roman" w:cs="Times New Roman"/>
          <w:sz w:val="24"/>
          <w:szCs w:val="24"/>
        </w:rPr>
        <w:t xml:space="preserve">Hal </w:t>
      </w:r>
      <w:proofErr w:type="spellStart"/>
      <w:r w:rsidR="006C6E29" w:rsidRPr="007720BC">
        <w:rPr>
          <w:rFonts w:ascii="Times New Roman" w:hAnsi="Times New Roman" w:cs="Times New Roman"/>
          <w:sz w:val="24"/>
          <w:szCs w:val="24"/>
        </w:rPr>
        <w:t>ini</w:t>
      </w:r>
      <w:proofErr w:type="spellEnd"/>
      <w:r w:rsidR="006C6E29" w:rsidRPr="007720BC">
        <w:rPr>
          <w:rFonts w:ascii="Times New Roman" w:hAnsi="Times New Roman" w:cs="Times New Roman"/>
          <w:sz w:val="24"/>
          <w:szCs w:val="24"/>
        </w:rPr>
        <w:t xml:space="preserve"> </w:t>
      </w:r>
      <w:proofErr w:type="spellStart"/>
      <w:r w:rsidR="006C6E29" w:rsidRPr="007720BC">
        <w:rPr>
          <w:rFonts w:ascii="Times New Roman" w:hAnsi="Times New Roman" w:cs="Times New Roman"/>
          <w:sz w:val="24"/>
          <w:szCs w:val="24"/>
        </w:rPr>
        <w:t>sejalan</w:t>
      </w:r>
      <w:proofErr w:type="spellEnd"/>
      <w:r w:rsidR="006C6E29" w:rsidRPr="007720BC">
        <w:rPr>
          <w:rFonts w:ascii="Times New Roman" w:hAnsi="Times New Roman" w:cs="Times New Roman"/>
          <w:sz w:val="24"/>
          <w:szCs w:val="24"/>
        </w:rPr>
        <w:t xml:space="preserve"> </w:t>
      </w:r>
      <w:proofErr w:type="spellStart"/>
      <w:r w:rsidR="006C6E29" w:rsidRPr="007720BC">
        <w:rPr>
          <w:rFonts w:ascii="Times New Roman" w:hAnsi="Times New Roman" w:cs="Times New Roman"/>
          <w:sz w:val="24"/>
          <w:szCs w:val="24"/>
        </w:rPr>
        <w:t>dengan</w:t>
      </w:r>
      <w:proofErr w:type="spellEnd"/>
      <w:r w:rsidR="006C6E29" w:rsidRPr="007720BC">
        <w:rPr>
          <w:rFonts w:ascii="Times New Roman" w:hAnsi="Times New Roman" w:cs="Times New Roman"/>
          <w:sz w:val="24"/>
          <w:szCs w:val="24"/>
        </w:rPr>
        <w:t xml:space="preserve"> </w:t>
      </w:r>
      <w:proofErr w:type="spellStart"/>
      <w:r w:rsidR="006C6E29" w:rsidRPr="007720BC">
        <w:rPr>
          <w:rFonts w:ascii="Times New Roman" w:hAnsi="Times New Roman" w:cs="Times New Roman"/>
          <w:sz w:val="24"/>
          <w:szCs w:val="24"/>
        </w:rPr>
        <w:t>konsep</w:t>
      </w:r>
      <w:proofErr w:type="spellEnd"/>
      <w:r w:rsidR="006C6E29" w:rsidRPr="007720BC">
        <w:rPr>
          <w:rFonts w:ascii="Times New Roman" w:hAnsi="Times New Roman" w:cs="Times New Roman"/>
          <w:sz w:val="24"/>
          <w:szCs w:val="24"/>
        </w:rPr>
        <w:t xml:space="preserve"> </w:t>
      </w:r>
      <w:proofErr w:type="spellStart"/>
      <w:r w:rsidR="006C6E29" w:rsidRPr="007720BC">
        <w:rPr>
          <w:rFonts w:ascii="Times New Roman" w:hAnsi="Times New Roman" w:cs="Times New Roman"/>
          <w:sz w:val="24"/>
          <w:szCs w:val="24"/>
        </w:rPr>
        <w:t>delapan</w:t>
      </w:r>
      <w:proofErr w:type="spellEnd"/>
      <w:r w:rsidR="006C6E29" w:rsidRPr="007720BC">
        <w:rPr>
          <w:rFonts w:ascii="Times New Roman" w:hAnsi="Times New Roman" w:cs="Times New Roman"/>
          <w:sz w:val="24"/>
          <w:szCs w:val="24"/>
        </w:rPr>
        <w:t xml:space="preserve"> </w:t>
      </w:r>
      <w:proofErr w:type="spellStart"/>
      <w:r w:rsidR="006C6E29" w:rsidRPr="007720BC">
        <w:rPr>
          <w:rFonts w:ascii="Times New Roman" w:hAnsi="Times New Roman" w:cs="Times New Roman"/>
          <w:sz w:val="24"/>
          <w:szCs w:val="24"/>
        </w:rPr>
        <w:t>prinsip</w:t>
      </w:r>
      <w:proofErr w:type="spellEnd"/>
      <w:r w:rsidR="006C6E29" w:rsidRPr="007720BC">
        <w:rPr>
          <w:rFonts w:ascii="Times New Roman" w:hAnsi="Times New Roman" w:cs="Times New Roman"/>
          <w:sz w:val="24"/>
          <w:szCs w:val="24"/>
        </w:rPr>
        <w:t xml:space="preserve"> </w:t>
      </w:r>
      <w:proofErr w:type="spellStart"/>
      <w:r w:rsidR="006C6E29" w:rsidRPr="007720BC">
        <w:rPr>
          <w:rFonts w:ascii="Times New Roman" w:hAnsi="Times New Roman" w:cs="Times New Roman"/>
          <w:sz w:val="24"/>
          <w:szCs w:val="24"/>
        </w:rPr>
        <w:t>keluarga</w:t>
      </w:r>
      <w:proofErr w:type="spellEnd"/>
      <w:r w:rsidR="006C6E29" w:rsidRPr="007720BC">
        <w:rPr>
          <w:rFonts w:ascii="Times New Roman" w:hAnsi="Times New Roman" w:cs="Times New Roman"/>
          <w:sz w:val="24"/>
          <w:szCs w:val="24"/>
        </w:rPr>
        <w:t xml:space="preserve"> yang </w:t>
      </w:r>
      <w:proofErr w:type="spellStart"/>
      <w:r w:rsidR="006C6E29" w:rsidRPr="007720BC">
        <w:rPr>
          <w:rFonts w:ascii="Times New Roman" w:hAnsi="Times New Roman" w:cs="Times New Roman"/>
          <w:sz w:val="24"/>
          <w:szCs w:val="24"/>
        </w:rPr>
        <w:t>menjadi</w:t>
      </w:r>
      <w:proofErr w:type="spellEnd"/>
      <w:r w:rsidR="006C6E29" w:rsidRPr="007720BC">
        <w:rPr>
          <w:rFonts w:ascii="Times New Roman" w:hAnsi="Times New Roman" w:cs="Times New Roman"/>
          <w:sz w:val="24"/>
          <w:szCs w:val="24"/>
        </w:rPr>
        <w:t xml:space="preserve"> </w:t>
      </w:r>
      <w:proofErr w:type="spellStart"/>
      <w:r w:rsidR="006C6E29" w:rsidRPr="007720BC">
        <w:rPr>
          <w:rFonts w:ascii="Times New Roman" w:hAnsi="Times New Roman" w:cs="Times New Roman"/>
          <w:sz w:val="24"/>
          <w:szCs w:val="24"/>
        </w:rPr>
        <w:t>pedoman</w:t>
      </w:r>
      <w:proofErr w:type="spellEnd"/>
      <w:r w:rsidR="006C6E29" w:rsidRPr="007720BC">
        <w:rPr>
          <w:rFonts w:ascii="Times New Roman" w:hAnsi="Times New Roman" w:cs="Times New Roman"/>
          <w:sz w:val="24"/>
          <w:szCs w:val="24"/>
        </w:rPr>
        <w:t xml:space="preserve"> Kampung KB </w:t>
      </w:r>
      <w:proofErr w:type="spellStart"/>
      <w:r w:rsidR="006C6E29" w:rsidRPr="007720BC">
        <w:rPr>
          <w:rFonts w:ascii="Times New Roman" w:hAnsi="Times New Roman" w:cs="Times New Roman"/>
          <w:sz w:val="24"/>
          <w:szCs w:val="24"/>
        </w:rPr>
        <w:t>yaitu</w:t>
      </w:r>
      <w:proofErr w:type="spellEnd"/>
      <w:r w:rsidR="006C6E29" w:rsidRPr="007720BC">
        <w:rPr>
          <w:rFonts w:ascii="Times New Roman" w:hAnsi="Times New Roman" w:cs="Times New Roman"/>
          <w:sz w:val="24"/>
          <w:szCs w:val="24"/>
        </w:rPr>
        <w:t xml:space="preserve"> </w:t>
      </w:r>
      <w:proofErr w:type="spellStart"/>
      <w:r w:rsidR="006C6E29" w:rsidRPr="007720BC">
        <w:rPr>
          <w:rFonts w:ascii="Times New Roman" w:hAnsi="Times New Roman" w:cs="Times New Roman"/>
          <w:sz w:val="24"/>
          <w:szCs w:val="24"/>
          <w:lang w:val="en-US"/>
        </w:rPr>
        <w:t>fungsi</w:t>
      </w:r>
      <w:proofErr w:type="spellEnd"/>
      <w:r w:rsidR="006C6E29" w:rsidRPr="007720BC">
        <w:rPr>
          <w:rFonts w:ascii="Times New Roman" w:hAnsi="Times New Roman" w:cs="Times New Roman"/>
          <w:sz w:val="24"/>
          <w:szCs w:val="24"/>
          <w:lang w:val="en-US"/>
        </w:rPr>
        <w:t xml:space="preserve"> </w:t>
      </w:r>
      <w:proofErr w:type="spellStart"/>
      <w:r w:rsidR="006C6E29" w:rsidRPr="007720BC">
        <w:rPr>
          <w:rFonts w:ascii="Times New Roman" w:hAnsi="Times New Roman" w:cs="Times New Roman"/>
          <w:sz w:val="24"/>
          <w:szCs w:val="24"/>
          <w:lang w:val="en-US"/>
        </w:rPr>
        <w:t>keagamaan</w:t>
      </w:r>
      <w:proofErr w:type="spellEnd"/>
      <w:r w:rsidR="006C6E29" w:rsidRPr="007720BC">
        <w:rPr>
          <w:rFonts w:ascii="Times New Roman" w:hAnsi="Times New Roman" w:cs="Times New Roman"/>
          <w:sz w:val="24"/>
          <w:szCs w:val="24"/>
          <w:lang w:val="en-US"/>
        </w:rPr>
        <w:t xml:space="preserve">, </w:t>
      </w:r>
      <w:proofErr w:type="spellStart"/>
      <w:r w:rsidR="006C6E29" w:rsidRPr="007720BC">
        <w:rPr>
          <w:rFonts w:ascii="Times New Roman" w:hAnsi="Times New Roman" w:cs="Times New Roman"/>
          <w:sz w:val="24"/>
          <w:szCs w:val="24"/>
          <w:lang w:val="en-US"/>
        </w:rPr>
        <w:t>fungsi</w:t>
      </w:r>
      <w:proofErr w:type="spellEnd"/>
      <w:r w:rsidR="006C6E29" w:rsidRPr="007720BC">
        <w:rPr>
          <w:rFonts w:ascii="Times New Roman" w:hAnsi="Times New Roman" w:cs="Times New Roman"/>
          <w:sz w:val="24"/>
          <w:szCs w:val="24"/>
          <w:lang w:val="en-US"/>
        </w:rPr>
        <w:t xml:space="preserve"> </w:t>
      </w:r>
      <w:proofErr w:type="spellStart"/>
      <w:r w:rsidR="006C6E29" w:rsidRPr="007720BC">
        <w:rPr>
          <w:rFonts w:ascii="Times New Roman" w:hAnsi="Times New Roman" w:cs="Times New Roman"/>
          <w:sz w:val="24"/>
          <w:szCs w:val="24"/>
          <w:lang w:val="en-US"/>
        </w:rPr>
        <w:t>sosial</w:t>
      </w:r>
      <w:proofErr w:type="spellEnd"/>
      <w:r w:rsidR="006C6E29" w:rsidRPr="007720BC">
        <w:rPr>
          <w:rFonts w:ascii="Times New Roman" w:hAnsi="Times New Roman" w:cs="Times New Roman"/>
          <w:sz w:val="24"/>
          <w:szCs w:val="24"/>
          <w:lang w:val="en-US"/>
        </w:rPr>
        <w:t xml:space="preserve"> </w:t>
      </w:r>
      <w:proofErr w:type="spellStart"/>
      <w:r w:rsidR="006C6E29" w:rsidRPr="007720BC">
        <w:rPr>
          <w:rFonts w:ascii="Times New Roman" w:hAnsi="Times New Roman" w:cs="Times New Roman"/>
          <w:sz w:val="24"/>
          <w:szCs w:val="24"/>
          <w:lang w:val="en-US"/>
        </w:rPr>
        <w:t>budaya</w:t>
      </w:r>
      <w:proofErr w:type="spellEnd"/>
      <w:r w:rsidR="006C6E29" w:rsidRPr="007720BC">
        <w:rPr>
          <w:rFonts w:ascii="Times New Roman" w:hAnsi="Times New Roman" w:cs="Times New Roman"/>
          <w:sz w:val="24"/>
          <w:szCs w:val="24"/>
          <w:lang w:val="en-US"/>
        </w:rPr>
        <w:t xml:space="preserve">, </w:t>
      </w:r>
      <w:proofErr w:type="spellStart"/>
      <w:r w:rsidR="006C6E29" w:rsidRPr="007720BC">
        <w:rPr>
          <w:rFonts w:ascii="Times New Roman" w:hAnsi="Times New Roman" w:cs="Times New Roman"/>
          <w:sz w:val="24"/>
          <w:szCs w:val="24"/>
          <w:lang w:val="en-US"/>
        </w:rPr>
        <w:t>fungsi</w:t>
      </w:r>
      <w:proofErr w:type="spellEnd"/>
      <w:r w:rsidR="006C6E29" w:rsidRPr="007720BC">
        <w:rPr>
          <w:rFonts w:ascii="Times New Roman" w:hAnsi="Times New Roman" w:cs="Times New Roman"/>
          <w:sz w:val="24"/>
          <w:szCs w:val="24"/>
          <w:lang w:val="en-US"/>
        </w:rPr>
        <w:t xml:space="preserve"> </w:t>
      </w:r>
      <w:proofErr w:type="spellStart"/>
      <w:r w:rsidR="006C6E29" w:rsidRPr="007720BC">
        <w:rPr>
          <w:rFonts w:ascii="Times New Roman" w:hAnsi="Times New Roman" w:cs="Times New Roman"/>
          <w:sz w:val="24"/>
          <w:szCs w:val="24"/>
          <w:lang w:val="en-US"/>
        </w:rPr>
        <w:t>cinta</w:t>
      </w:r>
      <w:proofErr w:type="spellEnd"/>
      <w:r w:rsidR="006C6E29" w:rsidRPr="007720BC">
        <w:rPr>
          <w:rFonts w:ascii="Times New Roman" w:hAnsi="Times New Roman" w:cs="Times New Roman"/>
          <w:sz w:val="24"/>
          <w:szCs w:val="24"/>
          <w:lang w:val="en-US"/>
        </w:rPr>
        <w:t xml:space="preserve"> </w:t>
      </w:r>
      <w:proofErr w:type="spellStart"/>
      <w:r w:rsidR="006C6E29" w:rsidRPr="007720BC">
        <w:rPr>
          <w:rFonts w:ascii="Times New Roman" w:hAnsi="Times New Roman" w:cs="Times New Roman"/>
          <w:sz w:val="24"/>
          <w:szCs w:val="24"/>
          <w:lang w:val="en-US"/>
        </w:rPr>
        <w:t>kasih</w:t>
      </w:r>
      <w:proofErr w:type="spellEnd"/>
      <w:r w:rsidR="006C6E29" w:rsidRPr="007720BC">
        <w:rPr>
          <w:rFonts w:ascii="Times New Roman" w:hAnsi="Times New Roman" w:cs="Times New Roman"/>
          <w:sz w:val="24"/>
          <w:szCs w:val="24"/>
          <w:lang w:val="en-US"/>
        </w:rPr>
        <w:t xml:space="preserve">, </w:t>
      </w:r>
      <w:proofErr w:type="spellStart"/>
      <w:r w:rsidR="006C6E29" w:rsidRPr="007720BC">
        <w:rPr>
          <w:rFonts w:ascii="Times New Roman" w:hAnsi="Times New Roman" w:cs="Times New Roman"/>
          <w:sz w:val="24"/>
          <w:szCs w:val="24"/>
          <w:lang w:val="en-US"/>
        </w:rPr>
        <w:t>fungsi</w:t>
      </w:r>
      <w:proofErr w:type="spellEnd"/>
      <w:r w:rsidR="006C6E29" w:rsidRPr="007720BC">
        <w:rPr>
          <w:rFonts w:ascii="Times New Roman" w:hAnsi="Times New Roman" w:cs="Times New Roman"/>
          <w:sz w:val="24"/>
          <w:szCs w:val="24"/>
          <w:lang w:val="en-US"/>
        </w:rPr>
        <w:t xml:space="preserve"> </w:t>
      </w:r>
      <w:proofErr w:type="spellStart"/>
      <w:r w:rsidR="006C6E29" w:rsidRPr="007720BC">
        <w:rPr>
          <w:rFonts w:ascii="Times New Roman" w:hAnsi="Times New Roman" w:cs="Times New Roman"/>
          <w:sz w:val="24"/>
          <w:szCs w:val="24"/>
          <w:lang w:val="en-US"/>
        </w:rPr>
        <w:t>perlindungan</w:t>
      </w:r>
      <w:proofErr w:type="spellEnd"/>
      <w:r w:rsidR="006C6E29" w:rsidRPr="007720BC">
        <w:rPr>
          <w:rFonts w:ascii="Times New Roman" w:hAnsi="Times New Roman" w:cs="Times New Roman"/>
          <w:sz w:val="24"/>
          <w:szCs w:val="24"/>
          <w:lang w:val="en-US"/>
        </w:rPr>
        <w:t xml:space="preserve">, </w:t>
      </w:r>
      <w:proofErr w:type="spellStart"/>
      <w:r w:rsidR="006C6E29" w:rsidRPr="007720BC">
        <w:rPr>
          <w:rFonts w:ascii="Times New Roman" w:hAnsi="Times New Roman" w:cs="Times New Roman"/>
          <w:sz w:val="24"/>
          <w:szCs w:val="24"/>
          <w:lang w:val="en-US"/>
        </w:rPr>
        <w:t>fungsi</w:t>
      </w:r>
      <w:proofErr w:type="spellEnd"/>
      <w:r w:rsidR="006C6E29" w:rsidRPr="007720BC">
        <w:rPr>
          <w:rFonts w:ascii="Times New Roman" w:hAnsi="Times New Roman" w:cs="Times New Roman"/>
          <w:sz w:val="24"/>
          <w:szCs w:val="24"/>
          <w:lang w:val="en-US"/>
        </w:rPr>
        <w:t xml:space="preserve"> </w:t>
      </w:r>
      <w:proofErr w:type="spellStart"/>
      <w:r w:rsidR="006C6E29" w:rsidRPr="007720BC">
        <w:rPr>
          <w:rFonts w:ascii="Times New Roman" w:hAnsi="Times New Roman" w:cs="Times New Roman"/>
          <w:sz w:val="24"/>
          <w:szCs w:val="24"/>
          <w:lang w:val="en-US"/>
        </w:rPr>
        <w:t>reproduksi</w:t>
      </w:r>
      <w:proofErr w:type="spellEnd"/>
      <w:r w:rsidR="006C6E29" w:rsidRPr="007720BC">
        <w:rPr>
          <w:rFonts w:ascii="Times New Roman" w:hAnsi="Times New Roman" w:cs="Times New Roman"/>
          <w:sz w:val="24"/>
          <w:szCs w:val="24"/>
          <w:lang w:val="en-US"/>
        </w:rPr>
        <w:t xml:space="preserve">, </w:t>
      </w:r>
      <w:proofErr w:type="spellStart"/>
      <w:r w:rsidR="006C6E29" w:rsidRPr="007720BC">
        <w:rPr>
          <w:rFonts w:ascii="Times New Roman" w:hAnsi="Times New Roman" w:cs="Times New Roman"/>
          <w:sz w:val="24"/>
          <w:szCs w:val="24"/>
          <w:lang w:val="en-US"/>
        </w:rPr>
        <w:t>fungsi</w:t>
      </w:r>
      <w:proofErr w:type="spellEnd"/>
      <w:r w:rsidR="006C6E29" w:rsidRPr="007720BC">
        <w:rPr>
          <w:rFonts w:ascii="Times New Roman" w:hAnsi="Times New Roman" w:cs="Times New Roman"/>
          <w:sz w:val="24"/>
          <w:szCs w:val="24"/>
          <w:lang w:val="en-US"/>
        </w:rPr>
        <w:t xml:space="preserve"> </w:t>
      </w:r>
      <w:proofErr w:type="spellStart"/>
      <w:r w:rsidR="006C6E29" w:rsidRPr="007720BC">
        <w:rPr>
          <w:rFonts w:ascii="Times New Roman" w:hAnsi="Times New Roman" w:cs="Times New Roman"/>
          <w:sz w:val="24"/>
          <w:szCs w:val="24"/>
          <w:lang w:val="en-US"/>
        </w:rPr>
        <w:t>sosial</w:t>
      </w:r>
      <w:proofErr w:type="spellEnd"/>
      <w:r w:rsidR="006C6E29" w:rsidRPr="007720BC">
        <w:rPr>
          <w:rFonts w:ascii="Times New Roman" w:hAnsi="Times New Roman" w:cs="Times New Roman"/>
          <w:sz w:val="24"/>
          <w:szCs w:val="24"/>
          <w:lang w:val="en-US"/>
        </w:rPr>
        <w:t xml:space="preserve"> dan </w:t>
      </w:r>
      <w:proofErr w:type="spellStart"/>
      <w:r w:rsidR="006C6E29" w:rsidRPr="007720BC">
        <w:rPr>
          <w:rFonts w:ascii="Times New Roman" w:hAnsi="Times New Roman" w:cs="Times New Roman"/>
          <w:sz w:val="24"/>
          <w:szCs w:val="24"/>
          <w:lang w:val="en-US"/>
        </w:rPr>
        <w:t>pendidikan</w:t>
      </w:r>
      <w:proofErr w:type="spellEnd"/>
      <w:r w:rsidR="006C6E29" w:rsidRPr="007720BC">
        <w:rPr>
          <w:rFonts w:ascii="Times New Roman" w:hAnsi="Times New Roman" w:cs="Times New Roman"/>
          <w:sz w:val="24"/>
          <w:szCs w:val="24"/>
          <w:lang w:val="en-US"/>
        </w:rPr>
        <w:t xml:space="preserve">, </w:t>
      </w:r>
      <w:proofErr w:type="spellStart"/>
      <w:r w:rsidR="006C6E29" w:rsidRPr="007720BC">
        <w:rPr>
          <w:rFonts w:ascii="Times New Roman" w:hAnsi="Times New Roman" w:cs="Times New Roman"/>
          <w:sz w:val="24"/>
          <w:szCs w:val="24"/>
          <w:lang w:val="en-US"/>
        </w:rPr>
        <w:t>fungsi</w:t>
      </w:r>
      <w:proofErr w:type="spellEnd"/>
      <w:r w:rsidR="006C6E29" w:rsidRPr="007720BC">
        <w:rPr>
          <w:rFonts w:ascii="Times New Roman" w:hAnsi="Times New Roman" w:cs="Times New Roman"/>
          <w:sz w:val="24"/>
          <w:szCs w:val="24"/>
          <w:lang w:val="en-US"/>
        </w:rPr>
        <w:t xml:space="preserve"> </w:t>
      </w:r>
      <w:proofErr w:type="spellStart"/>
      <w:r w:rsidR="006C6E29" w:rsidRPr="007720BC">
        <w:rPr>
          <w:rFonts w:ascii="Times New Roman" w:hAnsi="Times New Roman" w:cs="Times New Roman"/>
          <w:sz w:val="24"/>
          <w:szCs w:val="24"/>
          <w:lang w:val="en-US"/>
        </w:rPr>
        <w:t>ekonomi</w:t>
      </w:r>
      <w:proofErr w:type="spellEnd"/>
      <w:r w:rsidR="006C6E29" w:rsidRPr="007720BC">
        <w:rPr>
          <w:rFonts w:ascii="Times New Roman" w:hAnsi="Times New Roman" w:cs="Times New Roman"/>
          <w:sz w:val="24"/>
          <w:szCs w:val="24"/>
          <w:lang w:val="en-US"/>
        </w:rPr>
        <w:t xml:space="preserve"> dan </w:t>
      </w:r>
      <w:proofErr w:type="spellStart"/>
      <w:r w:rsidR="006C6E29" w:rsidRPr="007720BC">
        <w:rPr>
          <w:rFonts w:ascii="Times New Roman" w:hAnsi="Times New Roman" w:cs="Times New Roman"/>
          <w:sz w:val="24"/>
          <w:szCs w:val="24"/>
          <w:lang w:val="en-US"/>
        </w:rPr>
        <w:t>fungsi</w:t>
      </w:r>
      <w:proofErr w:type="spellEnd"/>
      <w:r w:rsidR="006C6E29" w:rsidRPr="007720BC">
        <w:rPr>
          <w:rFonts w:ascii="Times New Roman" w:hAnsi="Times New Roman" w:cs="Times New Roman"/>
          <w:sz w:val="24"/>
          <w:szCs w:val="24"/>
          <w:lang w:val="en-US"/>
        </w:rPr>
        <w:t xml:space="preserve"> </w:t>
      </w:r>
      <w:proofErr w:type="spellStart"/>
      <w:r w:rsidR="006C6E29" w:rsidRPr="007720BC">
        <w:rPr>
          <w:rFonts w:ascii="Times New Roman" w:hAnsi="Times New Roman" w:cs="Times New Roman"/>
          <w:sz w:val="24"/>
          <w:szCs w:val="24"/>
          <w:lang w:val="en-US"/>
        </w:rPr>
        <w:t>pembinaan</w:t>
      </w:r>
      <w:proofErr w:type="spellEnd"/>
      <w:r w:rsidR="006C6E29" w:rsidRPr="007720BC">
        <w:rPr>
          <w:rFonts w:ascii="Times New Roman" w:hAnsi="Times New Roman" w:cs="Times New Roman"/>
          <w:sz w:val="24"/>
          <w:szCs w:val="24"/>
          <w:lang w:val="en-US"/>
        </w:rPr>
        <w:t xml:space="preserve"> </w:t>
      </w:r>
      <w:proofErr w:type="spellStart"/>
      <w:r w:rsidR="006C6E29" w:rsidRPr="007720BC">
        <w:rPr>
          <w:rFonts w:ascii="Times New Roman" w:hAnsi="Times New Roman" w:cs="Times New Roman"/>
          <w:sz w:val="24"/>
          <w:szCs w:val="24"/>
          <w:lang w:val="en-US"/>
        </w:rPr>
        <w:t>lingkungan</w:t>
      </w:r>
      <w:proofErr w:type="spellEnd"/>
      <w:r w:rsidR="006C6E29" w:rsidRPr="007720BC">
        <w:rPr>
          <w:rFonts w:ascii="Times New Roman" w:hAnsi="Times New Roman" w:cs="Times New Roman"/>
          <w:sz w:val="24"/>
          <w:szCs w:val="24"/>
          <w:lang w:val="en-US"/>
        </w:rPr>
        <w:t>.</w:t>
      </w:r>
    </w:p>
    <w:p w14:paraId="7EEB8A00" w14:textId="45A1C78E" w:rsidR="00717586" w:rsidRPr="007720BC" w:rsidRDefault="001A36BD" w:rsidP="00717586">
      <w:pPr>
        <w:spacing w:after="0" w:line="240" w:lineRule="auto"/>
        <w:ind w:firstLine="720"/>
        <w:jc w:val="both"/>
        <w:rPr>
          <w:rFonts w:ascii="Times New Roman" w:hAnsi="Times New Roman" w:cs="Times New Roman"/>
          <w:sz w:val="24"/>
          <w:szCs w:val="24"/>
          <w:lang w:val="en-US"/>
        </w:rPr>
      </w:pPr>
      <w:r w:rsidRPr="007720BC">
        <w:rPr>
          <w:rFonts w:ascii="Times New Roman" w:hAnsi="Times New Roman" w:cs="Times New Roman"/>
          <w:sz w:val="24"/>
          <w:szCs w:val="24"/>
        </w:rPr>
        <w:t xml:space="preserve">Dalam </w:t>
      </w:r>
      <w:proofErr w:type="spellStart"/>
      <w:r w:rsidRPr="007720BC">
        <w:rPr>
          <w:rFonts w:ascii="Times New Roman" w:hAnsi="Times New Roman" w:cs="Times New Roman"/>
          <w:sz w:val="24"/>
          <w:szCs w:val="24"/>
        </w:rPr>
        <w:t>implementasinya</w:t>
      </w:r>
      <w:proofErr w:type="spellEnd"/>
      <w:r w:rsidR="0053750D" w:rsidRPr="007720BC">
        <w:rPr>
          <w:rFonts w:ascii="Times New Roman" w:hAnsi="Times New Roman" w:cs="Times New Roman"/>
          <w:sz w:val="24"/>
          <w:szCs w:val="24"/>
        </w:rPr>
        <w:t xml:space="preserve"> </w:t>
      </w:r>
      <w:proofErr w:type="spellStart"/>
      <w:r w:rsidR="00CB4E4C" w:rsidRPr="007720BC">
        <w:rPr>
          <w:rFonts w:ascii="Times New Roman" w:hAnsi="Times New Roman" w:cs="Times New Roman"/>
          <w:sz w:val="24"/>
          <w:szCs w:val="24"/>
        </w:rPr>
        <w:t>ditemui</w:t>
      </w:r>
      <w:proofErr w:type="spellEnd"/>
      <w:r w:rsidR="00CB4E4C" w:rsidRPr="007720BC">
        <w:rPr>
          <w:rFonts w:ascii="Times New Roman" w:hAnsi="Times New Roman" w:cs="Times New Roman"/>
          <w:sz w:val="24"/>
          <w:szCs w:val="24"/>
        </w:rPr>
        <w:t xml:space="preserve"> </w:t>
      </w:r>
      <w:proofErr w:type="spellStart"/>
      <w:r w:rsidR="00CB4E4C" w:rsidRPr="007720BC">
        <w:rPr>
          <w:rFonts w:ascii="Times New Roman" w:hAnsi="Times New Roman" w:cs="Times New Roman"/>
          <w:sz w:val="24"/>
          <w:szCs w:val="24"/>
        </w:rPr>
        <w:t>b</w:t>
      </w:r>
      <w:r w:rsidRPr="007720BC">
        <w:rPr>
          <w:rFonts w:ascii="Times New Roman" w:hAnsi="Times New Roman" w:cs="Times New Roman"/>
          <w:sz w:val="24"/>
          <w:szCs w:val="24"/>
        </w:rPr>
        <w:t>erbagai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h</w:t>
      </w:r>
      <w:r w:rsidR="00834830" w:rsidRPr="007720BC">
        <w:rPr>
          <w:rFonts w:ascii="Times New Roman" w:hAnsi="Times New Roman" w:cs="Times New Roman"/>
          <w:sz w:val="24"/>
          <w:szCs w:val="24"/>
        </w:rPr>
        <w:t>ambatan</w:t>
      </w:r>
      <w:proofErr w:type="spellEnd"/>
      <w:r w:rsidR="00834830"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seperti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penolakan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dari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keluarga</w:t>
      </w:r>
      <w:proofErr w:type="spellEnd"/>
      <w:r w:rsidR="00717586" w:rsidRPr="007720BC">
        <w:rPr>
          <w:rFonts w:ascii="Times New Roman" w:hAnsi="Times New Roman" w:cs="Times New Roman"/>
          <w:sz w:val="24"/>
          <w:szCs w:val="24"/>
        </w:rPr>
        <w:t xml:space="preserve"> </w:t>
      </w:r>
      <w:proofErr w:type="spellStart"/>
      <w:r w:rsidR="00717586" w:rsidRPr="007720BC">
        <w:rPr>
          <w:rFonts w:ascii="Times New Roman" w:hAnsi="Times New Roman" w:cs="Times New Roman"/>
          <w:sz w:val="24"/>
          <w:szCs w:val="24"/>
        </w:rPr>
        <w:t>sasaran</w:t>
      </w:r>
      <w:proofErr w:type="spellEnd"/>
      <w:r w:rsidR="00717586" w:rsidRPr="007720BC">
        <w:rPr>
          <w:rFonts w:ascii="Times New Roman" w:hAnsi="Times New Roman" w:cs="Times New Roman"/>
          <w:sz w:val="24"/>
          <w:szCs w:val="24"/>
        </w:rPr>
        <w:t xml:space="preserve"> </w:t>
      </w:r>
      <w:r w:rsidR="00D4609F" w:rsidRPr="007720BC">
        <w:rPr>
          <w:rFonts w:ascii="Times New Roman" w:hAnsi="Times New Roman" w:cs="Times New Roman"/>
          <w:sz w:val="24"/>
          <w:szCs w:val="24"/>
        </w:rPr>
        <w:t xml:space="preserve">yang </w:t>
      </w:r>
      <w:proofErr w:type="spellStart"/>
      <w:r w:rsidR="00D4609F" w:rsidRPr="007720BC">
        <w:rPr>
          <w:rFonts w:ascii="Times New Roman" w:hAnsi="Times New Roman" w:cs="Times New Roman"/>
          <w:sz w:val="24"/>
          <w:szCs w:val="24"/>
        </w:rPr>
        <w:t>antipati</w:t>
      </w:r>
      <w:proofErr w:type="spellEnd"/>
      <w:r w:rsidR="00D4609F" w:rsidRPr="007720BC">
        <w:rPr>
          <w:rFonts w:ascii="Times New Roman" w:hAnsi="Times New Roman" w:cs="Times New Roman"/>
          <w:sz w:val="24"/>
          <w:szCs w:val="24"/>
        </w:rPr>
        <w:t xml:space="preserve"> </w:t>
      </w:r>
      <w:proofErr w:type="spellStart"/>
      <w:r w:rsidR="00D4609F" w:rsidRPr="007720BC">
        <w:rPr>
          <w:rFonts w:ascii="Times New Roman" w:hAnsi="Times New Roman" w:cs="Times New Roman"/>
          <w:sz w:val="24"/>
          <w:szCs w:val="24"/>
        </w:rPr>
        <w:t>terhadap</w:t>
      </w:r>
      <w:proofErr w:type="spellEnd"/>
      <w:r w:rsidR="00D4609F" w:rsidRPr="007720BC">
        <w:rPr>
          <w:rFonts w:ascii="Times New Roman" w:hAnsi="Times New Roman" w:cs="Times New Roman"/>
          <w:sz w:val="24"/>
          <w:szCs w:val="24"/>
        </w:rPr>
        <w:t xml:space="preserve"> program-program </w:t>
      </w:r>
      <w:r w:rsidR="00CB4E4C" w:rsidRPr="007720BC">
        <w:rPr>
          <w:rFonts w:ascii="Times New Roman" w:hAnsi="Times New Roman" w:cs="Times New Roman"/>
          <w:sz w:val="24"/>
          <w:szCs w:val="24"/>
        </w:rPr>
        <w:t>Kampung KB</w:t>
      </w:r>
      <w:r w:rsidR="00D4609F" w:rsidRPr="007720BC">
        <w:rPr>
          <w:rFonts w:ascii="Times New Roman" w:hAnsi="Times New Roman" w:cs="Times New Roman"/>
          <w:sz w:val="24"/>
          <w:szCs w:val="24"/>
        </w:rPr>
        <w:t xml:space="preserve"> </w:t>
      </w:r>
      <w:r w:rsidR="00717586" w:rsidRPr="007720BC">
        <w:rPr>
          <w:rFonts w:ascii="Times New Roman" w:hAnsi="Times New Roman" w:cs="Times New Roman"/>
          <w:sz w:val="24"/>
          <w:szCs w:val="24"/>
        </w:rPr>
        <w:t>dan</w:t>
      </w:r>
      <w:r w:rsidR="00CB4E4C" w:rsidRPr="007720BC">
        <w:rPr>
          <w:rFonts w:ascii="Times New Roman" w:hAnsi="Times New Roman" w:cs="Times New Roman"/>
          <w:sz w:val="24"/>
          <w:szCs w:val="24"/>
        </w:rPr>
        <w:t xml:space="preserve"> </w:t>
      </w:r>
      <w:proofErr w:type="spellStart"/>
      <w:r w:rsidR="00D4609F" w:rsidRPr="007720BC">
        <w:rPr>
          <w:rFonts w:ascii="Times New Roman" w:hAnsi="Times New Roman" w:cs="Times New Roman"/>
          <w:sz w:val="24"/>
          <w:szCs w:val="24"/>
        </w:rPr>
        <w:t>tidak</w:t>
      </w:r>
      <w:proofErr w:type="spellEnd"/>
      <w:r w:rsidR="00D4609F" w:rsidRPr="007720BC">
        <w:rPr>
          <w:rFonts w:ascii="Times New Roman" w:hAnsi="Times New Roman" w:cs="Times New Roman"/>
          <w:sz w:val="24"/>
          <w:szCs w:val="24"/>
        </w:rPr>
        <w:t xml:space="preserve"> </w:t>
      </w:r>
      <w:proofErr w:type="spellStart"/>
      <w:r w:rsidR="00D4609F" w:rsidRPr="007720BC">
        <w:rPr>
          <w:rFonts w:ascii="Times New Roman" w:hAnsi="Times New Roman" w:cs="Times New Roman"/>
          <w:sz w:val="24"/>
          <w:szCs w:val="24"/>
        </w:rPr>
        <w:t>menginginkan</w:t>
      </w:r>
      <w:proofErr w:type="spellEnd"/>
      <w:r w:rsidR="00D4609F" w:rsidRPr="007720BC">
        <w:rPr>
          <w:rFonts w:ascii="Times New Roman" w:hAnsi="Times New Roman" w:cs="Times New Roman"/>
          <w:sz w:val="24"/>
          <w:szCs w:val="24"/>
        </w:rPr>
        <w:t xml:space="preserve"> </w:t>
      </w:r>
      <w:proofErr w:type="spellStart"/>
      <w:r w:rsidR="00D4609F" w:rsidRPr="007720BC">
        <w:rPr>
          <w:rFonts w:ascii="Times New Roman" w:hAnsi="Times New Roman" w:cs="Times New Roman"/>
          <w:sz w:val="24"/>
          <w:szCs w:val="24"/>
        </w:rPr>
        <w:t>anaknya</w:t>
      </w:r>
      <w:proofErr w:type="spellEnd"/>
      <w:r w:rsidR="00D4609F" w:rsidRPr="007720BC">
        <w:rPr>
          <w:rFonts w:ascii="Times New Roman" w:hAnsi="Times New Roman" w:cs="Times New Roman"/>
          <w:sz w:val="24"/>
          <w:szCs w:val="24"/>
        </w:rPr>
        <w:t xml:space="preserve"> </w:t>
      </w:r>
      <w:proofErr w:type="spellStart"/>
      <w:r w:rsidR="00D4609F" w:rsidRPr="007720BC">
        <w:rPr>
          <w:rFonts w:ascii="Times New Roman" w:hAnsi="Times New Roman" w:cs="Times New Roman"/>
          <w:sz w:val="24"/>
          <w:szCs w:val="24"/>
        </w:rPr>
        <w:t>diberikan</w:t>
      </w:r>
      <w:proofErr w:type="spellEnd"/>
      <w:r w:rsidR="00D4609F" w:rsidRPr="007720BC">
        <w:rPr>
          <w:rFonts w:ascii="Times New Roman" w:hAnsi="Times New Roman" w:cs="Times New Roman"/>
          <w:sz w:val="24"/>
          <w:szCs w:val="24"/>
        </w:rPr>
        <w:t xml:space="preserve"> </w:t>
      </w:r>
      <w:proofErr w:type="spellStart"/>
      <w:r w:rsidR="00D4609F" w:rsidRPr="007720BC">
        <w:rPr>
          <w:rFonts w:ascii="Times New Roman" w:hAnsi="Times New Roman" w:cs="Times New Roman"/>
          <w:sz w:val="24"/>
          <w:szCs w:val="24"/>
        </w:rPr>
        <w:t>imunisasi</w:t>
      </w:r>
      <w:proofErr w:type="spellEnd"/>
      <w:r w:rsidR="00717586" w:rsidRPr="007720BC">
        <w:rPr>
          <w:rFonts w:ascii="Times New Roman" w:hAnsi="Times New Roman" w:cs="Times New Roman"/>
          <w:sz w:val="24"/>
          <w:szCs w:val="24"/>
        </w:rPr>
        <w:t xml:space="preserve"> dan </w:t>
      </w:r>
      <w:proofErr w:type="spellStart"/>
      <w:r w:rsidR="00130505" w:rsidRPr="007720BC">
        <w:rPr>
          <w:rFonts w:ascii="Times New Roman" w:hAnsi="Times New Roman" w:cs="Times New Roman"/>
          <w:sz w:val="24"/>
          <w:szCs w:val="24"/>
          <w:lang w:val="en-US"/>
        </w:rPr>
        <w:t>masih</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belum</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optimalnya</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waktu</w:t>
      </w:r>
      <w:proofErr w:type="spellEnd"/>
      <w:r w:rsidR="00130505" w:rsidRPr="007720BC">
        <w:rPr>
          <w:rFonts w:ascii="Times New Roman" w:hAnsi="Times New Roman" w:cs="Times New Roman"/>
          <w:sz w:val="24"/>
          <w:szCs w:val="24"/>
          <w:lang w:val="en-US"/>
        </w:rPr>
        <w:t xml:space="preserve"> yang </w:t>
      </w:r>
      <w:proofErr w:type="spellStart"/>
      <w:r w:rsidR="00130505" w:rsidRPr="007720BC">
        <w:rPr>
          <w:rFonts w:ascii="Times New Roman" w:hAnsi="Times New Roman" w:cs="Times New Roman"/>
          <w:sz w:val="24"/>
          <w:szCs w:val="24"/>
          <w:lang w:val="en-US"/>
        </w:rPr>
        <w:t>dimiliki</w:t>
      </w:r>
      <w:proofErr w:type="spellEnd"/>
      <w:r w:rsidR="00130505" w:rsidRPr="007720BC">
        <w:rPr>
          <w:rFonts w:ascii="Times New Roman" w:hAnsi="Times New Roman" w:cs="Times New Roman"/>
          <w:sz w:val="24"/>
          <w:szCs w:val="24"/>
          <w:lang w:val="en-US"/>
        </w:rPr>
        <w:t xml:space="preserve"> oleh Kader Kampung KB </w:t>
      </w:r>
      <w:proofErr w:type="spellStart"/>
      <w:r w:rsidR="00130505" w:rsidRPr="007720BC">
        <w:rPr>
          <w:rFonts w:ascii="Times New Roman" w:hAnsi="Times New Roman" w:cs="Times New Roman"/>
          <w:sz w:val="24"/>
          <w:szCs w:val="24"/>
          <w:lang w:val="en-US"/>
        </w:rPr>
        <w:t>dikarenakan</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harus</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berperan</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ganda</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sebagai</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pegawai</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swasta</w:t>
      </w:r>
      <w:proofErr w:type="spellEnd"/>
      <w:r w:rsidR="00130505" w:rsidRPr="007720BC">
        <w:rPr>
          <w:rFonts w:ascii="Times New Roman" w:hAnsi="Times New Roman" w:cs="Times New Roman"/>
          <w:sz w:val="24"/>
          <w:szCs w:val="24"/>
          <w:lang w:val="en-US"/>
        </w:rPr>
        <w:t xml:space="preserve"> dan </w:t>
      </w:r>
      <w:proofErr w:type="spellStart"/>
      <w:r w:rsidR="00130505" w:rsidRPr="007720BC">
        <w:rPr>
          <w:rFonts w:ascii="Times New Roman" w:hAnsi="Times New Roman" w:cs="Times New Roman"/>
          <w:sz w:val="24"/>
          <w:szCs w:val="24"/>
          <w:lang w:val="en-US"/>
        </w:rPr>
        <w:t>ibu</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rumah</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tangga</w:t>
      </w:r>
      <w:proofErr w:type="spellEnd"/>
      <w:r w:rsidR="00130505" w:rsidRPr="007720BC">
        <w:rPr>
          <w:rFonts w:ascii="Times New Roman" w:hAnsi="Times New Roman" w:cs="Times New Roman"/>
          <w:sz w:val="24"/>
          <w:szCs w:val="24"/>
          <w:lang w:val="en-US"/>
        </w:rPr>
        <w:t xml:space="preserve">. </w:t>
      </w:r>
      <w:proofErr w:type="spellStart"/>
      <w:r w:rsidR="00D4609F" w:rsidRPr="007720BC">
        <w:rPr>
          <w:rFonts w:ascii="Times New Roman" w:hAnsi="Times New Roman" w:cs="Times New Roman"/>
          <w:sz w:val="24"/>
          <w:szCs w:val="24"/>
        </w:rPr>
        <w:t>Disisi</w:t>
      </w:r>
      <w:proofErr w:type="spellEnd"/>
      <w:r w:rsidR="00D4609F" w:rsidRPr="007720BC">
        <w:rPr>
          <w:rFonts w:ascii="Times New Roman" w:hAnsi="Times New Roman" w:cs="Times New Roman"/>
          <w:sz w:val="24"/>
          <w:szCs w:val="24"/>
        </w:rPr>
        <w:t xml:space="preserve"> lain Desa </w:t>
      </w:r>
      <w:proofErr w:type="spellStart"/>
      <w:r w:rsidR="00D4609F" w:rsidRPr="007720BC">
        <w:rPr>
          <w:rFonts w:ascii="Times New Roman" w:hAnsi="Times New Roman" w:cs="Times New Roman"/>
          <w:sz w:val="24"/>
          <w:szCs w:val="24"/>
        </w:rPr>
        <w:t>Mongpok</w:t>
      </w:r>
      <w:proofErr w:type="spellEnd"/>
      <w:r w:rsidR="00D4609F" w:rsidRPr="007720BC">
        <w:rPr>
          <w:rFonts w:ascii="Times New Roman" w:hAnsi="Times New Roman" w:cs="Times New Roman"/>
          <w:sz w:val="24"/>
          <w:szCs w:val="24"/>
        </w:rPr>
        <w:t xml:space="preserve"> </w:t>
      </w:r>
      <w:proofErr w:type="spellStart"/>
      <w:r w:rsidR="00D4609F" w:rsidRPr="007720BC">
        <w:rPr>
          <w:rFonts w:ascii="Times New Roman" w:hAnsi="Times New Roman" w:cs="Times New Roman"/>
          <w:sz w:val="24"/>
          <w:szCs w:val="24"/>
        </w:rPr>
        <w:t>merupakan</w:t>
      </w:r>
      <w:proofErr w:type="spellEnd"/>
      <w:r w:rsidR="00D4609F" w:rsidRPr="007720BC">
        <w:rPr>
          <w:rFonts w:ascii="Times New Roman" w:hAnsi="Times New Roman" w:cs="Times New Roman"/>
          <w:sz w:val="24"/>
          <w:szCs w:val="24"/>
        </w:rPr>
        <w:t xml:space="preserve"> salah </w:t>
      </w:r>
      <w:proofErr w:type="spellStart"/>
      <w:r w:rsidR="00D4609F" w:rsidRPr="007720BC">
        <w:rPr>
          <w:rFonts w:ascii="Times New Roman" w:hAnsi="Times New Roman" w:cs="Times New Roman"/>
          <w:sz w:val="24"/>
          <w:szCs w:val="24"/>
        </w:rPr>
        <w:t>satu</w:t>
      </w:r>
      <w:proofErr w:type="spellEnd"/>
      <w:r w:rsidR="00D4609F" w:rsidRPr="007720BC">
        <w:rPr>
          <w:rFonts w:ascii="Times New Roman" w:hAnsi="Times New Roman" w:cs="Times New Roman"/>
          <w:sz w:val="24"/>
          <w:szCs w:val="24"/>
        </w:rPr>
        <w:t xml:space="preserve"> </w:t>
      </w:r>
      <w:proofErr w:type="spellStart"/>
      <w:r w:rsidR="00D4609F" w:rsidRPr="007720BC">
        <w:rPr>
          <w:rFonts w:ascii="Times New Roman" w:hAnsi="Times New Roman" w:cs="Times New Roman"/>
          <w:sz w:val="24"/>
          <w:szCs w:val="24"/>
        </w:rPr>
        <w:t>desa</w:t>
      </w:r>
      <w:proofErr w:type="spellEnd"/>
      <w:r w:rsidR="00D4609F" w:rsidRPr="007720BC">
        <w:rPr>
          <w:rFonts w:ascii="Times New Roman" w:hAnsi="Times New Roman" w:cs="Times New Roman"/>
          <w:sz w:val="24"/>
          <w:szCs w:val="24"/>
        </w:rPr>
        <w:t xml:space="preserve"> di </w:t>
      </w:r>
      <w:proofErr w:type="spellStart"/>
      <w:r w:rsidR="00D4609F" w:rsidRPr="007720BC">
        <w:rPr>
          <w:rFonts w:ascii="Times New Roman" w:hAnsi="Times New Roman" w:cs="Times New Roman"/>
          <w:sz w:val="24"/>
          <w:szCs w:val="24"/>
        </w:rPr>
        <w:t>Provinsi</w:t>
      </w:r>
      <w:proofErr w:type="spellEnd"/>
      <w:r w:rsidR="00D4609F" w:rsidRPr="007720BC">
        <w:rPr>
          <w:rFonts w:ascii="Times New Roman" w:hAnsi="Times New Roman" w:cs="Times New Roman"/>
          <w:sz w:val="24"/>
          <w:szCs w:val="24"/>
        </w:rPr>
        <w:t xml:space="preserve"> Banten yang </w:t>
      </w:r>
      <w:proofErr w:type="spellStart"/>
      <w:r w:rsidR="00D4609F" w:rsidRPr="007720BC">
        <w:rPr>
          <w:rFonts w:ascii="Times New Roman" w:hAnsi="Times New Roman" w:cs="Times New Roman"/>
          <w:sz w:val="24"/>
          <w:szCs w:val="24"/>
        </w:rPr>
        <w:t>masih</w:t>
      </w:r>
      <w:proofErr w:type="spellEnd"/>
      <w:r w:rsidR="00D4609F" w:rsidRPr="007720BC">
        <w:rPr>
          <w:rFonts w:ascii="Times New Roman" w:hAnsi="Times New Roman" w:cs="Times New Roman"/>
          <w:sz w:val="24"/>
          <w:szCs w:val="24"/>
        </w:rPr>
        <w:t xml:space="preserve"> </w:t>
      </w:r>
      <w:proofErr w:type="spellStart"/>
      <w:r w:rsidR="00D4609F" w:rsidRPr="007720BC">
        <w:rPr>
          <w:rFonts w:ascii="Times New Roman" w:hAnsi="Times New Roman" w:cs="Times New Roman"/>
          <w:sz w:val="24"/>
          <w:szCs w:val="24"/>
        </w:rPr>
        <w:t>memegang</w:t>
      </w:r>
      <w:proofErr w:type="spellEnd"/>
      <w:r w:rsidR="00D4609F" w:rsidRPr="007720BC">
        <w:rPr>
          <w:rFonts w:ascii="Times New Roman" w:hAnsi="Times New Roman" w:cs="Times New Roman"/>
          <w:sz w:val="24"/>
          <w:szCs w:val="24"/>
        </w:rPr>
        <w:t xml:space="preserve"> </w:t>
      </w:r>
      <w:proofErr w:type="spellStart"/>
      <w:r w:rsidR="00D4609F" w:rsidRPr="007720BC">
        <w:rPr>
          <w:rFonts w:ascii="Times New Roman" w:hAnsi="Times New Roman" w:cs="Times New Roman"/>
          <w:sz w:val="24"/>
          <w:szCs w:val="24"/>
        </w:rPr>
        <w:t>adat</w:t>
      </w:r>
      <w:proofErr w:type="spellEnd"/>
      <w:r w:rsidR="00D4609F" w:rsidRPr="007720BC">
        <w:rPr>
          <w:rFonts w:ascii="Times New Roman" w:hAnsi="Times New Roman" w:cs="Times New Roman"/>
          <w:sz w:val="24"/>
          <w:szCs w:val="24"/>
        </w:rPr>
        <w:t xml:space="preserve"> </w:t>
      </w:r>
      <w:proofErr w:type="spellStart"/>
      <w:r w:rsidR="00D4609F" w:rsidRPr="007720BC">
        <w:rPr>
          <w:rFonts w:ascii="Times New Roman" w:hAnsi="Times New Roman" w:cs="Times New Roman"/>
          <w:sz w:val="24"/>
          <w:szCs w:val="24"/>
        </w:rPr>
        <w:t>istiadat</w:t>
      </w:r>
      <w:proofErr w:type="spellEnd"/>
      <w:r w:rsidR="00D4609F" w:rsidRPr="007720BC">
        <w:rPr>
          <w:rFonts w:ascii="Times New Roman" w:hAnsi="Times New Roman" w:cs="Times New Roman"/>
          <w:sz w:val="24"/>
          <w:szCs w:val="24"/>
        </w:rPr>
        <w:t xml:space="preserve"> dan </w:t>
      </w:r>
      <w:proofErr w:type="spellStart"/>
      <w:r w:rsidR="00D4609F" w:rsidRPr="007720BC">
        <w:rPr>
          <w:rFonts w:ascii="Times New Roman" w:hAnsi="Times New Roman" w:cs="Times New Roman"/>
          <w:sz w:val="24"/>
          <w:szCs w:val="24"/>
        </w:rPr>
        <w:t>budaya</w:t>
      </w:r>
      <w:proofErr w:type="spellEnd"/>
      <w:r w:rsidR="00D4609F" w:rsidRPr="007720BC">
        <w:rPr>
          <w:rFonts w:ascii="Times New Roman" w:hAnsi="Times New Roman" w:cs="Times New Roman"/>
          <w:sz w:val="24"/>
          <w:szCs w:val="24"/>
        </w:rPr>
        <w:t xml:space="preserve"> </w:t>
      </w:r>
      <w:proofErr w:type="spellStart"/>
      <w:r w:rsidR="00D4609F" w:rsidRPr="007720BC">
        <w:rPr>
          <w:rFonts w:ascii="Times New Roman" w:hAnsi="Times New Roman" w:cs="Times New Roman"/>
          <w:sz w:val="24"/>
          <w:szCs w:val="24"/>
        </w:rPr>
        <w:t>jawara</w:t>
      </w:r>
      <w:proofErr w:type="spellEnd"/>
      <w:r w:rsidR="00D4609F" w:rsidRPr="007720BC">
        <w:rPr>
          <w:rFonts w:ascii="Times New Roman" w:hAnsi="Times New Roman" w:cs="Times New Roman"/>
          <w:sz w:val="24"/>
          <w:szCs w:val="24"/>
        </w:rPr>
        <w:t xml:space="preserve"> </w:t>
      </w:r>
      <w:proofErr w:type="spellStart"/>
      <w:r w:rsidR="00D4609F" w:rsidRPr="007720BC">
        <w:rPr>
          <w:rFonts w:ascii="Times New Roman" w:hAnsi="Times New Roman" w:cs="Times New Roman"/>
          <w:sz w:val="24"/>
          <w:szCs w:val="24"/>
        </w:rPr>
        <w:t>sehingga</w:t>
      </w:r>
      <w:proofErr w:type="spellEnd"/>
      <w:r w:rsidR="00D4609F" w:rsidRPr="007720BC">
        <w:rPr>
          <w:rFonts w:ascii="Times New Roman" w:hAnsi="Times New Roman" w:cs="Times New Roman"/>
          <w:sz w:val="24"/>
          <w:szCs w:val="24"/>
        </w:rPr>
        <w:t xml:space="preserve"> </w:t>
      </w:r>
      <w:proofErr w:type="spellStart"/>
      <w:r w:rsidR="00D4609F" w:rsidRPr="007720BC">
        <w:rPr>
          <w:rFonts w:ascii="Times New Roman" w:hAnsi="Times New Roman" w:cs="Times New Roman"/>
          <w:sz w:val="24"/>
          <w:szCs w:val="24"/>
        </w:rPr>
        <w:t>tidak</w:t>
      </w:r>
      <w:proofErr w:type="spellEnd"/>
      <w:r w:rsidR="00D4609F" w:rsidRPr="007720BC">
        <w:rPr>
          <w:rFonts w:ascii="Times New Roman" w:hAnsi="Times New Roman" w:cs="Times New Roman"/>
          <w:sz w:val="24"/>
          <w:szCs w:val="24"/>
        </w:rPr>
        <w:t xml:space="preserve"> </w:t>
      </w:r>
      <w:proofErr w:type="spellStart"/>
      <w:r w:rsidR="00D4609F" w:rsidRPr="007720BC">
        <w:rPr>
          <w:rFonts w:ascii="Times New Roman" w:hAnsi="Times New Roman" w:cs="Times New Roman"/>
          <w:sz w:val="24"/>
          <w:szCs w:val="24"/>
        </w:rPr>
        <w:t>mudah</w:t>
      </w:r>
      <w:proofErr w:type="spellEnd"/>
      <w:r w:rsidR="00D4609F" w:rsidRPr="007720BC">
        <w:rPr>
          <w:rFonts w:ascii="Times New Roman" w:hAnsi="Times New Roman" w:cs="Times New Roman"/>
          <w:sz w:val="24"/>
          <w:szCs w:val="24"/>
        </w:rPr>
        <w:t xml:space="preserve"> </w:t>
      </w:r>
      <w:proofErr w:type="spellStart"/>
      <w:r w:rsidR="00D4609F" w:rsidRPr="007720BC">
        <w:rPr>
          <w:rFonts w:ascii="Times New Roman" w:hAnsi="Times New Roman" w:cs="Times New Roman"/>
          <w:sz w:val="24"/>
          <w:szCs w:val="24"/>
        </w:rPr>
        <w:t>untuk</w:t>
      </w:r>
      <w:proofErr w:type="spellEnd"/>
      <w:r w:rsidR="00D4609F" w:rsidRPr="007720BC">
        <w:rPr>
          <w:rFonts w:ascii="Times New Roman" w:hAnsi="Times New Roman" w:cs="Times New Roman"/>
          <w:sz w:val="24"/>
          <w:szCs w:val="24"/>
        </w:rPr>
        <w:t xml:space="preserve"> </w:t>
      </w:r>
      <w:proofErr w:type="spellStart"/>
      <w:r w:rsidR="00D4609F" w:rsidRPr="007720BC">
        <w:rPr>
          <w:rFonts w:ascii="Times New Roman" w:hAnsi="Times New Roman" w:cs="Times New Roman"/>
          <w:sz w:val="24"/>
          <w:szCs w:val="24"/>
        </w:rPr>
        <w:t>memberikan</w:t>
      </w:r>
      <w:proofErr w:type="spellEnd"/>
      <w:r w:rsidR="00D4609F" w:rsidRPr="007720BC">
        <w:rPr>
          <w:rFonts w:ascii="Times New Roman" w:hAnsi="Times New Roman" w:cs="Times New Roman"/>
          <w:sz w:val="24"/>
          <w:szCs w:val="24"/>
        </w:rPr>
        <w:t xml:space="preserve"> </w:t>
      </w:r>
      <w:proofErr w:type="spellStart"/>
      <w:r w:rsidR="00D4609F" w:rsidRPr="007720BC">
        <w:rPr>
          <w:rFonts w:ascii="Times New Roman" w:hAnsi="Times New Roman" w:cs="Times New Roman"/>
          <w:sz w:val="24"/>
          <w:szCs w:val="24"/>
        </w:rPr>
        <w:t>pemahaman</w:t>
      </w:r>
      <w:proofErr w:type="spellEnd"/>
      <w:r w:rsidR="00717586" w:rsidRPr="007720BC">
        <w:rPr>
          <w:rFonts w:ascii="Times New Roman" w:hAnsi="Times New Roman" w:cs="Times New Roman"/>
          <w:sz w:val="24"/>
          <w:szCs w:val="24"/>
        </w:rPr>
        <w:t xml:space="preserve"> </w:t>
      </w:r>
      <w:proofErr w:type="spellStart"/>
      <w:r w:rsidR="00717586" w:rsidRPr="007720BC">
        <w:rPr>
          <w:rFonts w:ascii="Times New Roman" w:hAnsi="Times New Roman" w:cs="Times New Roman"/>
          <w:sz w:val="24"/>
          <w:szCs w:val="24"/>
        </w:rPr>
        <w:t>kepada</w:t>
      </w:r>
      <w:proofErr w:type="spellEnd"/>
      <w:r w:rsidR="00717586" w:rsidRPr="007720BC">
        <w:rPr>
          <w:rFonts w:ascii="Times New Roman" w:hAnsi="Times New Roman" w:cs="Times New Roman"/>
          <w:sz w:val="24"/>
          <w:szCs w:val="24"/>
        </w:rPr>
        <w:t xml:space="preserve"> </w:t>
      </w:r>
      <w:proofErr w:type="spellStart"/>
      <w:r w:rsidR="00717586" w:rsidRPr="007720BC">
        <w:rPr>
          <w:rFonts w:ascii="Times New Roman" w:hAnsi="Times New Roman" w:cs="Times New Roman"/>
          <w:sz w:val="24"/>
          <w:szCs w:val="24"/>
        </w:rPr>
        <w:t>kelompok</w:t>
      </w:r>
      <w:proofErr w:type="spellEnd"/>
      <w:r w:rsidR="00717586" w:rsidRPr="007720BC">
        <w:rPr>
          <w:rFonts w:ascii="Times New Roman" w:hAnsi="Times New Roman" w:cs="Times New Roman"/>
          <w:sz w:val="24"/>
          <w:szCs w:val="24"/>
        </w:rPr>
        <w:t xml:space="preserve"> </w:t>
      </w:r>
      <w:proofErr w:type="spellStart"/>
      <w:r w:rsidR="00717586" w:rsidRPr="007720BC">
        <w:rPr>
          <w:rFonts w:ascii="Times New Roman" w:hAnsi="Times New Roman" w:cs="Times New Roman"/>
          <w:sz w:val="24"/>
          <w:szCs w:val="24"/>
        </w:rPr>
        <w:t>sasaran</w:t>
      </w:r>
      <w:proofErr w:type="spellEnd"/>
      <w:r w:rsidR="00D4609F" w:rsidRPr="007720BC">
        <w:rPr>
          <w:rFonts w:ascii="Times New Roman" w:hAnsi="Times New Roman" w:cs="Times New Roman"/>
          <w:sz w:val="24"/>
          <w:szCs w:val="24"/>
        </w:rPr>
        <w:t xml:space="preserve">. </w:t>
      </w:r>
      <w:bookmarkEnd w:id="6"/>
    </w:p>
    <w:p w14:paraId="48CB2A4C" w14:textId="6B70673F" w:rsidR="00717586" w:rsidRPr="007720BC" w:rsidRDefault="00717586" w:rsidP="00717586">
      <w:pPr>
        <w:spacing w:after="0" w:line="240" w:lineRule="auto"/>
        <w:ind w:firstLine="720"/>
        <w:jc w:val="both"/>
        <w:rPr>
          <w:rFonts w:ascii="Times New Roman" w:hAnsi="Times New Roman" w:cs="Times New Roman"/>
          <w:sz w:val="24"/>
          <w:szCs w:val="24"/>
        </w:rPr>
      </w:pPr>
      <w:r w:rsidRPr="007720BC">
        <w:rPr>
          <w:rFonts w:ascii="Times New Roman" w:hAnsi="Times New Roman" w:cs="Times New Roman"/>
          <w:sz w:val="24"/>
          <w:szCs w:val="24"/>
          <w:lang w:val="en-US"/>
        </w:rPr>
        <w:t>B</w:t>
      </w:r>
      <w:proofErr w:type="spellStart"/>
      <w:r w:rsidRPr="007720BC">
        <w:rPr>
          <w:rFonts w:ascii="Times New Roman" w:hAnsi="Times New Roman" w:cs="Times New Roman"/>
          <w:sz w:val="24"/>
          <w:szCs w:val="24"/>
        </w:rPr>
        <w:t>erdasarkan</w:t>
      </w:r>
      <w:proofErr w:type="spellEnd"/>
      <w:r w:rsidRPr="007720BC">
        <w:rPr>
          <w:rFonts w:ascii="Times New Roman" w:hAnsi="Times New Roman" w:cs="Times New Roman"/>
          <w:sz w:val="24"/>
          <w:szCs w:val="24"/>
          <w:lang w:val="en-US"/>
        </w:rPr>
        <w:t xml:space="preserve"> data </w:t>
      </w:r>
      <w:r w:rsidRPr="007720BC">
        <w:rPr>
          <w:rStyle w:val="hgkelc"/>
          <w:rFonts w:ascii="Times New Roman" w:hAnsi="Times New Roman" w:cs="Times New Roman"/>
          <w:sz w:val="24"/>
          <w:szCs w:val="24"/>
          <w:lang w:val="id-ID"/>
        </w:rPr>
        <w:t>Aplikasi elektronik-Pencatatan dan Pelaporan Gizi Berbasis masyarakat (e-PPGBM)</w:t>
      </w:r>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lang w:val="en-US"/>
        </w:rPr>
        <w:t>Kecamatan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Cikeusal</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Kabupaten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Serang</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tahun</w:t>
      </w:r>
      <w:proofErr w:type="spellEnd"/>
      <w:r w:rsidRPr="007720BC">
        <w:rPr>
          <w:rFonts w:ascii="Times New Roman" w:hAnsi="Times New Roman" w:cs="Times New Roman"/>
          <w:sz w:val="24"/>
          <w:szCs w:val="24"/>
          <w:lang w:val="en-US"/>
        </w:rPr>
        <w:t xml:space="preserve"> 2023, </w:t>
      </w:r>
      <w:proofErr w:type="spellStart"/>
      <w:r w:rsidR="00783A29" w:rsidRPr="007720BC">
        <w:rPr>
          <w:rFonts w:ascii="Times New Roman" w:hAnsi="Times New Roman" w:cs="Times New Roman"/>
          <w:sz w:val="24"/>
          <w:szCs w:val="24"/>
        </w:rPr>
        <w:t>jumlah</w:t>
      </w:r>
      <w:proofErr w:type="spellEnd"/>
      <w:r w:rsidR="00783A29" w:rsidRPr="007720BC">
        <w:rPr>
          <w:rFonts w:ascii="Times New Roman" w:hAnsi="Times New Roman" w:cs="Times New Roman"/>
          <w:sz w:val="24"/>
          <w:szCs w:val="24"/>
          <w:lang w:val="en-US"/>
        </w:rPr>
        <w:t xml:space="preserve"> </w:t>
      </w:r>
      <w:proofErr w:type="spellStart"/>
      <w:r w:rsidR="00783A29" w:rsidRPr="007720BC">
        <w:rPr>
          <w:rFonts w:ascii="Times New Roman" w:hAnsi="Times New Roman" w:cs="Times New Roman"/>
          <w:sz w:val="24"/>
          <w:szCs w:val="24"/>
          <w:lang w:val="en-US"/>
        </w:rPr>
        <w:t>sasaran</w:t>
      </w:r>
      <w:proofErr w:type="spellEnd"/>
      <w:r w:rsidR="00783A29" w:rsidRPr="007720BC">
        <w:rPr>
          <w:rFonts w:ascii="Times New Roman" w:hAnsi="Times New Roman" w:cs="Times New Roman"/>
          <w:sz w:val="24"/>
          <w:szCs w:val="24"/>
        </w:rPr>
        <w:t xml:space="preserve"> </w:t>
      </w:r>
      <w:proofErr w:type="spellStart"/>
      <w:r w:rsidR="00783A29" w:rsidRPr="007720BC">
        <w:rPr>
          <w:rFonts w:ascii="Times New Roman" w:hAnsi="Times New Roman" w:cs="Times New Roman"/>
          <w:sz w:val="24"/>
          <w:szCs w:val="24"/>
          <w:lang w:val="en-US"/>
        </w:rPr>
        <w:t>Keluarga</w:t>
      </w:r>
      <w:proofErr w:type="spellEnd"/>
      <w:r w:rsidR="00783A29" w:rsidRPr="007720BC">
        <w:rPr>
          <w:rFonts w:ascii="Times New Roman" w:hAnsi="Times New Roman" w:cs="Times New Roman"/>
          <w:sz w:val="24"/>
          <w:szCs w:val="24"/>
          <w:lang w:val="en-US"/>
        </w:rPr>
        <w:t xml:space="preserve"> R</w:t>
      </w:r>
      <w:proofErr w:type="spellStart"/>
      <w:r w:rsidR="00783A29" w:rsidRPr="007720BC">
        <w:rPr>
          <w:rFonts w:ascii="Times New Roman" w:hAnsi="Times New Roman" w:cs="Times New Roman"/>
          <w:sz w:val="24"/>
          <w:szCs w:val="24"/>
        </w:rPr>
        <w:t>esiko</w:t>
      </w:r>
      <w:proofErr w:type="spellEnd"/>
      <w:r w:rsidR="00783A29" w:rsidRPr="007720BC">
        <w:rPr>
          <w:rFonts w:ascii="Times New Roman" w:hAnsi="Times New Roman" w:cs="Times New Roman"/>
          <w:sz w:val="24"/>
          <w:szCs w:val="24"/>
        </w:rPr>
        <w:t xml:space="preserve"> Stunting</w:t>
      </w:r>
      <w:r w:rsidR="00783A29" w:rsidRPr="007720BC">
        <w:rPr>
          <w:rFonts w:ascii="Times New Roman" w:hAnsi="Times New Roman" w:cs="Times New Roman"/>
          <w:sz w:val="24"/>
          <w:szCs w:val="24"/>
          <w:lang w:val="en-US"/>
        </w:rPr>
        <w:t xml:space="preserve"> (KRS)</w:t>
      </w:r>
      <w:r w:rsidR="00783A29" w:rsidRPr="007720BC">
        <w:rPr>
          <w:rFonts w:ascii="Times New Roman" w:hAnsi="Times New Roman" w:cs="Times New Roman"/>
          <w:sz w:val="24"/>
          <w:szCs w:val="24"/>
        </w:rPr>
        <w:t xml:space="preserve"> di </w:t>
      </w:r>
      <w:r w:rsidR="00783A29" w:rsidRPr="007720BC">
        <w:rPr>
          <w:rFonts w:ascii="Times New Roman" w:hAnsi="Times New Roman" w:cs="Times New Roman"/>
          <w:sz w:val="24"/>
          <w:szCs w:val="24"/>
          <w:lang w:val="en-US"/>
        </w:rPr>
        <w:t xml:space="preserve">Desa </w:t>
      </w:r>
      <w:proofErr w:type="spellStart"/>
      <w:r w:rsidR="00783A29" w:rsidRPr="007720BC">
        <w:rPr>
          <w:rFonts w:ascii="Times New Roman" w:hAnsi="Times New Roman" w:cs="Times New Roman"/>
          <w:sz w:val="24"/>
          <w:szCs w:val="24"/>
          <w:lang w:val="en-US"/>
        </w:rPr>
        <w:t>Mongpok</w:t>
      </w:r>
      <w:proofErr w:type="spellEnd"/>
      <w:r w:rsidR="00783A29" w:rsidRPr="007720BC">
        <w:rPr>
          <w:rFonts w:ascii="Times New Roman" w:hAnsi="Times New Roman" w:cs="Times New Roman"/>
          <w:sz w:val="24"/>
          <w:szCs w:val="24"/>
        </w:rPr>
        <w:t xml:space="preserve"> </w:t>
      </w:r>
      <w:proofErr w:type="spellStart"/>
      <w:r w:rsidR="00783A29" w:rsidRPr="007720BC">
        <w:rPr>
          <w:rFonts w:ascii="Times New Roman" w:hAnsi="Times New Roman" w:cs="Times New Roman"/>
          <w:sz w:val="24"/>
          <w:szCs w:val="24"/>
          <w:lang w:val="en-US"/>
        </w:rPr>
        <w:t>sebesar</w:t>
      </w:r>
      <w:proofErr w:type="spellEnd"/>
      <w:r w:rsidR="00783A29" w:rsidRPr="007720BC">
        <w:rPr>
          <w:rFonts w:ascii="Times New Roman" w:hAnsi="Times New Roman" w:cs="Times New Roman"/>
          <w:sz w:val="24"/>
          <w:szCs w:val="24"/>
          <w:lang w:val="en-US"/>
        </w:rPr>
        <w:t xml:space="preserve"> 275 </w:t>
      </w:r>
      <w:proofErr w:type="spellStart"/>
      <w:r w:rsidR="00783A29" w:rsidRPr="007720BC">
        <w:rPr>
          <w:rFonts w:ascii="Times New Roman" w:hAnsi="Times New Roman" w:cs="Times New Roman"/>
          <w:sz w:val="24"/>
          <w:szCs w:val="24"/>
          <w:lang w:val="en-US"/>
        </w:rPr>
        <w:t>dengan</w:t>
      </w:r>
      <w:proofErr w:type="spellEnd"/>
      <w:r w:rsidR="00783A29" w:rsidRPr="007720BC">
        <w:rPr>
          <w:rFonts w:ascii="Times New Roman" w:hAnsi="Times New Roman" w:cs="Times New Roman"/>
          <w:sz w:val="24"/>
          <w:szCs w:val="24"/>
          <w:lang w:val="en-US"/>
        </w:rPr>
        <w:t xml:space="preserve"> </w:t>
      </w:r>
      <w:proofErr w:type="spellStart"/>
      <w:r w:rsidR="00783A29" w:rsidRPr="007720BC">
        <w:rPr>
          <w:rFonts w:ascii="Times New Roman" w:hAnsi="Times New Roman" w:cs="Times New Roman"/>
          <w:sz w:val="24"/>
          <w:szCs w:val="24"/>
          <w:lang w:val="en-US"/>
        </w:rPr>
        <w:t>kategori</w:t>
      </w:r>
      <w:proofErr w:type="spellEnd"/>
      <w:r w:rsidR="00783A29" w:rsidRPr="007720BC">
        <w:rPr>
          <w:rFonts w:ascii="Times New Roman" w:hAnsi="Times New Roman" w:cs="Times New Roman"/>
          <w:sz w:val="24"/>
          <w:szCs w:val="24"/>
          <w:lang w:val="en-US"/>
        </w:rPr>
        <w:t xml:space="preserve"> </w:t>
      </w:r>
      <w:proofErr w:type="spellStart"/>
      <w:r w:rsidR="00783A29" w:rsidRPr="007720BC">
        <w:rPr>
          <w:rFonts w:ascii="Times New Roman" w:hAnsi="Times New Roman" w:cs="Times New Roman"/>
          <w:sz w:val="24"/>
          <w:szCs w:val="24"/>
          <w:lang w:val="en-US"/>
        </w:rPr>
        <w:t>Keluarga</w:t>
      </w:r>
      <w:proofErr w:type="spellEnd"/>
      <w:r w:rsidR="00783A29" w:rsidRPr="007720BC">
        <w:rPr>
          <w:rFonts w:ascii="Times New Roman" w:hAnsi="Times New Roman" w:cs="Times New Roman"/>
          <w:sz w:val="24"/>
          <w:szCs w:val="24"/>
          <w:lang w:val="en-US"/>
        </w:rPr>
        <w:t xml:space="preserve"> </w:t>
      </w:r>
      <w:proofErr w:type="spellStart"/>
      <w:r w:rsidR="00783A29" w:rsidRPr="007720BC">
        <w:rPr>
          <w:rFonts w:ascii="Times New Roman" w:hAnsi="Times New Roman" w:cs="Times New Roman"/>
          <w:sz w:val="24"/>
          <w:szCs w:val="24"/>
          <w:lang w:val="en-US"/>
        </w:rPr>
        <w:t>Resiko</w:t>
      </w:r>
      <w:proofErr w:type="spellEnd"/>
      <w:r w:rsidR="00783A29" w:rsidRPr="007720BC">
        <w:rPr>
          <w:rFonts w:ascii="Times New Roman" w:hAnsi="Times New Roman" w:cs="Times New Roman"/>
          <w:sz w:val="24"/>
          <w:szCs w:val="24"/>
          <w:lang w:val="en-US"/>
        </w:rPr>
        <w:t xml:space="preserve"> Stunting 254 dan </w:t>
      </w:r>
      <w:proofErr w:type="spellStart"/>
      <w:r w:rsidR="00783A29" w:rsidRPr="007720BC">
        <w:rPr>
          <w:rFonts w:ascii="Times New Roman" w:hAnsi="Times New Roman" w:cs="Times New Roman"/>
          <w:sz w:val="24"/>
          <w:szCs w:val="24"/>
          <w:lang w:val="en-US"/>
        </w:rPr>
        <w:t>tidak</w:t>
      </w:r>
      <w:proofErr w:type="spellEnd"/>
      <w:r w:rsidR="00783A29" w:rsidRPr="007720BC">
        <w:rPr>
          <w:rFonts w:ascii="Times New Roman" w:hAnsi="Times New Roman" w:cs="Times New Roman"/>
          <w:sz w:val="24"/>
          <w:szCs w:val="24"/>
          <w:lang w:val="en-US"/>
        </w:rPr>
        <w:t xml:space="preserve"> </w:t>
      </w:r>
      <w:proofErr w:type="spellStart"/>
      <w:r w:rsidR="00783A29" w:rsidRPr="007720BC">
        <w:rPr>
          <w:rFonts w:ascii="Times New Roman" w:hAnsi="Times New Roman" w:cs="Times New Roman"/>
          <w:sz w:val="24"/>
          <w:szCs w:val="24"/>
          <w:lang w:val="en-US"/>
        </w:rPr>
        <w:t>beresiko</w:t>
      </w:r>
      <w:proofErr w:type="spellEnd"/>
      <w:r w:rsidR="00783A29" w:rsidRPr="007720BC">
        <w:rPr>
          <w:rFonts w:ascii="Times New Roman" w:hAnsi="Times New Roman" w:cs="Times New Roman"/>
          <w:sz w:val="24"/>
          <w:szCs w:val="24"/>
          <w:lang w:val="en-US"/>
        </w:rPr>
        <w:t xml:space="preserve"> 21 (</w:t>
      </w:r>
      <w:proofErr w:type="spellStart"/>
      <w:r w:rsidR="00783A29" w:rsidRPr="007720BC">
        <w:rPr>
          <w:rFonts w:ascii="Times New Roman" w:hAnsi="Times New Roman" w:cs="Times New Roman"/>
          <w:sz w:val="24"/>
          <w:szCs w:val="24"/>
          <w:lang w:val="en-US"/>
        </w:rPr>
        <w:t>rasio</w:t>
      </w:r>
      <w:proofErr w:type="spellEnd"/>
      <w:r w:rsidR="00783A29" w:rsidRPr="007720BC">
        <w:rPr>
          <w:rFonts w:ascii="Times New Roman" w:hAnsi="Times New Roman" w:cs="Times New Roman"/>
          <w:sz w:val="24"/>
          <w:szCs w:val="24"/>
          <w:lang w:val="en-US"/>
        </w:rPr>
        <w:t xml:space="preserve">: 275:254) </w:t>
      </w:r>
      <w:proofErr w:type="spellStart"/>
      <w:r w:rsidR="00783A29" w:rsidRPr="007720BC">
        <w:rPr>
          <w:rFonts w:ascii="Times New Roman" w:hAnsi="Times New Roman" w:cs="Times New Roman"/>
          <w:sz w:val="24"/>
          <w:szCs w:val="24"/>
          <w:lang w:val="en-US"/>
        </w:rPr>
        <w:t>sebagaimana</w:t>
      </w:r>
      <w:proofErr w:type="spellEnd"/>
      <w:r w:rsidR="00783A29" w:rsidRPr="007720BC">
        <w:rPr>
          <w:rFonts w:ascii="Times New Roman" w:hAnsi="Times New Roman" w:cs="Times New Roman"/>
          <w:sz w:val="24"/>
          <w:szCs w:val="24"/>
          <w:lang w:val="en-US"/>
        </w:rPr>
        <w:t xml:space="preserve"> </w:t>
      </w:r>
      <w:proofErr w:type="spellStart"/>
      <w:r w:rsidR="00783A29" w:rsidRPr="007720BC">
        <w:rPr>
          <w:rFonts w:ascii="Times New Roman" w:hAnsi="Times New Roman" w:cs="Times New Roman"/>
          <w:sz w:val="24"/>
          <w:szCs w:val="24"/>
          <w:lang w:val="en-US"/>
        </w:rPr>
        <w:t>disajikan</w:t>
      </w:r>
      <w:proofErr w:type="spellEnd"/>
      <w:r w:rsidR="00783A29" w:rsidRPr="007720BC">
        <w:rPr>
          <w:rFonts w:ascii="Times New Roman" w:hAnsi="Times New Roman" w:cs="Times New Roman"/>
          <w:sz w:val="24"/>
          <w:szCs w:val="24"/>
          <w:lang w:val="en-US"/>
        </w:rPr>
        <w:t xml:space="preserve"> pada </w:t>
      </w:r>
      <w:proofErr w:type="spellStart"/>
      <w:r w:rsidR="00783A29" w:rsidRPr="007720BC">
        <w:rPr>
          <w:rFonts w:ascii="Times New Roman" w:hAnsi="Times New Roman" w:cs="Times New Roman"/>
          <w:sz w:val="24"/>
          <w:szCs w:val="24"/>
          <w:lang w:val="en-US"/>
        </w:rPr>
        <w:t>gambar</w:t>
      </w:r>
      <w:proofErr w:type="spellEnd"/>
      <w:r w:rsidR="00783A29" w:rsidRPr="007720BC">
        <w:rPr>
          <w:rFonts w:ascii="Times New Roman" w:hAnsi="Times New Roman" w:cs="Times New Roman"/>
          <w:sz w:val="24"/>
          <w:szCs w:val="24"/>
          <w:lang w:val="en-US"/>
        </w:rPr>
        <w:t xml:space="preserve"> 4 </w:t>
      </w:r>
      <w:proofErr w:type="spellStart"/>
      <w:r w:rsidR="00783A29" w:rsidRPr="007720BC">
        <w:rPr>
          <w:rFonts w:ascii="Times New Roman" w:hAnsi="Times New Roman" w:cs="Times New Roman"/>
          <w:sz w:val="24"/>
          <w:szCs w:val="24"/>
          <w:lang w:val="en-US"/>
        </w:rPr>
        <w:t>berikut</w:t>
      </w:r>
      <w:proofErr w:type="spellEnd"/>
      <w:r w:rsidR="00783A29" w:rsidRPr="007720BC">
        <w:rPr>
          <w:rFonts w:ascii="Times New Roman" w:hAnsi="Times New Roman" w:cs="Times New Roman"/>
          <w:sz w:val="24"/>
          <w:szCs w:val="24"/>
          <w:lang w:val="en-US"/>
        </w:rPr>
        <w:t xml:space="preserve"> </w:t>
      </w:r>
      <w:proofErr w:type="spellStart"/>
      <w:r w:rsidR="00783A29" w:rsidRPr="007720BC">
        <w:rPr>
          <w:rFonts w:ascii="Times New Roman" w:hAnsi="Times New Roman" w:cs="Times New Roman"/>
          <w:sz w:val="24"/>
          <w:szCs w:val="24"/>
          <w:lang w:val="en-US"/>
        </w:rPr>
        <w:t>ini</w:t>
      </w:r>
      <w:proofErr w:type="spellEnd"/>
      <w:r w:rsidR="00783A29" w:rsidRPr="007720BC">
        <w:rPr>
          <w:rFonts w:ascii="Times New Roman" w:hAnsi="Times New Roman" w:cs="Times New Roman"/>
          <w:sz w:val="24"/>
          <w:szCs w:val="24"/>
          <w:lang w:val="en-US"/>
        </w:rPr>
        <w:t>.</w:t>
      </w:r>
    </w:p>
    <w:p w14:paraId="35227256" w14:textId="77777777" w:rsidR="00717586" w:rsidRPr="007720BC" w:rsidRDefault="00717586" w:rsidP="00717586">
      <w:pPr>
        <w:pStyle w:val="ListParagraph"/>
        <w:spacing w:before="0"/>
        <w:ind w:left="0" w:right="0" w:firstLine="720"/>
        <w:contextualSpacing/>
        <w:rPr>
          <w:sz w:val="24"/>
          <w:szCs w:val="24"/>
          <w:lang w:val="en-US"/>
        </w:rPr>
      </w:pPr>
    </w:p>
    <w:p w14:paraId="09951058" w14:textId="77777777" w:rsidR="00717586" w:rsidRPr="007720BC" w:rsidRDefault="00717586" w:rsidP="00717586">
      <w:pPr>
        <w:pStyle w:val="ListParagraph"/>
        <w:spacing w:before="0"/>
        <w:ind w:left="0" w:right="0" w:firstLine="0"/>
        <w:contextualSpacing/>
        <w:jc w:val="center"/>
        <w:rPr>
          <w:b/>
          <w:bCs/>
          <w:sz w:val="20"/>
          <w:szCs w:val="20"/>
          <w:lang w:val="en-US"/>
        </w:rPr>
      </w:pPr>
      <w:r w:rsidRPr="007720BC">
        <w:rPr>
          <w:b/>
          <w:bCs/>
          <w:sz w:val="20"/>
          <w:szCs w:val="20"/>
          <w:lang w:val="en-US"/>
        </w:rPr>
        <w:t>Gambar 4.</w:t>
      </w:r>
    </w:p>
    <w:p w14:paraId="36A0B1CC" w14:textId="77777777" w:rsidR="00717586" w:rsidRPr="007720BC" w:rsidRDefault="00717586" w:rsidP="00717586">
      <w:pPr>
        <w:pStyle w:val="ListParagraph"/>
        <w:spacing w:before="0"/>
        <w:ind w:left="0" w:right="0" w:firstLine="0"/>
        <w:contextualSpacing/>
        <w:jc w:val="center"/>
        <w:rPr>
          <w:sz w:val="20"/>
          <w:szCs w:val="20"/>
          <w:lang w:val="en-US"/>
        </w:rPr>
      </w:pPr>
      <w:proofErr w:type="spellStart"/>
      <w:r w:rsidRPr="007720BC">
        <w:rPr>
          <w:b/>
          <w:bCs/>
          <w:sz w:val="20"/>
          <w:szCs w:val="20"/>
          <w:lang w:val="en-US"/>
        </w:rPr>
        <w:t>Perbandingan</w:t>
      </w:r>
      <w:proofErr w:type="spellEnd"/>
      <w:r w:rsidRPr="007720BC">
        <w:rPr>
          <w:b/>
          <w:bCs/>
          <w:sz w:val="20"/>
          <w:szCs w:val="20"/>
          <w:lang w:val="en-US"/>
        </w:rPr>
        <w:t xml:space="preserve"> </w:t>
      </w:r>
      <w:proofErr w:type="spellStart"/>
      <w:r w:rsidRPr="007720BC">
        <w:rPr>
          <w:b/>
          <w:bCs/>
          <w:sz w:val="20"/>
          <w:szCs w:val="20"/>
          <w:lang w:val="en-US"/>
        </w:rPr>
        <w:t>Jumlah</w:t>
      </w:r>
      <w:proofErr w:type="spellEnd"/>
      <w:r w:rsidRPr="007720BC">
        <w:rPr>
          <w:b/>
          <w:bCs/>
          <w:sz w:val="20"/>
          <w:szCs w:val="20"/>
          <w:lang w:val="en-US"/>
        </w:rPr>
        <w:t xml:space="preserve"> </w:t>
      </w:r>
      <w:proofErr w:type="spellStart"/>
      <w:r w:rsidRPr="007720BC">
        <w:rPr>
          <w:b/>
          <w:bCs/>
          <w:sz w:val="20"/>
          <w:szCs w:val="20"/>
          <w:lang w:val="en-US"/>
        </w:rPr>
        <w:t>Keluarga</w:t>
      </w:r>
      <w:proofErr w:type="spellEnd"/>
      <w:r w:rsidRPr="007720BC">
        <w:rPr>
          <w:b/>
          <w:bCs/>
          <w:sz w:val="20"/>
          <w:szCs w:val="20"/>
          <w:lang w:val="en-US"/>
        </w:rPr>
        <w:t xml:space="preserve"> </w:t>
      </w:r>
      <w:proofErr w:type="spellStart"/>
      <w:r w:rsidRPr="007720BC">
        <w:rPr>
          <w:b/>
          <w:bCs/>
          <w:sz w:val="20"/>
          <w:szCs w:val="20"/>
          <w:lang w:val="en-US"/>
        </w:rPr>
        <w:t>Sasaran</w:t>
      </w:r>
      <w:proofErr w:type="spellEnd"/>
      <w:r w:rsidRPr="007720BC">
        <w:rPr>
          <w:b/>
          <w:bCs/>
          <w:sz w:val="20"/>
          <w:szCs w:val="20"/>
          <w:lang w:val="en-US"/>
        </w:rPr>
        <w:t xml:space="preserve"> </w:t>
      </w:r>
      <w:proofErr w:type="spellStart"/>
      <w:r w:rsidRPr="007720BC">
        <w:rPr>
          <w:b/>
          <w:bCs/>
          <w:sz w:val="20"/>
          <w:szCs w:val="20"/>
          <w:lang w:val="en-US"/>
        </w:rPr>
        <w:t>dengan</w:t>
      </w:r>
      <w:proofErr w:type="spellEnd"/>
      <w:r w:rsidRPr="007720BC">
        <w:rPr>
          <w:b/>
          <w:bCs/>
          <w:sz w:val="20"/>
          <w:szCs w:val="20"/>
          <w:lang w:val="en-US"/>
        </w:rPr>
        <w:t xml:space="preserve"> </w:t>
      </w:r>
      <w:proofErr w:type="spellStart"/>
      <w:r w:rsidRPr="007720BC">
        <w:rPr>
          <w:b/>
          <w:bCs/>
          <w:sz w:val="20"/>
          <w:szCs w:val="20"/>
          <w:lang w:val="en-US"/>
        </w:rPr>
        <w:t>Keluarga</w:t>
      </w:r>
      <w:proofErr w:type="spellEnd"/>
      <w:r w:rsidRPr="007720BC">
        <w:rPr>
          <w:b/>
          <w:bCs/>
          <w:sz w:val="20"/>
          <w:szCs w:val="20"/>
          <w:lang w:val="en-US"/>
        </w:rPr>
        <w:t xml:space="preserve"> </w:t>
      </w:r>
      <w:proofErr w:type="spellStart"/>
      <w:r w:rsidRPr="007720BC">
        <w:rPr>
          <w:b/>
          <w:bCs/>
          <w:sz w:val="20"/>
          <w:szCs w:val="20"/>
          <w:lang w:val="en-US"/>
        </w:rPr>
        <w:t>Resiko</w:t>
      </w:r>
      <w:proofErr w:type="spellEnd"/>
      <w:r w:rsidRPr="007720BC">
        <w:rPr>
          <w:b/>
          <w:bCs/>
          <w:sz w:val="20"/>
          <w:szCs w:val="20"/>
          <w:lang w:val="en-US"/>
        </w:rPr>
        <w:t xml:space="preserve"> Stunting </w:t>
      </w:r>
      <w:proofErr w:type="spellStart"/>
      <w:r w:rsidRPr="007720BC">
        <w:rPr>
          <w:b/>
          <w:bCs/>
          <w:sz w:val="20"/>
          <w:szCs w:val="20"/>
          <w:lang w:val="en-US"/>
        </w:rPr>
        <w:t>Kecamaran</w:t>
      </w:r>
      <w:proofErr w:type="spellEnd"/>
      <w:r w:rsidRPr="007720BC">
        <w:rPr>
          <w:b/>
          <w:bCs/>
          <w:sz w:val="20"/>
          <w:szCs w:val="20"/>
          <w:lang w:val="en-US"/>
        </w:rPr>
        <w:t xml:space="preserve"> </w:t>
      </w:r>
      <w:proofErr w:type="spellStart"/>
      <w:r w:rsidRPr="007720BC">
        <w:rPr>
          <w:b/>
          <w:bCs/>
          <w:sz w:val="20"/>
          <w:szCs w:val="20"/>
          <w:lang w:val="en-US"/>
        </w:rPr>
        <w:t>Cikeusal</w:t>
      </w:r>
      <w:proofErr w:type="spellEnd"/>
      <w:r w:rsidRPr="007720BC">
        <w:rPr>
          <w:b/>
          <w:bCs/>
          <w:sz w:val="20"/>
          <w:szCs w:val="20"/>
          <w:lang w:val="en-US"/>
        </w:rPr>
        <w:t xml:space="preserve"> </w:t>
      </w:r>
      <w:proofErr w:type="spellStart"/>
      <w:r w:rsidRPr="007720BC">
        <w:rPr>
          <w:b/>
          <w:bCs/>
          <w:sz w:val="20"/>
          <w:szCs w:val="20"/>
          <w:lang w:val="en-US"/>
        </w:rPr>
        <w:t>Kabupaten</w:t>
      </w:r>
      <w:proofErr w:type="spellEnd"/>
      <w:r w:rsidRPr="007720BC">
        <w:rPr>
          <w:b/>
          <w:bCs/>
          <w:sz w:val="20"/>
          <w:szCs w:val="20"/>
          <w:lang w:val="en-US"/>
        </w:rPr>
        <w:t xml:space="preserve"> </w:t>
      </w:r>
      <w:proofErr w:type="spellStart"/>
      <w:r w:rsidRPr="007720BC">
        <w:rPr>
          <w:b/>
          <w:bCs/>
          <w:sz w:val="20"/>
          <w:szCs w:val="20"/>
          <w:lang w:val="en-US"/>
        </w:rPr>
        <w:t>Serang</w:t>
      </w:r>
      <w:proofErr w:type="spellEnd"/>
      <w:r w:rsidRPr="007720BC">
        <w:rPr>
          <w:b/>
          <w:bCs/>
          <w:sz w:val="20"/>
          <w:szCs w:val="20"/>
          <w:lang w:val="en-US"/>
        </w:rPr>
        <w:t xml:space="preserve"> (Hasil </w:t>
      </w:r>
      <w:proofErr w:type="spellStart"/>
      <w:r w:rsidRPr="007720BC">
        <w:rPr>
          <w:b/>
          <w:bCs/>
          <w:sz w:val="20"/>
          <w:szCs w:val="20"/>
          <w:lang w:val="en-US"/>
        </w:rPr>
        <w:t>Pemutakhiran</w:t>
      </w:r>
      <w:proofErr w:type="spellEnd"/>
      <w:r w:rsidRPr="007720BC">
        <w:rPr>
          <w:b/>
          <w:bCs/>
          <w:sz w:val="20"/>
          <w:szCs w:val="20"/>
          <w:lang w:val="en-US"/>
        </w:rPr>
        <w:t xml:space="preserve">, </w:t>
      </w:r>
      <w:proofErr w:type="spellStart"/>
      <w:r w:rsidRPr="007720BC">
        <w:rPr>
          <w:b/>
          <w:bCs/>
          <w:sz w:val="20"/>
          <w:szCs w:val="20"/>
          <w:lang w:val="en-US"/>
        </w:rPr>
        <w:t>Verifikasi</w:t>
      </w:r>
      <w:proofErr w:type="spellEnd"/>
      <w:r w:rsidRPr="007720BC">
        <w:rPr>
          <w:b/>
          <w:bCs/>
          <w:sz w:val="20"/>
          <w:szCs w:val="20"/>
          <w:lang w:val="en-US"/>
        </w:rPr>
        <w:t xml:space="preserve"> dan Validasi)</w:t>
      </w:r>
    </w:p>
    <w:p w14:paraId="4DD1B0EE" w14:textId="77777777" w:rsidR="00717586" w:rsidRPr="007720BC" w:rsidRDefault="00717586" w:rsidP="00717586">
      <w:pPr>
        <w:pStyle w:val="BodyText"/>
        <w:ind w:right="296" w:firstLine="720"/>
        <w:contextualSpacing/>
        <w:jc w:val="both"/>
        <w:rPr>
          <w:sz w:val="24"/>
          <w:szCs w:val="24"/>
          <w:lang w:val="en-US"/>
        </w:rPr>
      </w:pPr>
      <w:r w:rsidRPr="007720BC">
        <w:rPr>
          <w:noProof/>
          <w:sz w:val="24"/>
          <w:szCs w:val="24"/>
        </w:rPr>
        <w:drawing>
          <wp:anchor distT="0" distB="0" distL="114300" distR="114300" simplePos="0" relativeHeight="251735040" behindDoc="1" locked="0" layoutInCell="1" allowOverlap="1" wp14:anchorId="5D741E68" wp14:editId="2EAF128E">
            <wp:simplePos x="0" y="0"/>
            <wp:positionH relativeFrom="margin">
              <wp:align>right</wp:align>
            </wp:positionH>
            <wp:positionV relativeFrom="paragraph">
              <wp:posOffset>24130</wp:posOffset>
            </wp:positionV>
            <wp:extent cx="5572125" cy="2428875"/>
            <wp:effectExtent l="0" t="0" r="9525" b="9525"/>
            <wp:wrapNone/>
            <wp:docPr id="18437403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007D81CB" w14:textId="77777777" w:rsidR="00717586" w:rsidRPr="007720BC" w:rsidRDefault="00717586" w:rsidP="00717586">
      <w:pPr>
        <w:pStyle w:val="BodyText"/>
        <w:ind w:right="296"/>
        <w:contextualSpacing/>
        <w:jc w:val="both"/>
        <w:rPr>
          <w:sz w:val="24"/>
          <w:szCs w:val="24"/>
          <w:lang w:val="en-US"/>
        </w:rPr>
      </w:pPr>
    </w:p>
    <w:p w14:paraId="69E8E85D" w14:textId="77777777" w:rsidR="00717586" w:rsidRPr="007720BC" w:rsidRDefault="00717586" w:rsidP="00717586">
      <w:pPr>
        <w:pStyle w:val="BodyText"/>
        <w:ind w:right="296"/>
        <w:contextualSpacing/>
        <w:jc w:val="both"/>
        <w:rPr>
          <w:sz w:val="24"/>
          <w:szCs w:val="24"/>
          <w:lang w:val="en-US"/>
        </w:rPr>
      </w:pPr>
    </w:p>
    <w:p w14:paraId="27272AA7" w14:textId="77777777" w:rsidR="00717586" w:rsidRPr="007720BC" w:rsidRDefault="00717586" w:rsidP="00717586">
      <w:pPr>
        <w:pStyle w:val="BodyText"/>
        <w:ind w:right="296"/>
        <w:contextualSpacing/>
        <w:jc w:val="both"/>
        <w:rPr>
          <w:sz w:val="24"/>
          <w:szCs w:val="24"/>
          <w:lang w:val="en-US"/>
        </w:rPr>
      </w:pPr>
    </w:p>
    <w:p w14:paraId="249C1911" w14:textId="77777777" w:rsidR="00717586" w:rsidRPr="007720BC" w:rsidRDefault="00717586" w:rsidP="00717586">
      <w:pPr>
        <w:pStyle w:val="BodyText"/>
        <w:ind w:right="296"/>
        <w:contextualSpacing/>
        <w:jc w:val="both"/>
        <w:rPr>
          <w:sz w:val="24"/>
          <w:szCs w:val="24"/>
          <w:lang w:val="en-US"/>
        </w:rPr>
      </w:pPr>
    </w:p>
    <w:p w14:paraId="137A7732" w14:textId="77777777" w:rsidR="00717586" w:rsidRPr="007720BC" w:rsidRDefault="00717586" w:rsidP="00717586">
      <w:pPr>
        <w:pStyle w:val="BodyText"/>
        <w:ind w:right="296"/>
        <w:contextualSpacing/>
        <w:jc w:val="both"/>
        <w:rPr>
          <w:sz w:val="24"/>
          <w:szCs w:val="24"/>
          <w:lang w:val="en-US"/>
        </w:rPr>
      </w:pPr>
    </w:p>
    <w:p w14:paraId="5C3B80B8" w14:textId="77777777" w:rsidR="00717586" w:rsidRPr="007720BC" w:rsidRDefault="00717586" w:rsidP="00717586">
      <w:pPr>
        <w:pStyle w:val="BodyText"/>
        <w:ind w:right="296"/>
        <w:contextualSpacing/>
        <w:jc w:val="both"/>
        <w:rPr>
          <w:sz w:val="24"/>
          <w:szCs w:val="24"/>
          <w:lang w:val="en-US"/>
        </w:rPr>
      </w:pPr>
    </w:p>
    <w:p w14:paraId="71C5FE97" w14:textId="77777777" w:rsidR="00717586" w:rsidRPr="007720BC" w:rsidRDefault="00717586" w:rsidP="00717586">
      <w:pPr>
        <w:pStyle w:val="BodyText"/>
        <w:ind w:right="296"/>
        <w:contextualSpacing/>
        <w:jc w:val="both"/>
        <w:rPr>
          <w:sz w:val="24"/>
          <w:szCs w:val="24"/>
          <w:lang w:val="en-US"/>
        </w:rPr>
      </w:pPr>
    </w:p>
    <w:p w14:paraId="53C4C856" w14:textId="77777777" w:rsidR="00717586" w:rsidRPr="007720BC" w:rsidRDefault="00717586" w:rsidP="00717586">
      <w:pPr>
        <w:pStyle w:val="BodyText"/>
        <w:ind w:right="296"/>
        <w:contextualSpacing/>
        <w:jc w:val="both"/>
        <w:rPr>
          <w:sz w:val="24"/>
          <w:szCs w:val="24"/>
          <w:lang w:val="en-US"/>
        </w:rPr>
      </w:pPr>
    </w:p>
    <w:p w14:paraId="3F467138" w14:textId="77777777" w:rsidR="00717586" w:rsidRPr="007720BC" w:rsidRDefault="00717586" w:rsidP="00717586">
      <w:pPr>
        <w:pStyle w:val="BodyText"/>
        <w:ind w:right="296"/>
        <w:contextualSpacing/>
        <w:jc w:val="both"/>
        <w:rPr>
          <w:sz w:val="24"/>
          <w:szCs w:val="24"/>
          <w:lang w:val="en-US"/>
        </w:rPr>
      </w:pPr>
    </w:p>
    <w:p w14:paraId="0C72535A" w14:textId="77777777" w:rsidR="00717586" w:rsidRPr="007720BC" w:rsidRDefault="00717586" w:rsidP="00717586">
      <w:pPr>
        <w:pStyle w:val="BodyText"/>
        <w:ind w:right="296"/>
        <w:contextualSpacing/>
        <w:jc w:val="center"/>
        <w:rPr>
          <w:b/>
          <w:bCs/>
          <w:sz w:val="24"/>
          <w:szCs w:val="24"/>
          <w:lang w:val="en-US"/>
        </w:rPr>
      </w:pPr>
    </w:p>
    <w:p w14:paraId="18F46DA7" w14:textId="77777777" w:rsidR="00717586" w:rsidRPr="007720BC" w:rsidRDefault="00717586" w:rsidP="00717586">
      <w:pPr>
        <w:pStyle w:val="BodyText"/>
        <w:ind w:right="296"/>
        <w:contextualSpacing/>
        <w:jc w:val="center"/>
        <w:rPr>
          <w:b/>
          <w:bCs/>
          <w:sz w:val="24"/>
          <w:szCs w:val="24"/>
          <w:lang w:val="en-US"/>
        </w:rPr>
      </w:pPr>
    </w:p>
    <w:p w14:paraId="741F5DDB" w14:textId="77777777" w:rsidR="00717586" w:rsidRPr="007720BC" w:rsidRDefault="00717586" w:rsidP="00717586">
      <w:pPr>
        <w:pStyle w:val="BodyText"/>
        <w:ind w:right="296"/>
        <w:contextualSpacing/>
        <w:jc w:val="center"/>
        <w:rPr>
          <w:b/>
          <w:bCs/>
          <w:sz w:val="24"/>
          <w:szCs w:val="24"/>
          <w:lang w:val="en-US"/>
        </w:rPr>
      </w:pPr>
    </w:p>
    <w:p w14:paraId="7260919E" w14:textId="77777777" w:rsidR="00717586" w:rsidRPr="007720BC" w:rsidRDefault="00717586" w:rsidP="00717586">
      <w:pPr>
        <w:pStyle w:val="BodyText"/>
        <w:ind w:right="296"/>
        <w:contextualSpacing/>
        <w:jc w:val="center"/>
        <w:rPr>
          <w:b/>
          <w:bCs/>
          <w:sz w:val="24"/>
          <w:szCs w:val="24"/>
          <w:lang w:val="en-US"/>
        </w:rPr>
      </w:pPr>
    </w:p>
    <w:p w14:paraId="2EE17044" w14:textId="4CE7A982" w:rsidR="00717586" w:rsidRPr="007720BC" w:rsidRDefault="00717586" w:rsidP="00717586">
      <w:pPr>
        <w:pStyle w:val="BodyText"/>
        <w:ind w:right="296"/>
        <w:contextualSpacing/>
        <w:jc w:val="center"/>
        <w:rPr>
          <w:b/>
          <w:bCs/>
          <w:sz w:val="20"/>
          <w:szCs w:val="20"/>
          <w:lang w:val="en-US"/>
        </w:rPr>
      </w:pPr>
      <w:proofErr w:type="spellStart"/>
      <w:r w:rsidRPr="007720BC">
        <w:rPr>
          <w:b/>
          <w:bCs/>
          <w:sz w:val="20"/>
          <w:szCs w:val="20"/>
          <w:lang w:val="en-US"/>
        </w:rPr>
        <w:t>Sumber</w:t>
      </w:r>
      <w:proofErr w:type="spellEnd"/>
      <w:r w:rsidRPr="007720BC">
        <w:rPr>
          <w:b/>
          <w:bCs/>
          <w:sz w:val="20"/>
          <w:szCs w:val="20"/>
          <w:lang w:val="en-US"/>
        </w:rPr>
        <w:t xml:space="preserve">: </w:t>
      </w:r>
      <w:bookmarkStart w:id="7" w:name="_Hlk142433310"/>
      <w:r w:rsidRPr="007720BC">
        <w:rPr>
          <w:b/>
          <w:bCs/>
          <w:sz w:val="20"/>
          <w:szCs w:val="20"/>
          <w:lang w:val="en-US"/>
        </w:rPr>
        <w:t xml:space="preserve">e-PPBGM </w:t>
      </w:r>
      <w:proofErr w:type="spellStart"/>
      <w:r w:rsidRPr="007720BC">
        <w:rPr>
          <w:b/>
          <w:bCs/>
          <w:sz w:val="20"/>
          <w:szCs w:val="20"/>
          <w:lang w:val="en-US"/>
        </w:rPr>
        <w:t>Kecamatan</w:t>
      </w:r>
      <w:proofErr w:type="spellEnd"/>
      <w:r w:rsidRPr="007720BC">
        <w:rPr>
          <w:b/>
          <w:bCs/>
          <w:sz w:val="20"/>
          <w:szCs w:val="20"/>
          <w:lang w:val="en-US"/>
        </w:rPr>
        <w:t xml:space="preserve"> </w:t>
      </w:r>
      <w:proofErr w:type="spellStart"/>
      <w:r w:rsidRPr="007720BC">
        <w:rPr>
          <w:b/>
          <w:bCs/>
          <w:sz w:val="20"/>
          <w:szCs w:val="20"/>
          <w:lang w:val="en-US"/>
        </w:rPr>
        <w:t>Cikeusal</w:t>
      </w:r>
      <w:proofErr w:type="spellEnd"/>
      <w:r w:rsidRPr="007720BC">
        <w:rPr>
          <w:b/>
          <w:bCs/>
          <w:sz w:val="20"/>
          <w:szCs w:val="20"/>
          <w:lang w:val="en-US"/>
        </w:rPr>
        <w:t>, 2023</w:t>
      </w:r>
    </w:p>
    <w:p w14:paraId="531E3A0A" w14:textId="77777777" w:rsidR="00783A29" w:rsidRPr="007720BC" w:rsidRDefault="00783A29" w:rsidP="00717586">
      <w:pPr>
        <w:pStyle w:val="BodyText"/>
        <w:ind w:right="296"/>
        <w:contextualSpacing/>
        <w:jc w:val="center"/>
        <w:rPr>
          <w:b/>
          <w:bCs/>
          <w:sz w:val="20"/>
          <w:szCs w:val="20"/>
          <w:lang w:val="en-US"/>
        </w:rPr>
      </w:pPr>
    </w:p>
    <w:p w14:paraId="2A4613D8" w14:textId="0A1F2CA0" w:rsidR="00717586" w:rsidRPr="007720BC" w:rsidRDefault="00717586" w:rsidP="00717586">
      <w:pPr>
        <w:pStyle w:val="BodyText"/>
        <w:ind w:right="-2"/>
        <w:contextualSpacing/>
        <w:jc w:val="both"/>
        <w:rPr>
          <w:sz w:val="24"/>
          <w:szCs w:val="24"/>
          <w:lang w:val="en-US"/>
        </w:rPr>
      </w:pPr>
      <w:r w:rsidRPr="007720BC">
        <w:rPr>
          <w:b/>
          <w:bCs/>
          <w:sz w:val="20"/>
          <w:szCs w:val="20"/>
          <w:vertAlign w:val="subscript"/>
          <w:lang w:val="en-US"/>
        </w:rPr>
        <w:softHyphen/>
      </w:r>
      <w:r w:rsidRPr="007720BC">
        <w:rPr>
          <w:b/>
          <w:bCs/>
          <w:sz w:val="20"/>
          <w:szCs w:val="20"/>
          <w:vertAlign w:val="subscript"/>
          <w:lang w:val="en-US"/>
        </w:rPr>
        <w:softHyphen/>
      </w:r>
      <w:r w:rsidRPr="007720BC">
        <w:rPr>
          <w:b/>
          <w:bCs/>
          <w:sz w:val="20"/>
          <w:szCs w:val="20"/>
          <w:vertAlign w:val="subscript"/>
          <w:lang w:val="en-US"/>
        </w:rPr>
        <w:softHyphen/>
      </w:r>
      <w:bookmarkEnd w:id="7"/>
      <w:r w:rsidRPr="007720BC">
        <w:rPr>
          <w:b/>
          <w:bCs/>
          <w:sz w:val="20"/>
          <w:szCs w:val="20"/>
          <w:vertAlign w:val="subscript"/>
          <w:lang w:val="en-US"/>
        </w:rPr>
        <w:tab/>
      </w:r>
      <w:proofErr w:type="spellStart"/>
      <w:r w:rsidRPr="007720BC">
        <w:rPr>
          <w:sz w:val="24"/>
          <w:szCs w:val="24"/>
          <w:lang w:val="en-US"/>
        </w:rPr>
        <w:t>Berdasarkan</w:t>
      </w:r>
      <w:proofErr w:type="spellEnd"/>
      <w:r w:rsidRPr="007720BC">
        <w:rPr>
          <w:sz w:val="24"/>
          <w:szCs w:val="24"/>
          <w:lang w:val="en-US"/>
        </w:rPr>
        <w:t xml:space="preserve"> Gambar 4 di </w:t>
      </w:r>
      <w:proofErr w:type="spellStart"/>
      <w:r w:rsidRPr="007720BC">
        <w:rPr>
          <w:sz w:val="24"/>
          <w:szCs w:val="24"/>
          <w:lang w:val="en-US"/>
        </w:rPr>
        <w:t>atas</w:t>
      </w:r>
      <w:proofErr w:type="spellEnd"/>
      <w:r w:rsidRPr="007720BC">
        <w:rPr>
          <w:sz w:val="24"/>
          <w:szCs w:val="24"/>
          <w:lang w:val="en-US"/>
        </w:rPr>
        <w:t xml:space="preserve"> </w:t>
      </w:r>
      <w:proofErr w:type="spellStart"/>
      <w:r w:rsidRPr="007720BC">
        <w:rPr>
          <w:sz w:val="24"/>
          <w:szCs w:val="24"/>
          <w:lang w:val="en-US"/>
        </w:rPr>
        <w:t>maka</w:t>
      </w:r>
      <w:proofErr w:type="spellEnd"/>
      <w:r w:rsidRPr="007720BC">
        <w:rPr>
          <w:sz w:val="24"/>
          <w:szCs w:val="24"/>
          <w:lang w:val="en-US"/>
        </w:rPr>
        <w:t xml:space="preserve"> </w:t>
      </w:r>
      <w:proofErr w:type="spellStart"/>
      <w:r w:rsidRPr="007720BC">
        <w:rPr>
          <w:sz w:val="24"/>
          <w:szCs w:val="24"/>
          <w:lang w:val="en-US"/>
        </w:rPr>
        <w:t>dapat</w:t>
      </w:r>
      <w:proofErr w:type="spellEnd"/>
      <w:r w:rsidRPr="007720BC">
        <w:rPr>
          <w:sz w:val="24"/>
          <w:szCs w:val="24"/>
          <w:lang w:val="en-US"/>
        </w:rPr>
        <w:t xml:space="preserve"> </w:t>
      </w:r>
      <w:proofErr w:type="spellStart"/>
      <w:r w:rsidRPr="007720BC">
        <w:rPr>
          <w:sz w:val="24"/>
          <w:szCs w:val="24"/>
          <w:lang w:val="en-US"/>
        </w:rPr>
        <w:t>diketahui</w:t>
      </w:r>
      <w:proofErr w:type="spellEnd"/>
      <w:r w:rsidRPr="007720BC">
        <w:rPr>
          <w:sz w:val="24"/>
          <w:szCs w:val="24"/>
          <w:lang w:val="en-US"/>
        </w:rPr>
        <w:t xml:space="preserve"> </w:t>
      </w:r>
      <w:proofErr w:type="spellStart"/>
      <w:r w:rsidRPr="007720BC">
        <w:rPr>
          <w:sz w:val="24"/>
          <w:szCs w:val="24"/>
          <w:lang w:val="en-US"/>
        </w:rPr>
        <w:t>bahwa</w:t>
      </w:r>
      <w:proofErr w:type="spellEnd"/>
      <w:r w:rsidRPr="007720BC">
        <w:rPr>
          <w:sz w:val="24"/>
          <w:szCs w:val="24"/>
          <w:lang w:val="en-US"/>
        </w:rPr>
        <w:t xml:space="preserve"> </w:t>
      </w:r>
      <w:proofErr w:type="spellStart"/>
      <w:r w:rsidRPr="007720BC">
        <w:rPr>
          <w:sz w:val="24"/>
          <w:szCs w:val="24"/>
          <w:lang w:val="en-US"/>
        </w:rPr>
        <w:t>pencapaian</w:t>
      </w:r>
      <w:proofErr w:type="spellEnd"/>
      <w:r w:rsidR="00783A29" w:rsidRPr="007720BC">
        <w:rPr>
          <w:sz w:val="24"/>
          <w:szCs w:val="24"/>
          <w:lang w:val="en-US"/>
        </w:rPr>
        <w:t xml:space="preserve"> </w:t>
      </w:r>
      <w:proofErr w:type="spellStart"/>
      <w:r w:rsidR="00783A29" w:rsidRPr="007720BC">
        <w:rPr>
          <w:sz w:val="24"/>
          <w:szCs w:val="24"/>
          <w:lang w:val="en-US"/>
        </w:rPr>
        <w:t>keluarga</w:t>
      </w:r>
      <w:proofErr w:type="spellEnd"/>
      <w:r w:rsidR="00783A29" w:rsidRPr="007720BC">
        <w:rPr>
          <w:sz w:val="24"/>
          <w:szCs w:val="24"/>
          <w:lang w:val="en-US"/>
        </w:rPr>
        <w:t xml:space="preserve"> </w:t>
      </w:r>
      <w:proofErr w:type="spellStart"/>
      <w:r w:rsidR="00783A29" w:rsidRPr="007720BC">
        <w:rPr>
          <w:sz w:val="24"/>
          <w:szCs w:val="24"/>
          <w:lang w:val="en-US"/>
        </w:rPr>
        <w:t>tidak</w:t>
      </w:r>
      <w:proofErr w:type="spellEnd"/>
      <w:r w:rsidR="00783A29" w:rsidRPr="007720BC">
        <w:rPr>
          <w:sz w:val="24"/>
          <w:szCs w:val="24"/>
          <w:lang w:val="en-US"/>
        </w:rPr>
        <w:t xml:space="preserve"> </w:t>
      </w:r>
      <w:proofErr w:type="spellStart"/>
      <w:r w:rsidR="00783A29" w:rsidRPr="007720BC">
        <w:rPr>
          <w:sz w:val="24"/>
          <w:szCs w:val="24"/>
          <w:lang w:val="en-US"/>
        </w:rPr>
        <w:t>beresiko</w:t>
      </w:r>
      <w:proofErr w:type="spellEnd"/>
      <w:r w:rsidR="00783A29" w:rsidRPr="007720BC">
        <w:rPr>
          <w:sz w:val="24"/>
          <w:szCs w:val="24"/>
          <w:lang w:val="en-US"/>
        </w:rPr>
        <w:t xml:space="preserve"> </w:t>
      </w:r>
      <w:proofErr w:type="spellStart"/>
      <w:r w:rsidR="00783A29" w:rsidRPr="007720BC">
        <w:rPr>
          <w:sz w:val="24"/>
          <w:szCs w:val="24"/>
          <w:lang w:val="en-US"/>
        </w:rPr>
        <w:t>atau</w:t>
      </w:r>
      <w:proofErr w:type="spellEnd"/>
      <w:r w:rsidR="00783A29" w:rsidRPr="007720BC">
        <w:rPr>
          <w:sz w:val="24"/>
          <w:szCs w:val="24"/>
          <w:lang w:val="en-US"/>
        </w:rPr>
        <w:t xml:space="preserve"> </w:t>
      </w:r>
      <w:proofErr w:type="spellStart"/>
      <w:r w:rsidR="00783A29" w:rsidRPr="007720BC">
        <w:rPr>
          <w:sz w:val="24"/>
          <w:szCs w:val="24"/>
          <w:lang w:val="en-US"/>
        </w:rPr>
        <w:t>a</w:t>
      </w:r>
      <w:r w:rsidRPr="007720BC">
        <w:rPr>
          <w:sz w:val="24"/>
          <w:szCs w:val="24"/>
          <w:lang w:val="en-US"/>
        </w:rPr>
        <w:t>gregat</w:t>
      </w:r>
      <w:proofErr w:type="spellEnd"/>
      <w:r w:rsidRPr="007720BC">
        <w:rPr>
          <w:sz w:val="24"/>
          <w:szCs w:val="24"/>
          <w:lang w:val="en-US"/>
        </w:rPr>
        <w:t xml:space="preserve"> </w:t>
      </w:r>
      <w:proofErr w:type="spellStart"/>
      <w:r w:rsidRPr="007720BC">
        <w:rPr>
          <w:sz w:val="24"/>
          <w:szCs w:val="24"/>
          <w:lang w:val="en-US"/>
        </w:rPr>
        <w:t>sebesar</w:t>
      </w:r>
      <w:proofErr w:type="spellEnd"/>
      <w:r w:rsidRPr="007720BC">
        <w:rPr>
          <w:sz w:val="24"/>
          <w:szCs w:val="24"/>
          <w:lang w:val="en-US"/>
        </w:rPr>
        <w:t xml:space="preserve"> 21 (</w:t>
      </w:r>
      <w:proofErr w:type="spellStart"/>
      <w:r w:rsidRPr="007720BC">
        <w:rPr>
          <w:sz w:val="24"/>
          <w:szCs w:val="24"/>
          <w:lang w:val="en-US"/>
        </w:rPr>
        <w:t>rasio</w:t>
      </w:r>
      <w:proofErr w:type="spellEnd"/>
      <w:r w:rsidRPr="007720BC">
        <w:rPr>
          <w:sz w:val="24"/>
          <w:szCs w:val="24"/>
          <w:lang w:val="en-US"/>
        </w:rPr>
        <w:t xml:space="preserve"> 275:254)</w:t>
      </w:r>
      <w:r w:rsidR="00783A29" w:rsidRPr="007720BC">
        <w:rPr>
          <w:sz w:val="24"/>
          <w:szCs w:val="24"/>
          <w:lang w:val="en-US"/>
        </w:rPr>
        <w:t xml:space="preserve"> </w:t>
      </w:r>
      <w:proofErr w:type="spellStart"/>
      <w:r w:rsidR="00783A29" w:rsidRPr="007720BC">
        <w:rPr>
          <w:sz w:val="24"/>
          <w:szCs w:val="24"/>
          <w:lang w:val="en-US"/>
        </w:rPr>
        <w:t>merupakan</w:t>
      </w:r>
      <w:proofErr w:type="spellEnd"/>
      <w:r w:rsidR="00783A29" w:rsidRPr="007720BC">
        <w:rPr>
          <w:sz w:val="24"/>
          <w:szCs w:val="24"/>
          <w:lang w:val="en-US"/>
        </w:rPr>
        <w:t xml:space="preserve"> indicator </w:t>
      </w:r>
      <w:proofErr w:type="spellStart"/>
      <w:r w:rsidR="00783A29" w:rsidRPr="007720BC">
        <w:rPr>
          <w:sz w:val="24"/>
          <w:szCs w:val="24"/>
          <w:lang w:val="en-US"/>
        </w:rPr>
        <w:t>pencapaian</w:t>
      </w:r>
      <w:proofErr w:type="spellEnd"/>
      <w:r w:rsidR="00783A29" w:rsidRPr="007720BC">
        <w:rPr>
          <w:sz w:val="24"/>
          <w:szCs w:val="24"/>
          <w:lang w:val="en-US"/>
        </w:rPr>
        <w:t xml:space="preserve"> yang </w:t>
      </w:r>
      <w:proofErr w:type="spellStart"/>
      <w:r w:rsidR="00783A29" w:rsidRPr="007720BC">
        <w:rPr>
          <w:sz w:val="24"/>
          <w:szCs w:val="24"/>
          <w:lang w:val="en-US"/>
        </w:rPr>
        <w:lastRenderedPageBreak/>
        <w:t>efektif</w:t>
      </w:r>
      <w:proofErr w:type="spellEnd"/>
      <w:r w:rsidR="00783A29" w:rsidRPr="007720BC">
        <w:rPr>
          <w:sz w:val="24"/>
          <w:szCs w:val="24"/>
          <w:lang w:val="en-US"/>
        </w:rPr>
        <w:t xml:space="preserve"> </w:t>
      </w:r>
      <w:proofErr w:type="spellStart"/>
      <w:r w:rsidR="00783A29" w:rsidRPr="007720BC">
        <w:rPr>
          <w:sz w:val="24"/>
          <w:szCs w:val="24"/>
          <w:lang w:val="en-US"/>
        </w:rPr>
        <w:t>jika</w:t>
      </w:r>
      <w:proofErr w:type="spellEnd"/>
      <w:r w:rsidR="00783A29" w:rsidRPr="007720BC">
        <w:rPr>
          <w:sz w:val="24"/>
          <w:szCs w:val="24"/>
          <w:lang w:val="en-US"/>
        </w:rPr>
        <w:t xml:space="preserve"> </w:t>
      </w:r>
      <w:proofErr w:type="spellStart"/>
      <w:r w:rsidR="00783A29" w:rsidRPr="007720BC">
        <w:rPr>
          <w:sz w:val="24"/>
          <w:szCs w:val="24"/>
          <w:lang w:val="en-US"/>
        </w:rPr>
        <w:t>dibandingkan</w:t>
      </w:r>
      <w:proofErr w:type="spellEnd"/>
      <w:r w:rsidR="00783A29" w:rsidRPr="007720BC">
        <w:rPr>
          <w:sz w:val="24"/>
          <w:szCs w:val="24"/>
          <w:lang w:val="en-US"/>
        </w:rPr>
        <w:t xml:space="preserve"> </w:t>
      </w:r>
      <w:proofErr w:type="spellStart"/>
      <w:r w:rsidR="00783A29" w:rsidRPr="007720BC">
        <w:rPr>
          <w:sz w:val="24"/>
          <w:szCs w:val="24"/>
          <w:lang w:val="en-US"/>
        </w:rPr>
        <w:t>dengan</w:t>
      </w:r>
      <w:proofErr w:type="spellEnd"/>
      <w:r w:rsidR="00783A29" w:rsidRPr="007720BC">
        <w:rPr>
          <w:sz w:val="24"/>
          <w:szCs w:val="24"/>
          <w:lang w:val="en-US"/>
        </w:rPr>
        <w:t xml:space="preserve"> </w:t>
      </w:r>
      <w:proofErr w:type="spellStart"/>
      <w:r w:rsidR="00783A29" w:rsidRPr="007720BC">
        <w:rPr>
          <w:sz w:val="24"/>
          <w:szCs w:val="24"/>
          <w:lang w:val="en-US"/>
        </w:rPr>
        <w:t>desa-desa</w:t>
      </w:r>
      <w:proofErr w:type="spellEnd"/>
      <w:r w:rsidR="00783A29" w:rsidRPr="007720BC">
        <w:rPr>
          <w:sz w:val="24"/>
          <w:szCs w:val="24"/>
          <w:lang w:val="en-US"/>
        </w:rPr>
        <w:t xml:space="preserve"> </w:t>
      </w:r>
      <w:proofErr w:type="spellStart"/>
      <w:r w:rsidR="00783A29" w:rsidRPr="007720BC">
        <w:rPr>
          <w:sz w:val="24"/>
          <w:szCs w:val="24"/>
          <w:lang w:val="en-US"/>
        </w:rPr>
        <w:t>lainnya</w:t>
      </w:r>
      <w:proofErr w:type="spellEnd"/>
      <w:r w:rsidR="00783A29" w:rsidRPr="007720BC">
        <w:rPr>
          <w:sz w:val="24"/>
          <w:szCs w:val="24"/>
          <w:lang w:val="en-US"/>
        </w:rPr>
        <w:t xml:space="preserve"> di </w:t>
      </w:r>
      <w:proofErr w:type="spellStart"/>
      <w:r w:rsidR="00783A29" w:rsidRPr="007720BC">
        <w:rPr>
          <w:sz w:val="24"/>
          <w:szCs w:val="24"/>
          <w:lang w:val="en-US"/>
        </w:rPr>
        <w:t>Kecamatan</w:t>
      </w:r>
      <w:proofErr w:type="spellEnd"/>
      <w:r w:rsidR="00783A29" w:rsidRPr="007720BC">
        <w:rPr>
          <w:sz w:val="24"/>
          <w:szCs w:val="24"/>
          <w:lang w:val="en-US"/>
        </w:rPr>
        <w:t xml:space="preserve"> </w:t>
      </w:r>
      <w:proofErr w:type="spellStart"/>
      <w:r w:rsidR="00783A29" w:rsidRPr="007720BC">
        <w:rPr>
          <w:sz w:val="24"/>
          <w:szCs w:val="24"/>
          <w:lang w:val="en-US"/>
        </w:rPr>
        <w:t>Cikeusal</w:t>
      </w:r>
      <w:proofErr w:type="spellEnd"/>
      <w:r w:rsidR="00783A29" w:rsidRPr="007720BC">
        <w:rPr>
          <w:sz w:val="24"/>
          <w:szCs w:val="24"/>
          <w:lang w:val="en-US"/>
        </w:rPr>
        <w:t xml:space="preserve">. </w:t>
      </w:r>
      <w:r w:rsidR="00F80099" w:rsidRPr="007720BC">
        <w:rPr>
          <w:sz w:val="24"/>
          <w:szCs w:val="24"/>
          <w:lang w:val="en-US"/>
        </w:rPr>
        <w:t xml:space="preserve">Dalam </w:t>
      </w:r>
      <w:proofErr w:type="spellStart"/>
      <w:r w:rsidR="00F80099" w:rsidRPr="007720BC">
        <w:rPr>
          <w:sz w:val="24"/>
          <w:szCs w:val="24"/>
          <w:lang w:val="en-US"/>
        </w:rPr>
        <w:t>hal</w:t>
      </w:r>
      <w:proofErr w:type="spellEnd"/>
      <w:r w:rsidR="00F80099" w:rsidRPr="007720BC">
        <w:rPr>
          <w:sz w:val="24"/>
          <w:szCs w:val="24"/>
          <w:lang w:val="en-US"/>
        </w:rPr>
        <w:t xml:space="preserve"> </w:t>
      </w:r>
      <w:proofErr w:type="spellStart"/>
      <w:r w:rsidR="00F80099" w:rsidRPr="007720BC">
        <w:rPr>
          <w:sz w:val="24"/>
          <w:szCs w:val="24"/>
          <w:lang w:val="en-US"/>
        </w:rPr>
        <w:t>ini</w:t>
      </w:r>
      <w:proofErr w:type="spellEnd"/>
      <w:r w:rsidR="00F80099" w:rsidRPr="007720BC">
        <w:rPr>
          <w:sz w:val="24"/>
          <w:szCs w:val="24"/>
          <w:lang w:val="en-US"/>
        </w:rPr>
        <w:t xml:space="preserve"> program Kampung KB Desa </w:t>
      </w:r>
      <w:proofErr w:type="spellStart"/>
      <w:r w:rsidR="00F80099" w:rsidRPr="007720BC">
        <w:rPr>
          <w:sz w:val="24"/>
          <w:szCs w:val="24"/>
          <w:lang w:val="en-US"/>
        </w:rPr>
        <w:t>Mongpok</w:t>
      </w:r>
      <w:proofErr w:type="spellEnd"/>
      <w:r w:rsidR="00F80099" w:rsidRPr="007720BC">
        <w:rPr>
          <w:sz w:val="24"/>
          <w:szCs w:val="24"/>
          <w:lang w:val="en-US"/>
        </w:rPr>
        <w:t xml:space="preserve"> </w:t>
      </w:r>
      <w:proofErr w:type="spellStart"/>
      <w:r w:rsidR="00F80099" w:rsidRPr="007720BC">
        <w:rPr>
          <w:sz w:val="24"/>
          <w:szCs w:val="24"/>
          <w:lang w:val="en-US"/>
        </w:rPr>
        <w:t>telah</w:t>
      </w:r>
      <w:proofErr w:type="spellEnd"/>
      <w:r w:rsidR="00F80099" w:rsidRPr="007720BC">
        <w:rPr>
          <w:sz w:val="24"/>
          <w:szCs w:val="24"/>
          <w:lang w:val="en-US"/>
        </w:rPr>
        <w:t xml:space="preserve"> </w:t>
      </w:r>
      <w:proofErr w:type="spellStart"/>
      <w:r w:rsidR="00F80099" w:rsidRPr="007720BC">
        <w:rPr>
          <w:sz w:val="24"/>
          <w:szCs w:val="24"/>
          <w:lang w:val="en-US"/>
        </w:rPr>
        <w:t>berhasil</w:t>
      </w:r>
      <w:proofErr w:type="spellEnd"/>
      <w:r w:rsidR="00F80099" w:rsidRPr="007720BC">
        <w:rPr>
          <w:sz w:val="24"/>
          <w:szCs w:val="24"/>
          <w:lang w:val="en-US"/>
        </w:rPr>
        <w:t xml:space="preserve"> </w:t>
      </w:r>
      <w:proofErr w:type="spellStart"/>
      <w:r w:rsidR="00F80099" w:rsidRPr="007720BC">
        <w:rPr>
          <w:sz w:val="24"/>
          <w:szCs w:val="24"/>
          <w:lang w:val="en-US"/>
        </w:rPr>
        <w:t>melakukan</w:t>
      </w:r>
      <w:proofErr w:type="spellEnd"/>
      <w:r w:rsidR="00F80099" w:rsidRPr="007720BC">
        <w:rPr>
          <w:sz w:val="24"/>
          <w:szCs w:val="24"/>
          <w:lang w:val="en-US"/>
        </w:rPr>
        <w:t xml:space="preserve"> </w:t>
      </w:r>
      <w:proofErr w:type="spellStart"/>
      <w:r w:rsidR="00F80099" w:rsidRPr="007720BC">
        <w:rPr>
          <w:sz w:val="24"/>
          <w:szCs w:val="24"/>
          <w:lang w:val="en-US"/>
        </w:rPr>
        <w:t>percepatan</w:t>
      </w:r>
      <w:proofErr w:type="spellEnd"/>
      <w:r w:rsidR="00F80099" w:rsidRPr="007720BC">
        <w:rPr>
          <w:sz w:val="24"/>
          <w:szCs w:val="24"/>
          <w:lang w:val="en-US"/>
        </w:rPr>
        <w:t xml:space="preserve"> </w:t>
      </w:r>
      <w:proofErr w:type="spellStart"/>
      <w:r w:rsidR="00F80099" w:rsidRPr="007720BC">
        <w:rPr>
          <w:sz w:val="24"/>
          <w:szCs w:val="24"/>
          <w:lang w:val="en-US"/>
        </w:rPr>
        <w:t>penurunan</w:t>
      </w:r>
      <w:proofErr w:type="spellEnd"/>
      <w:r w:rsidR="00F80099" w:rsidRPr="007720BC">
        <w:rPr>
          <w:sz w:val="24"/>
          <w:szCs w:val="24"/>
          <w:lang w:val="en-US"/>
        </w:rPr>
        <w:t xml:space="preserve"> stunting </w:t>
      </w:r>
      <w:proofErr w:type="spellStart"/>
      <w:r w:rsidR="00F80099" w:rsidRPr="007720BC">
        <w:rPr>
          <w:sz w:val="24"/>
          <w:szCs w:val="24"/>
          <w:lang w:val="en-US"/>
        </w:rPr>
        <w:t>hingga</w:t>
      </w:r>
      <w:proofErr w:type="spellEnd"/>
      <w:r w:rsidR="00F80099" w:rsidRPr="007720BC">
        <w:rPr>
          <w:sz w:val="24"/>
          <w:szCs w:val="24"/>
          <w:lang w:val="en-US"/>
        </w:rPr>
        <w:t xml:space="preserve"> </w:t>
      </w:r>
      <w:proofErr w:type="spellStart"/>
      <w:r w:rsidR="00F80099" w:rsidRPr="007720BC">
        <w:rPr>
          <w:sz w:val="24"/>
          <w:szCs w:val="24"/>
          <w:lang w:val="en-US"/>
        </w:rPr>
        <w:t>tersisa</w:t>
      </w:r>
      <w:proofErr w:type="spellEnd"/>
      <w:r w:rsidR="00F80099" w:rsidRPr="007720BC">
        <w:rPr>
          <w:sz w:val="24"/>
          <w:szCs w:val="24"/>
          <w:lang w:val="en-US"/>
        </w:rPr>
        <w:t xml:space="preserve"> 21 orang </w:t>
      </w:r>
      <w:proofErr w:type="spellStart"/>
      <w:r w:rsidR="00F80099" w:rsidRPr="007720BC">
        <w:rPr>
          <w:sz w:val="24"/>
          <w:szCs w:val="24"/>
          <w:lang w:val="en-US"/>
        </w:rPr>
        <w:t>atau</w:t>
      </w:r>
      <w:proofErr w:type="spellEnd"/>
      <w:r w:rsidR="00F80099" w:rsidRPr="007720BC">
        <w:rPr>
          <w:sz w:val="24"/>
          <w:szCs w:val="24"/>
          <w:lang w:val="en-US"/>
        </w:rPr>
        <w:t xml:space="preserve"> </w:t>
      </w:r>
      <w:proofErr w:type="spellStart"/>
      <w:r w:rsidR="00F80099" w:rsidRPr="007720BC">
        <w:rPr>
          <w:sz w:val="24"/>
          <w:szCs w:val="24"/>
          <w:lang w:val="en-US"/>
        </w:rPr>
        <w:t>hanya</w:t>
      </w:r>
      <w:proofErr w:type="spellEnd"/>
      <w:r w:rsidR="00F80099" w:rsidRPr="007720BC">
        <w:rPr>
          <w:sz w:val="24"/>
          <w:szCs w:val="24"/>
          <w:lang w:val="en-US"/>
        </w:rPr>
        <w:t xml:space="preserve"> </w:t>
      </w:r>
      <w:proofErr w:type="spellStart"/>
      <w:r w:rsidR="00F80099" w:rsidRPr="007720BC">
        <w:rPr>
          <w:sz w:val="24"/>
          <w:szCs w:val="24"/>
          <w:lang w:val="en-US"/>
        </w:rPr>
        <w:t>sekitar</w:t>
      </w:r>
      <w:proofErr w:type="spellEnd"/>
      <w:r w:rsidR="00F80099" w:rsidRPr="007720BC">
        <w:rPr>
          <w:sz w:val="24"/>
          <w:szCs w:val="24"/>
          <w:lang w:val="en-US"/>
        </w:rPr>
        <w:t xml:space="preserve"> 7,63% </w:t>
      </w:r>
      <w:proofErr w:type="spellStart"/>
      <w:r w:rsidR="00F80099" w:rsidRPr="007720BC">
        <w:rPr>
          <w:sz w:val="24"/>
          <w:szCs w:val="24"/>
          <w:lang w:val="en-US"/>
        </w:rPr>
        <w:t>keluarga</w:t>
      </w:r>
      <w:proofErr w:type="spellEnd"/>
      <w:r w:rsidR="00F80099" w:rsidRPr="007720BC">
        <w:rPr>
          <w:sz w:val="24"/>
          <w:szCs w:val="24"/>
          <w:lang w:val="en-US"/>
        </w:rPr>
        <w:t xml:space="preserve"> </w:t>
      </w:r>
      <w:proofErr w:type="spellStart"/>
      <w:r w:rsidR="00F80099" w:rsidRPr="007720BC">
        <w:rPr>
          <w:sz w:val="24"/>
          <w:szCs w:val="24"/>
          <w:lang w:val="en-US"/>
        </w:rPr>
        <w:t>tidak</w:t>
      </w:r>
      <w:proofErr w:type="spellEnd"/>
      <w:r w:rsidR="00F80099" w:rsidRPr="007720BC">
        <w:rPr>
          <w:sz w:val="24"/>
          <w:szCs w:val="24"/>
          <w:lang w:val="en-US"/>
        </w:rPr>
        <w:t xml:space="preserve"> </w:t>
      </w:r>
      <w:proofErr w:type="spellStart"/>
      <w:r w:rsidR="00F80099" w:rsidRPr="007720BC">
        <w:rPr>
          <w:sz w:val="24"/>
          <w:szCs w:val="24"/>
          <w:lang w:val="en-US"/>
        </w:rPr>
        <w:t>beresiko</w:t>
      </w:r>
      <w:proofErr w:type="spellEnd"/>
      <w:r w:rsidR="00F80099" w:rsidRPr="007720BC">
        <w:rPr>
          <w:sz w:val="24"/>
          <w:szCs w:val="24"/>
          <w:lang w:val="en-US"/>
        </w:rPr>
        <w:t>.</w:t>
      </w:r>
    </w:p>
    <w:p w14:paraId="16EFD716" w14:textId="611F1B17" w:rsidR="00717586" w:rsidRPr="007720BC" w:rsidRDefault="00717586" w:rsidP="00717586">
      <w:pPr>
        <w:spacing w:after="0" w:line="240" w:lineRule="auto"/>
        <w:ind w:firstLine="720"/>
        <w:jc w:val="both"/>
        <w:rPr>
          <w:rFonts w:ascii="Times New Roman" w:hAnsi="Times New Roman" w:cs="Times New Roman"/>
          <w:sz w:val="24"/>
          <w:szCs w:val="24"/>
        </w:rPr>
      </w:pPr>
      <w:r w:rsidRPr="007720BC">
        <w:rPr>
          <w:rFonts w:ascii="Times New Roman" w:hAnsi="Times New Roman" w:cs="Times New Roman"/>
          <w:sz w:val="24"/>
          <w:szCs w:val="24"/>
        </w:rPr>
        <w:t xml:space="preserve">Faktor </w:t>
      </w:r>
      <w:r w:rsidR="006C114D" w:rsidRPr="007720BC">
        <w:rPr>
          <w:rFonts w:ascii="Times New Roman" w:hAnsi="Times New Roman" w:cs="Times New Roman"/>
          <w:sz w:val="24"/>
          <w:szCs w:val="24"/>
        </w:rPr>
        <w:t xml:space="preserve">yang </w:t>
      </w:r>
      <w:proofErr w:type="spellStart"/>
      <w:r w:rsidRPr="007720BC">
        <w:rPr>
          <w:rFonts w:ascii="Times New Roman" w:hAnsi="Times New Roman" w:cs="Times New Roman"/>
          <w:sz w:val="24"/>
          <w:szCs w:val="24"/>
        </w:rPr>
        <w:t>berkontribusi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penting</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dalam</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melakukan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pendekatan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terhadap</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perubahan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perilaku</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masyarakat</w:t>
      </w:r>
      <w:proofErr w:type="spellEnd"/>
      <w:r w:rsidRPr="007720BC">
        <w:rPr>
          <w:rFonts w:ascii="Times New Roman" w:hAnsi="Times New Roman" w:cs="Times New Roman"/>
          <w:sz w:val="24"/>
          <w:szCs w:val="24"/>
        </w:rPr>
        <w:t xml:space="preserve"> </w:t>
      </w:r>
      <w:proofErr w:type="spellStart"/>
      <w:r w:rsidR="006C114D" w:rsidRPr="007720BC">
        <w:rPr>
          <w:rFonts w:ascii="Times New Roman" w:hAnsi="Times New Roman" w:cs="Times New Roman"/>
          <w:sz w:val="24"/>
          <w:szCs w:val="24"/>
        </w:rPr>
        <w:t>sehingga</w:t>
      </w:r>
      <w:proofErr w:type="spellEnd"/>
      <w:r w:rsidR="006C114D" w:rsidRPr="007720BC">
        <w:rPr>
          <w:rFonts w:ascii="Times New Roman" w:hAnsi="Times New Roman" w:cs="Times New Roman"/>
          <w:sz w:val="24"/>
          <w:szCs w:val="24"/>
        </w:rPr>
        <w:t xml:space="preserve"> </w:t>
      </w:r>
      <w:proofErr w:type="spellStart"/>
      <w:r w:rsidR="006C114D" w:rsidRPr="007720BC">
        <w:rPr>
          <w:rFonts w:ascii="Times New Roman" w:hAnsi="Times New Roman" w:cs="Times New Roman"/>
          <w:sz w:val="24"/>
          <w:szCs w:val="24"/>
        </w:rPr>
        <w:t>terjadinya</w:t>
      </w:r>
      <w:proofErr w:type="spellEnd"/>
      <w:r w:rsidR="006C114D" w:rsidRPr="007720BC">
        <w:rPr>
          <w:rFonts w:ascii="Times New Roman" w:hAnsi="Times New Roman" w:cs="Times New Roman"/>
          <w:sz w:val="24"/>
          <w:szCs w:val="24"/>
        </w:rPr>
        <w:t xml:space="preserve"> </w:t>
      </w:r>
      <w:proofErr w:type="spellStart"/>
      <w:r w:rsidR="006C114D" w:rsidRPr="007720BC">
        <w:rPr>
          <w:rFonts w:ascii="Times New Roman" w:hAnsi="Times New Roman" w:cs="Times New Roman"/>
          <w:sz w:val="24"/>
          <w:szCs w:val="24"/>
        </w:rPr>
        <w:t>penurunan</w:t>
      </w:r>
      <w:proofErr w:type="spellEnd"/>
      <w:r w:rsidR="006C114D" w:rsidRPr="007720BC">
        <w:rPr>
          <w:rFonts w:ascii="Times New Roman" w:hAnsi="Times New Roman" w:cs="Times New Roman"/>
          <w:sz w:val="24"/>
          <w:szCs w:val="24"/>
        </w:rPr>
        <w:t xml:space="preserve"> </w:t>
      </w:r>
      <w:proofErr w:type="spellStart"/>
      <w:r w:rsidR="006C114D" w:rsidRPr="007720BC">
        <w:rPr>
          <w:rFonts w:ascii="Times New Roman" w:hAnsi="Times New Roman" w:cs="Times New Roman"/>
          <w:sz w:val="24"/>
          <w:szCs w:val="24"/>
        </w:rPr>
        <w:t>percepatan</w:t>
      </w:r>
      <w:proofErr w:type="spellEnd"/>
      <w:r w:rsidR="006C114D" w:rsidRPr="007720BC">
        <w:rPr>
          <w:rFonts w:ascii="Times New Roman" w:hAnsi="Times New Roman" w:cs="Times New Roman"/>
          <w:sz w:val="24"/>
          <w:szCs w:val="24"/>
        </w:rPr>
        <w:t xml:space="preserve"> stunting </w:t>
      </w:r>
      <w:proofErr w:type="spellStart"/>
      <w:r w:rsidRPr="007720BC">
        <w:rPr>
          <w:rFonts w:ascii="Times New Roman" w:hAnsi="Times New Roman" w:cs="Times New Roman"/>
          <w:sz w:val="24"/>
          <w:szCs w:val="24"/>
        </w:rPr>
        <w:t>yaitu</w:t>
      </w:r>
      <w:proofErr w:type="spellEnd"/>
      <w:r w:rsidRPr="007720BC">
        <w:rPr>
          <w:rFonts w:ascii="Times New Roman" w:hAnsi="Times New Roman" w:cs="Times New Roman"/>
          <w:sz w:val="24"/>
          <w:szCs w:val="24"/>
        </w:rPr>
        <w:t xml:space="preserve"> k</w:t>
      </w:r>
      <w:proofErr w:type="spellStart"/>
      <w:r w:rsidRPr="007720BC">
        <w:rPr>
          <w:rFonts w:ascii="Times New Roman" w:hAnsi="Times New Roman" w:cs="Times New Roman"/>
          <w:sz w:val="24"/>
          <w:szCs w:val="24"/>
          <w:lang w:val="en-US"/>
        </w:rPr>
        <w:t>epemimpinan</w:t>
      </w:r>
      <w:proofErr w:type="spellEnd"/>
      <w:r w:rsidRPr="007720BC">
        <w:rPr>
          <w:rFonts w:ascii="Times New Roman" w:hAnsi="Times New Roman" w:cs="Times New Roman"/>
          <w:sz w:val="24"/>
          <w:szCs w:val="24"/>
          <w:lang w:val="en-US"/>
        </w:rPr>
        <w:t xml:space="preserve"> local </w:t>
      </w:r>
      <w:proofErr w:type="spellStart"/>
      <w:r w:rsidRPr="007720BC">
        <w:rPr>
          <w:rFonts w:ascii="Times New Roman" w:hAnsi="Times New Roman" w:cs="Times New Roman"/>
          <w:sz w:val="24"/>
          <w:szCs w:val="24"/>
          <w:lang w:val="en-US"/>
        </w:rPr>
        <w:t>atau</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Kepala</w:t>
      </w:r>
      <w:proofErr w:type="spellEnd"/>
      <w:r w:rsidRPr="007720BC">
        <w:rPr>
          <w:rFonts w:ascii="Times New Roman" w:hAnsi="Times New Roman" w:cs="Times New Roman"/>
          <w:sz w:val="24"/>
          <w:szCs w:val="24"/>
          <w:lang w:val="en-US"/>
        </w:rPr>
        <w:t xml:space="preserve"> Desa </w:t>
      </w:r>
      <w:proofErr w:type="spellStart"/>
      <w:r w:rsidRPr="007720BC">
        <w:rPr>
          <w:rFonts w:ascii="Times New Roman" w:hAnsi="Times New Roman" w:cs="Times New Roman"/>
          <w:sz w:val="24"/>
          <w:szCs w:val="24"/>
          <w:lang w:val="en-US"/>
        </w:rPr>
        <w:t>Mongpok</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sebagai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penggerak</w:t>
      </w:r>
      <w:proofErr w:type="spellEnd"/>
      <w:r w:rsidRPr="007720BC">
        <w:rPr>
          <w:rFonts w:ascii="Times New Roman" w:hAnsi="Times New Roman" w:cs="Times New Roman"/>
          <w:sz w:val="24"/>
          <w:szCs w:val="24"/>
          <w:lang w:val="en-US"/>
        </w:rPr>
        <w:t xml:space="preserve"> dan </w:t>
      </w:r>
      <w:proofErr w:type="spellStart"/>
      <w:r w:rsidRPr="007720BC">
        <w:rPr>
          <w:rFonts w:ascii="Times New Roman" w:hAnsi="Times New Roman" w:cs="Times New Roman"/>
          <w:sz w:val="24"/>
          <w:szCs w:val="24"/>
          <w:lang w:val="en-US"/>
        </w:rPr>
        <w:t>pengarah</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masyarakat</w:t>
      </w:r>
      <w:proofErr w:type="spellEnd"/>
      <w:r w:rsidRPr="007720BC">
        <w:rPr>
          <w:rFonts w:ascii="Times New Roman" w:hAnsi="Times New Roman" w:cs="Times New Roman"/>
          <w:sz w:val="24"/>
          <w:szCs w:val="24"/>
          <w:lang w:val="en-US"/>
        </w:rPr>
        <w:t xml:space="preserve">. </w:t>
      </w:r>
      <w:bookmarkStart w:id="8" w:name="_Hlk138894651"/>
      <w:r w:rsidRPr="007720BC">
        <w:rPr>
          <w:rFonts w:ascii="Times New Roman" w:hAnsi="Times New Roman" w:cs="Times New Roman"/>
          <w:sz w:val="24"/>
          <w:szCs w:val="24"/>
          <w:lang w:val="en-US"/>
        </w:rPr>
        <w:t xml:space="preserve">Dalam </w:t>
      </w:r>
      <w:proofErr w:type="spellStart"/>
      <w:r w:rsidRPr="007720BC">
        <w:rPr>
          <w:rFonts w:ascii="Times New Roman" w:hAnsi="Times New Roman" w:cs="Times New Roman"/>
          <w:sz w:val="24"/>
          <w:szCs w:val="24"/>
          <w:lang w:val="en-US"/>
        </w:rPr>
        <w:t>hal</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ini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kepala</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desa</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memiliki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kemauan</w:t>
      </w:r>
      <w:proofErr w:type="spellEnd"/>
      <w:r w:rsidRPr="007720BC">
        <w:rPr>
          <w:rFonts w:ascii="Times New Roman" w:hAnsi="Times New Roman" w:cs="Times New Roman"/>
          <w:sz w:val="24"/>
          <w:szCs w:val="24"/>
          <w:lang w:val="en-US"/>
        </w:rPr>
        <w:t xml:space="preserve"> dan </w:t>
      </w:r>
      <w:proofErr w:type="spellStart"/>
      <w:r w:rsidRPr="007720BC">
        <w:rPr>
          <w:rFonts w:ascii="Times New Roman" w:hAnsi="Times New Roman" w:cs="Times New Roman"/>
          <w:sz w:val="24"/>
          <w:szCs w:val="24"/>
          <w:lang w:val="en-US"/>
        </w:rPr>
        <w:t>kepedulian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serta</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aktif</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melakukan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kunjungan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rumah</w:t>
      </w:r>
      <w:proofErr w:type="spellEnd"/>
      <w:r w:rsidRPr="007720BC">
        <w:rPr>
          <w:rFonts w:ascii="Times New Roman" w:hAnsi="Times New Roman" w:cs="Times New Roman"/>
          <w:sz w:val="24"/>
          <w:szCs w:val="24"/>
          <w:lang w:val="en-US"/>
        </w:rPr>
        <w:t>/</w:t>
      </w:r>
      <w:proofErr w:type="spellStart"/>
      <w:r w:rsidRPr="007720BC">
        <w:rPr>
          <w:rFonts w:ascii="Times New Roman" w:hAnsi="Times New Roman" w:cs="Times New Roman"/>
          <w:sz w:val="24"/>
          <w:szCs w:val="24"/>
          <w:lang w:val="en-US"/>
        </w:rPr>
        <w:t>keluarga</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dalam</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mendampingi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kader</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penggerak</w:t>
      </w:r>
      <w:proofErr w:type="spellEnd"/>
      <w:r w:rsidRPr="007720BC">
        <w:rPr>
          <w:rFonts w:ascii="Times New Roman" w:hAnsi="Times New Roman" w:cs="Times New Roman"/>
          <w:sz w:val="24"/>
          <w:szCs w:val="24"/>
          <w:lang w:val="en-US"/>
        </w:rPr>
        <w:t xml:space="preserve"> Kampung KB </w:t>
      </w:r>
      <w:proofErr w:type="spellStart"/>
      <w:r w:rsidRPr="007720BC">
        <w:rPr>
          <w:rFonts w:ascii="Times New Roman" w:hAnsi="Times New Roman" w:cs="Times New Roman"/>
          <w:sz w:val="24"/>
          <w:szCs w:val="24"/>
          <w:lang w:val="en-US"/>
        </w:rPr>
        <w:t>sehingga</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menjadi</w:t>
      </w:r>
      <w:proofErr w:type="spellEnd"/>
      <w:r w:rsidRPr="007720BC">
        <w:rPr>
          <w:rFonts w:ascii="Times New Roman" w:hAnsi="Times New Roman" w:cs="Times New Roman"/>
          <w:sz w:val="24"/>
          <w:szCs w:val="24"/>
          <w:lang w:val="en-US"/>
        </w:rPr>
        <w:t xml:space="preserve"> </w:t>
      </w:r>
      <w:r w:rsidRPr="007720BC">
        <w:rPr>
          <w:rFonts w:ascii="Times New Roman" w:hAnsi="Times New Roman" w:cs="Times New Roman"/>
          <w:i/>
          <w:iCs/>
          <w:sz w:val="24"/>
          <w:szCs w:val="24"/>
          <w:lang w:val="en-US"/>
        </w:rPr>
        <w:t>role model</w:t>
      </w:r>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kepemimpinan</w:t>
      </w:r>
      <w:proofErr w:type="spellEnd"/>
      <w:r w:rsidRPr="007720BC">
        <w:rPr>
          <w:rFonts w:ascii="Times New Roman" w:hAnsi="Times New Roman" w:cs="Times New Roman"/>
          <w:sz w:val="24"/>
          <w:szCs w:val="24"/>
          <w:lang w:val="en-US"/>
        </w:rPr>
        <w:t xml:space="preserve"> ideal </w:t>
      </w:r>
      <w:proofErr w:type="spellStart"/>
      <w:r w:rsidRPr="007720BC">
        <w:rPr>
          <w:rFonts w:ascii="Times New Roman" w:hAnsi="Times New Roman" w:cs="Times New Roman"/>
          <w:sz w:val="24"/>
          <w:szCs w:val="24"/>
          <w:lang w:val="en-US"/>
        </w:rPr>
        <w:t>sekaligus</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memberikan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motivasi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bagi</w:t>
      </w:r>
      <w:proofErr w:type="spellEnd"/>
      <w:r w:rsidRPr="007720BC">
        <w:rPr>
          <w:rFonts w:ascii="Times New Roman" w:hAnsi="Times New Roman" w:cs="Times New Roman"/>
          <w:sz w:val="24"/>
          <w:szCs w:val="24"/>
          <w:lang w:val="en-US"/>
        </w:rPr>
        <w:t xml:space="preserve"> para </w:t>
      </w:r>
      <w:proofErr w:type="spellStart"/>
      <w:r w:rsidRPr="007720BC">
        <w:rPr>
          <w:rFonts w:ascii="Times New Roman" w:hAnsi="Times New Roman" w:cs="Times New Roman"/>
          <w:sz w:val="24"/>
          <w:szCs w:val="24"/>
          <w:lang w:val="en-US"/>
        </w:rPr>
        <w:t>kader</w:t>
      </w:r>
      <w:proofErr w:type="spellEnd"/>
      <w:r w:rsidRPr="007720BC">
        <w:rPr>
          <w:rFonts w:ascii="Times New Roman" w:hAnsi="Times New Roman" w:cs="Times New Roman"/>
          <w:sz w:val="24"/>
          <w:szCs w:val="24"/>
          <w:lang w:val="en-US"/>
        </w:rPr>
        <w:t xml:space="preserve"> Kampung KB </w:t>
      </w:r>
      <w:proofErr w:type="spellStart"/>
      <w:r w:rsidRPr="007720BC">
        <w:rPr>
          <w:rFonts w:ascii="Times New Roman" w:hAnsi="Times New Roman" w:cs="Times New Roman"/>
          <w:sz w:val="24"/>
          <w:szCs w:val="24"/>
          <w:lang w:val="en-US"/>
        </w:rPr>
        <w:t>untuk</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memberikan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pemahaman</w:t>
      </w:r>
      <w:proofErr w:type="spellEnd"/>
      <w:r w:rsidRPr="007720BC">
        <w:rPr>
          <w:rFonts w:ascii="Times New Roman" w:hAnsi="Times New Roman" w:cs="Times New Roman"/>
          <w:sz w:val="24"/>
          <w:szCs w:val="24"/>
          <w:lang w:val="en-US"/>
        </w:rPr>
        <w:t xml:space="preserve"> dan </w:t>
      </w:r>
      <w:proofErr w:type="spellStart"/>
      <w:r w:rsidRPr="007720BC">
        <w:rPr>
          <w:rFonts w:ascii="Times New Roman" w:hAnsi="Times New Roman" w:cs="Times New Roman"/>
          <w:sz w:val="24"/>
          <w:szCs w:val="24"/>
          <w:lang w:val="en-US"/>
        </w:rPr>
        <w:t>pengetahuan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tentang</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perilaku</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hidup</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bersih</w:t>
      </w:r>
      <w:proofErr w:type="spellEnd"/>
      <w:r w:rsidRPr="007720BC">
        <w:rPr>
          <w:rFonts w:ascii="Times New Roman" w:hAnsi="Times New Roman" w:cs="Times New Roman"/>
          <w:sz w:val="24"/>
          <w:szCs w:val="24"/>
          <w:lang w:val="en-US"/>
        </w:rPr>
        <w:t xml:space="preserve"> dan </w:t>
      </w:r>
      <w:proofErr w:type="spellStart"/>
      <w:r w:rsidRPr="007720BC">
        <w:rPr>
          <w:rFonts w:ascii="Times New Roman" w:hAnsi="Times New Roman" w:cs="Times New Roman"/>
          <w:sz w:val="24"/>
          <w:szCs w:val="24"/>
          <w:lang w:val="en-US"/>
        </w:rPr>
        <w:t>sehat</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kepada</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masyarakat</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secara</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konsisten</w:t>
      </w:r>
      <w:proofErr w:type="spellEnd"/>
      <w:r w:rsidRPr="007720BC">
        <w:rPr>
          <w:rFonts w:ascii="Times New Roman" w:hAnsi="Times New Roman" w:cs="Times New Roman"/>
          <w:sz w:val="24"/>
          <w:szCs w:val="24"/>
          <w:lang w:val="en-US"/>
        </w:rPr>
        <w:t>.</w:t>
      </w:r>
    </w:p>
    <w:bookmarkEnd w:id="8"/>
    <w:p w14:paraId="4CC4EA8A" w14:textId="63F5ABEB" w:rsidR="00327105" w:rsidRPr="007720BC" w:rsidRDefault="00D431E6" w:rsidP="00327105">
      <w:pPr>
        <w:shd w:val="clear" w:color="auto" w:fill="FFFFFF"/>
        <w:spacing w:after="0" w:line="240" w:lineRule="auto"/>
        <w:ind w:right="-1" w:firstLine="720"/>
        <w:contextualSpacing/>
        <w:jc w:val="both"/>
        <w:textAlignment w:val="baseline"/>
        <w:rPr>
          <w:rFonts w:ascii="Times New Roman" w:hAnsi="Times New Roman" w:cs="Times New Roman"/>
          <w:sz w:val="24"/>
          <w:szCs w:val="24"/>
          <w:lang w:val="en-US" w:eastAsia="en-ID"/>
        </w:rPr>
      </w:pPr>
      <w:r w:rsidRPr="007720BC">
        <w:rPr>
          <w:rFonts w:ascii="Times New Roman" w:hAnsi="Times New Roman" w:cs="Times New Roman"/>
          <w:bCs/>
          <w:sz w:val="24"/>
          <w:szCs w:val="24"/>
          <w:lang w:val="en-US"/>
        </w:rPr>
        <w:t xml:space="preserve"> </w:t>
      </w:r>
      <w:proofErr w:type="spellStart"/>
      <w:r w:rsidR="00543477" w:rsidRPr="007720BC">
        <w:rPr>
          <w:rFonts w:ascii="Times New Roman" w:hAnsi="Times New Roman" w:cs="Times New Roman"/>
          <w:bCs/>
          <w:sz w:val="24"/>
          <w:szCs w:val="24"/>
          <w:lang w:val="en-US"/>
        </w:rPr>
        <w:t>Berdasarkan</w:t>
      </w:r>
      <w:proofErr w:type="spellEnd"/>
      <w:r w:rsidR="00543477" w:rsidRPr="007720BC">
        <w:rPr>
          <w:rFonts w:ascii="Times New Roman" w:hAnsi="Times New Roman" w:cs="Times New Roman"/>
          <w:bCs/>
          <w:sz w:val="24"/>
          <w:szCs w:val="24"/>
          <w:lang w:val="en-US"/>
        </w:rPr>
        <w:t xml:space="preserve"> </w:t>
      </w:r>
      <w:proofErr w:type="spellStart"/>
      <w:r w:rsidR="00543477" w:rsidRPr="007720BC">
        <w:rPr>
          <w:rFonts w:ascii="Times New Roman" w:hAnsi="Times New Roman" w:cs="Times New Roman"/>
          <w:bCs/>
          <w:sz w:val="24"/>
          <w:szCs w:val="24"/>
          <w:lang w:val="en-US"/>
        </w:rPr>
        <w:t>hasil</w:t>
      </w:r>
      <w:proofErr w:type="spellEnd"/>
      <w:r w:rsidR="00543477" w:rsidRPr="007720BC">
        <w:rPr>
          <w:rFonts w:ascii="Times New Roman" w:hAnsi="Times New Roman" w:cs="Times New Roman"/>
          <w:bCs/>
          <w:sz w:val="24"/>
          <w:szCs w:val="24"/>
          <w:lang w:val="en-US"/>
        </w:rPr>
        <w:t xml:space="preserve"> </w:t>
      </w:r>
      <w:proofErr w:type="spellStart"/>
      <w:r w:rsidR="00543477" w:rsidRPr="007720BC">
        <w:rPr>
          <w:rFonts w:ascii="Times New Roman" w:hAnsi="Times New Roman" w:cs="Times New Roman"/>
          <w:bCs/>
          <w:sz w:val="24"/>
          <w:szCs w:val="24"/>
          <w:lang w:val="en-US"/>
        </w:rPr>
        <w:t>penelitian</w:t>
      </w:r>
      <w:proofErr w:type="spellEnd"/>
      <w:r w:rsidR="00543477" w:rsidRPr="007720BC">
        <w:rPr>
          <w:rFonts w:ascii="Times New Roman" w:hAnsi="Times New Roman" w:cs="Times New Roman"/>
          <w:bCs/>
          <w:sz w:val="24"/>
          <w:szCs w:val="24"/>
          <w:lang w:val="en-US"/>
        </w:rPr>
        <w:t xml:space="preserve"> yang </w:t>
      </w:r>
      <w:proofErr w:type="spellStart"/>
      <w:r w:rsidR="00543477" w:rsidRPr="007720BC">
        <w:rPr>
          <w:rFonts w:ascii="Times New Roman" w:hAnsi="Times New Roman" w:cs="Times New Roman"/>
          <w:bCs/>
          <w:sz w:val="24"/>
          <w:szCs w:val="24"/>
          <w:lang w:val="en-US"/>
        </w:rPr>
        <w:t>telah</w:t>
      </w:r>
      <w:proofErr w:type="spellEnd"/>
      <w:r w:rsidR="00543477" w:rsidRPr="007720BC">
        <w:rPr>
          <w:rFonts w:ascii="Times New Roman" w:hAnsi="Times New Roman" w:cs="Times New Roman"/>
          <w:bCs/>
          <w:sz w:val="24"/>
          <w:szCs w:val="24"/>
          <w:lang w:val="en-US"/>
        </w:rPr>
        <w:t xml:space="preserve"> </w:t>
      </w:r>
      <w:proofErr w:type="spellStart"/>
      <w:r w:rsidR="00543477" w:rsidRPr="007720BC">
        <w:rPr>
          <w:rFonts w:ascii="Times New Roman" w:hAnsi="Times New Roman" w:cs="Times New Roman"/>
          <w:bCs/>
          <w:sz w:val="24"/>
          <w:szCs w:val="24"/>
          <w:lang w:val="en-US"/>
        </w:rPr>
        <w:t>diuraikan</w:t>
      </w:r>
      <w:proofErr w:type="spellEnd"/>
      <w:r w:rsidR="00E54198" w:rsidRPr="007720BC">
        <w:rPr>
          <w:rFonts w:ascii="Times New Roman" w:hAnsi="Times New Roman" w:cs="Times New Roman"/>
          <w:bCs/>
          <w:sz w:val="24"/>
          <w:szCs w:val="24"/>
          <w:lang w:val="en-US"/>
        </w:rPr>
        <w:t xml:space="preserve"> </w:t>
      </w:r>
      <w:proofErr w:type="spellStart"/>
      <w:r w:rsidR="00543477" w:rsidRPr="007720BC">
        <w:rPr>
          <w:rFonts w:ascii="Times New Roman" w:hAnsi="Times New Roman" w:cs="Times New Roman"/>
          <w:bCs/>
          <w:sz w:val="24"/>
          <w:szCs w:val="24"/>
          <w:lang w:val="en-US"/>
        </w:rPr>
        <w:t>dapat</w:t>
      </w:r>
      <w:proofErr w:type="spellEnd"/>
      <w:r w:rsidR="00543477" w:rsidRPr="007720BC">
        <w:rPr>
          <w:rFonts w:ascii="Times New Roman" w:hAnsi="Times New Roman" w:cs="Times New Roman"/>
          <w:bCs/>
          <w:sz w:val="24"/>
          <w:szCs w:val="24"/>
          <w:lang w:val="en-US"/>
        </w:rPr>
        <w:t xml:space="preserve"> </w:t>
      </w:r>
      <w:proofErr w:type="spellStart"/>
      <w:r w:rsidR="00543477" w:rsidRPr="007720BC">
        <w:rPr>
          <w:rFonts w:ascii="Times New Roman" w:hAnsi="Times New Roman" w:cs="Times New Roman"/>
          <w:bCs/>
          <w:sz w:val="24"/>
          <w:szCs w:val="24"/>
          <w:lang w:val="en-US"/>
        </w:rPr>
        <w:t>di</w:t>
      </w:r>
      <w:r w:rsidR="006C6E29" w:rsidRPr="007720BC">
        <w:rPr>
          <w:rFonts w:ascii="Times New Roman" w:hAnsi="Times New Roman" w:cs="Times New Roman"/>
          <w:bCs/>
          <w:sz w:val="24"/>
          <w:szCs w:val="24"/>
          <w:lang w:val="en-US"/>
        </w:rPr>
        <w:t>ketahui</w:t>
      </w:r>
      <w:proofErr w:type="spellEnd"/>
      <w:r w:rsidR="00543477" w:rsidRPr="007720BC">
        <w:rPr>
          <w:rFonts w:ascii="Times New Roman" w:hAnsi="Times New Roman" w:cs="Times New Roman"/>
          <w:bCs/>
          <w:sz w:val="24"/>
          <w:szCs w:val="24"/>
          <w:lang w:val="en-US"/>
        </w:rPr>
        <w:t xml:space="preserve"> </w:t>
      </w:r>
      <w:proofErr w:type="spellStart"/>
      <w:r w:rsidR="00543477" w:rsidRPr="007720BC">
        <w:rPr>
          <w:rFonts w:ascii="Times New Roman" w:hAnsi="Times New Roman" w:cs="Times New Roman"/>
          <w:bCs/>
          <w:sz w:val="24"/>
          <w:szCs w:val="24"/>
          <w:lang w:val="en-US"/>
        </w:rPr>
        <w:t>bahwa</w:t>
      </w:r>
      <w:proofErr w:type="spellEnd"/>
      <w:r w:rsidR="00543477" w:rsidRPr="007720BC">
        <w:rPr>
          <w:rFonts w:ascii="Times New Roman" w:hAnsi="Times New Roman" w:cs="Times New Roman"/>
          <w:bCs/>
          <w:sz w:val="24"/>
          <w:szCs w:val="24"/>
          <w:lang w:val="en-US"/>
        </w:rPr>
        <w:t xml:space="preserve"> </w:t>
      </w:r>
      <w:proofErr w:type="spellStart"/>
      <w:r w:rsidR="00543477" w:rsidRPr="007720BC">
        <w:rPr>
          <w:rFonts w:ascii="Times New Roman" w:hAnsi="Times New Roman" w:cs="Times New Roman"/>
          <w:bCs/>
          <w:sz w:val="24"/>
          <w:szCs w:val="24"/>
          <w:lang w:val="en-US"/>
        </w:rPr>
        <w:t>upaya</w:t>
      </w:r>
      <w:proofErr w:type="spellEnd"/>
      <w:r w:rsidR="0053750D"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percepatan</w:t>
      </w:r>
      <w:proofErr w:type="spellEnd"/>
      <w:r w:rsidR="00C55BF3"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penurunan</w:t>
      </w:r>
      <w:proofErr w:type="spellEnd"/>
      <w:r w:rsidR="0053750D" w:rsidRPr="007720BC">
        <w:rPr>
          <w:rFonts w:ascii="Times New Roman" w:hAnsi="Times New Roman" w:cs="Times New Roman"/>
          <w:sz w:val="24"/>
          <w:szCs w:val="24"/>
          <w:lang w:val="en-US"/>
        </w:rPr>
        <w:t xml:space="preserve"> stunting</w:t>
      </w:r>
      <w:r w:rsidR="00543477" w:rsidRPr="007720BC">
        <w:rPr>
          <w:rFonts w:ascii="Times New Roman" w:hAnsi="Times New Roman" w:cs="Times New Roman"/>
          <w:sz w:val="24"/>
          <w:szCs w:val="24"/>
          <w:lang w:val="en-US"/>
        </w:rPr>
        <w:t xml:space="preserve"> di Kampung KB Desa </w:t>
      </w:r>
      <w:proofErr w:type="spellStart"/>
      <w:r w:rsidR="00543477" w:rsidRPr="007720BC">
        <w:rPr>
          <w:rFonts w:ascii="Times New Roman" w:hAnsi="Times New Roman" w:cs="Times New Roman"/>
          <w:sz w:val="24"/>
          <w:szCs w:val="24"/>
          <w:lang w:val="en-US"/>
        </w:rPr>
        <w:t>Mongpok</w:t>
      </w:r>
      <w:proofErr w:type="spellEnd"/>
      <w:r w:rsidR="00543477" w:rsidRPr="007720BC">
        <w:rPr>
          <w:rFonts w:ascii="Times New Roman" w:hAnsi="Times New Roman" w:cs="Times New Roman"/>
          <w:sz w:val="24"/>
          <w:szCs w:val="24"/>
          <w:lang w:val="en-US"/>
        </w:rPr>
        <w:t xml:space="preserve"> </w:t>
      </w:r>
      <w:proofErr w:type="spellStart"/>
      <w:r w:rsidR="00543477" w:rsidRPr="007720BC">
        <w:rPr>
          <w:rFonts w:ascii="Times New Roman" w:hAnsi="Times New Roman" w:cs="Times New Roman"/>
          <w:sz w:val="24"/>
          <w:szCs w:val="24"/>
          <w:lang w:val="en-US"/>
        </w:rPr>
        <w:t>berdasarkan</w:t>
      </w:r>
      <w:proofErr w:type="spellEnd"/>
      <w:r w:rsidR="00543477" w:rsidRPr="007720BC">
        <w:rPr>
          <w:rFonts w:ascii="Times New Roman" w:hAnsi="Times New Roman" w:cs="Times New Roman"/>
          <w:sz w:val="24"/>
          <w:szCs w:val="24"/>
          <w:lang w:val="en-US"/>
        </w:rPr>
        <w:t xml:space="preserve"> </w:t>
      </w:r>
      <w:proofErr w:type="spellStart"/>
      <w:r w:rsidR="009D7050" w:rsidRPr="007720BC">
        <w:rPr>
          <w:rFonts w:ascii="Times New Roman" w:hAnsi="Times New Roman" w:cs="Times New Roman"/>
          <w:sz w:val="24"/>
          <w:szCs w:val="24"/>
          <w:lang w:val="en-US"/>
        </w:rPr>
        <w:t>pendekatan</w:t>
      </w:r>
      <w:proofErr w:type="spellEnd"/>
      <w:r w:rsidR="009D7050" w:rsidRPr="007720BC">
        <w:rPr>
          <w:rFonts w:ascii="Times New Roman" w:hAnsi="Times New Roman" w:cs="Times New Roman"/>
          <w:sz w:val="24"/>
          <w:szCs w:val="24"/>
          <w:lang w:val="en-US"/>
        </w:rPr>
        <w:t xml:space="preserve"> </w:t>
      </w:r>
      <w:proofErr w:type="spellStart"/>
      <w:r w:rsidR="0053750D" w:rsidRPr="007720BC">
        <w:rPr>
          <w:rFonts w:ascii="Times New Roman" w:hAnsi="Times New Roman" w:cs="Times New Roman"/>
          <w:sz w:val="24"/>
          <w:szCs w:val="24"/>
          <w:lang w:val="en-US"/>
        </w:rPr>
        <w:t>terhadap</w:t>
      </w:r>
      <w:proofErr w:type="spellEnd"/>
      <w:r w:rsidR="0053750D" w:rsidRPr="007720BC">
        <w:rPr>
          <w:rFonts w:ascii="Times New Roman" w:hAnsi="Times New Roman" w:cs="Times New Roman"/>
          <w:sz w:val="24"/>
          <w:szCs w:val="24"/>
          <w:lang w:val="en-US"/>
        </w:rPr>
        <w:t xml:space="preserve"> </w:t>
      </w:r>
      <w:proofErr w:type="spellStart"/>
      <w:r w:rsidR="0053750D" w:rsidRPr="007720BC">
        <w:rPr>
          <w:rFonts w:ascii="Times New Roman" w:hAnsi="Times New Roman" w:cs="Times New Roman"/>
          <w:sz w:val="24"/>
          <w:szCs w:val="24"/>
          <w:lang w:val="en-US"/>
        </w:rPr>
        <w:t>perubahan</w:t>
      </w:r>
      <w:proofErr w:type="spellEnd"/>
      <w:r w:rsidR="0053750D" w:rsidRPr="007720BC">
        <w:rPr>
          <w:rFonts w:ascii="Times New Roman" w:hAnsi="Times New Roman" w:cs="Times New Roman"/>
          <w:sz w:val="24"/>
          <w:szCs w:val="24"/>
          <w:lang w:val="en-US"/>
        </w:rPr>
        <w:t xml:space="preserve"> </w:t>
      </w:r>
      <w:proofErr w:type="spellStart"/>
      <w:r w:rsidR="0053750D" w:rsidRPr="007720BC">
        <w:rPr>
          <w:rFonts w:ascii="Times New Roman" w:hAnsi="Times New Roman" w:cs="Times New Roman"/>
          <w:sz w:val="24"/>
          <w:szCs w:val="24"/>
          <w:lang w:val="en-US"/>
        </w:rPr>
        <w:t>kelompok</w:t>
      </w:r>
      <w:proofErr w:type="spellEnd"/>
      <w:r w:rsidR="0053750D" w:rsidRPr="007720BC">
        <w:rPr>
          <w:rFonts w:ascii="Times New Roman" w:hAnsi="Times New Roman" w:cs="Times New Roman"/>
          <w:sz w:val="24"/>
          <w:szCs w:val="24"/>
          <w:lang w:val="en-US"/>
        </w:rPr>
        <w:t xml:space="preserve"> </w:t>
      </w:r>
      <w:proofErr w:type="spellStart"/>
      <w:r w:rsidR="0053750D" w:rsidRPr="007720BC">
        <w:rPr>
          <w:rFonts w:ascii="Times New Roman" w:hAnsi="Times New Roman" w:cs="Times New Roman"/>
          <w:sz w:val="24"/>
          <w:szCs w:val="24"/>
          <w:lang w:val="en-US"/>
        </w:rPr>
        <w:t>sasaran</w:t>
      </w:r>
      <w:proofErr w:type="spellEnd"/>
      <w:r w:rsidR="0053750D" w:rsidRPr="007720BC">
        <w:rPr>
          <w:rFonts w:ascii="Times New Roman" w:hAnsi="Times New Roman" w:cs="Times New Roman"/>
          <w:sz w:val="24"/>
          <w:szCs w:val="24"/>
          <w:lang w:val="en-US"/>
        </w:rPr>
        <w:t xml:space="preserve"> </w:t>
      </w:r>
      <w:proofErr w:type="spellStart"/>
      <w:r w:rsidR="009D7050" w:rsidRPr="007720BC">
        <w:rPr>
          <w:rFonts w:ascii="Times New Roman" w:hAnsi="Times New Roman" w:cs="Times New Roman"/>
          <w:sz w:val="24"/>
          <w:szCs w:val="24"/>
          <w:lang w:val="en-US"/>
        </w:rPr>
        <w:t>sudah</w:t>
      </w:r>
      <w:proofErr w:type="spellEnd"/>
      <w:r w:rsidR="009D7050" w:rsidRPr="007720BC">
        <w:rPr>
          <w:rFonts w:ascii="Times New Roman" w:hAnsi="Times New Roman" w:cs="Times New Roman"/>
          <w:sz w:val="24"/>
          <w:szCs w:val="24"/>
          <w:lang w:val="en-US"/>
        </w:rPr>
        <w:t xml:space="preserve"> </w:t>
      </w:r>
      <w:proofErr w:type="spellStart"/>
      <w:r w:rsidR="009D7050" w:rsidRPr="007720BC">
        <w:rPr>
          <w:rFonts w:ascii="Times New Roman" w:hAnsi="Times New Roman" w:cs="Times New Roman"/>
          <w:sz w:val="24"/>
          <w:szCs w:val="24"/>
          <w:lang w:val="en-US"/>
        </w:rPr>
        <w:t>berjalan</w:t>
      </w:r>
      <w:proofErr w:type="spellEnd"/>
      <w:r w:rsidR="009D7050" w:rsidRPr="007720BC">
        <w:rPr>
          <w:rFonts w:ascii="Times New Roman" w:hAnsi="Times New Roman" w:cs="Times New Roman"/>
          <w:sz w:val="24"/>
          <w:szCs w:val="24"/>
          <w:lang w:val="en-US"/>
        </w:rPr>
        <w:t xml:space="preserve"> </w:t>
      </w:r>
      <w:proofErr w:type="spellStart"/>
      <w:r w:rsidR="009D7050" w:rsidRPr="007720BC">
        <w:rPr>
          <w:rFonts w:ascii="Times New Roman" w:hAnsi="Times New Roman" w:cs="Times New Roman"/>
          <w:sz w:val="24"/>
          <w:szCs w:val="24"/>
          <w:lang w:val="en-US"/>
        </w:rPr>
        <w:t>efektif</w:t>
      </w:r>
      <w:proofErr w:type="spellEnd"/>
      <w:r w:rsidR="009D7050" w:rsidRPr="007720BC">
        <w:rPr>
          <w:rFonts w:ascii="Times New Roman" w:hAnsi="Times New Roman" w:cs="Times New Roman"/>
          <w:sz w:val="24"/>
          <w:szCs w:val="24"/>
          <w:lang w:val="en-US"/>
        </w:rPr>
        <w:t xml:space="preserve">. </w:t>
      </w:r>
      <w:proofErr w:type="spellStart"/>
      <w:r w:rsidR="009D7050" w:rsidRPr="007720BC">
        <w:rPr>
          <w:rFonts w:ascii="Times New Roman" w:hAnsi="Times New Roman" w:cs="Times New Roman"/>
          <w:sz w:val="24"/>
          <w:szCs w:val="24"/>
          <w:lang w:val="en-US"/>
        </w:rPr>
        <w:t>Pendekatan</w:t>
      </w:r>
      <w:proofErr w:type="spellEnd"/>
      <w:r w:rsidR="009D7050" w:rsidRPr="007720BC">
        <w:rPr>
          <w:rFonts w:ascii="Times New Roman" w:hAnsi="Times New Roman" w:cs="Times New Roman"/>
          <w:sz w:val="24"/>
          <w:szCs w:val="24"/>
          <w:lang w:val="en-US"/>
        </w:rPr>
        <w:t xml:space="preserve"> </w:t>
      </w:r>
      <w:proofErr w:type="spellStart"/>
      <w:r w:rsidR="0053750D" w:rsidRPr="007720BC">
        <w:rPr>
          <w:rFonts w:ascii="Times New Roman" w:hAnsi="Times New Roman" w:cs="Times New Roman"/>
          <w:sz w:val="24"/>
          <w:szCs w:val="24"/>
          <w:lang w:val="en-US"/>
        </w:rPr>
        <w:t>dilakukan</w:t>
      </w:r>
      <w:proofErr w:type="spellEnd"/>
      <w:r w:rsidR="0053750D" w:rsidRPr="007720BC">
        <w:rPr>
          <w:rFonts w:ascii="Times New Roman" w:hAnsi="Times New Roman" w:cs="Times New Roman"/>
          <w:sz w:val="24"/>
          <w:szCs w:val="24"/>
          <w:lang w:val="en-US"/>
        </w:rPr>
        <w:t xml:space="preserve"> </w:t>
      </w:r>
      <w:proofErr w:type="spellStart"/>
      <w:r w:rsidR="0053750D" w:rsidRPr="007720BC">
        <w:rPr>
          <w:rFonts w:ascii="Times New Roman" w:hAnsi="Times New Roman" w:cs="Times New Roman"/>
          <w:sz w:val="24"/>
          <w:szCs w:val="24"/>
          <w:lang w:val="en-US"/>
        </w:rPr>
        <w:t>secara</w:t>
      </w:r>
      <w:proofErr w:type="spellEnd"/>
      <w:r w:rsidR="0053750D" w:rsidRPr="007720BC">
        <w:rPr>
          <w:rFonts w:ascii="Times New Roman" w:hAnsi="Times New Roman" w:cs="Times New Roman"/>
          <w:sz w:val="24"/>
          <w:szCs w:val="24"/>
          <w:lang w:val="en-US"/>
        </w:rPr>
        <w:t xml:space="preserve"> </w:t>
      </w:r>
      <w:proofErr w:type="spellStart"/>
      <w:r w:rsidR="0053750D" w:rsidRPr="007720BC">
        <w:rPr>
          <w:rFonts w:ascii="Times New Roman" w:hAnsi="Times New Roman" w:cs="Times New Roman"/>
          <w:sz w:val="24"/>
          <w:szCs w:val="24"/>
          <w:lang w:val="en-US"/>
        </w:rPr>
        <w:t>lintas</w:t>
      </w:r>
      <w:proofErr w:type="spellEnd"/>
      <w:r w:rsidR="0053750D" w:rsidRPr="007720BC">
        <w:rPr>
          <w:rFonts w:ascii="Times New Roman" w:hAnsi="Times New Roman" w:cs="Times New Roman"/>
          <w:sz w:val="24"/>
          <w:szCs w:val="24"/>
          <w:lang w:val="en-US"/>
        </w:rPr>
        <w:t xml:space="preserve"> program </w:t>
      </w:r>
      <w:r w:rsidR="00BD1422" w:rsidRPr="007720BC">
        <w:rPr>
          <w:rFonts w:ascii="Times New Roman" w:hAnsi="Times New Roman" w:cs="Times New Roman"/>
          <w:sz w:val="24"/>
          <w:szCs w:val="24"/>
          <w:lang w:val="en-US"/>
        </w:rPr>
        <w:t xml:space="preserve">dan </w:t>
      </w:r>
      <w:proofErr w:type="spellStart"/>
      <w:r w:rsidR="0053750D" w:rsidRPr="007720BC">
        <w:rPr>
          <w:rFonts w:ascii="Times New Roman" w:hAnsi="Times New Roman" w:cs="Times New Roman"/>
          <w:sz w:val="24"/>
          <w:szCs w:val="24"/>
          <w:lang w:val="en-US"/>
        </w:rPr>
        <w:t>kegiatan</w:t>
      </w:r>
      <w:proofErr w:type="spellEnd"/>
      <w:r w:rsidR="0053750D" w:rsidRPr="007720BC">
        <w:rPr>
          <w:rFonts w:ascii="Times New Roman" w:hAnsi="Times New Roman" w:cs="Times New Roman"/>
          <w:sz w:val="24"/>
          <w:szCs w:val="24"/>
          <w:lang w:val="en-US"/>
        </w:rPr>
        <w:t xml:space="preserve"> k</w:t>
      </w:r>
      <w:r w:rsidR="0053750D" w:rsidRPr="007720BC">
        <w:rPr>
          <w:rFonts w:ascii="Times New Roman" w:hAnsi="Times New Roman" w:cs="Times New Roman"/>
          <w:sz w:val="24"/>
          <w:szCs w:val="24"/>
          <w:lang w:val="id-ID"/>
        </w:rPr>
        <w:t>unjungan rumah</w:t>
      </w:r>
      <w:r w:rsidR="0053750D" w:rsidRPr="007720BC">
        <w:rPr>
          <w:rFonts w:ascii="Times New Roman" w:hAnsi="Times New Roman" w:cs="Times New Roman"/>
          <w:sz w:val="24"/>
          <w:szCs w:val="24"/>
          <w:lang w:val="en-US"/>
        </w:rPr>
        <w:t>/</w:t>
      </w:r>
      <w:proofErr w:type="spellStart"/>
      <w:r w:rsidR="0053750D" w:rsidRPr="007720BC">
        <w:rPr>
          <w:rFonts w:ascii="Times New Roman" w:hAnsi="Times New Roman" w:cs="Times New Roman"/>
          <w:sz w:val="24"/>
          <w:szCs w:val="24"/>
          <w:lang w:val="en-US"/>
        </w:rPr>
        <w:t>keluarga</w:t>
      </w:r>
      <w:proofErr w:type="spellEnd"/>
      <w:r w:rsidR="0053750D" w:rsidRPr="007720BC">
        <w:rPr>
          <w:rFonts w:ascii="Times New Roman" w:hAnsi="Times New Roman" w:cs="Times New Roman"/>
          <w:sz w:val="24"/>
          <w:szCs w:val="24"/>
          <w:lang w:val="en-US"/>
        </w:rPr>
        <w:t xml:space="preserve"> </w:t>
      </w:r>
      <w:r w:rsidR="009A0298" w:rsidRPr="007720BC">
        <w:rPr>
          <w:rFonts w:ascii="Times New Roman" w:hAnsi="Times New Roman" w:cs="Times New Roman"/>
          <w:i/>
          <w:iCs/>
          <w:sz w:val="24"/>
          <w:szCs w:val="24"/>
          <w:lang w:val="en-US"/>
        </w:rPr>
        <w:t>(</w:t>
      </w:r>
      <w:r w:rsidR="0053750D" w:rsidRPr="007720BC">
        <w:rPr>
          <w:rFonts w:ascii="Times New Roman" w:hAnsi="Times New Roman" w:cs="Times New Roman"/>
          <w:i/>
          <w:iCs/>
          <w:sz w:val="24"/>
          <w:szCs w:val="24"/>
          <w:lang w:val="en-US"/>
        </w:rPr>
        <w:t>home</w:t>
      </w:r>
      <w:r w:rsidR="009A0298" w:rsidRPr="007720BC">
        <w:rPr>
          <w:rFonts w:ascii="Times New Roman" w:hAnsi="Times New Roman" w:cs="Times New Roman"/>
          <w:i/>
          <w:iCs/>
          <w:sz w:val="24"/>
          <w:szCs w:val="24"/>
          <w:lang w:val="en-US"/>
        </w:rPr>
        <w:t xml:space="preserve"> visit</w:t>
      </w:r>
      <w:r w:rsidR="0053750D" w:rsidRPr="007720BC">
        <w:rPr>
          <w:rFonts w:ascii="Times New Roman" w:hAnsi="Times New Roman" w:cs="Times New Roman"/>
          <w:i/>
          <w:iCs/>
          <w:sz w:val="24"/>
          <w:szCs w:val="24"/>
          <w:lang w:val="en-US"/>
        </w:rPr>
        <w:t>)</w:t>
      </w:r>
      <w:r w:rsidR="006C6E29" w:rsidRPr="007720BC">
        <w:rPr>
          <w:rFonts w:ascii="Times New Roman" w:hAnsi="Times New Roman" w:cs="Times New Roman"/>
          <w:sz w:val="24"/>
          <w:szCs w:val="24"/>
          <w:lang w:val="en-US"/>
        </w:rPr>
        <w:t xml:space="preserve">, </w:t>
      </w:r>
      <w:proofErr w:type="spellStart"/>
      <w:r w:rsidR="0053750D" w:rsidRPr="007720BC">
        <w:rPr>
          <w:rFonts w:ascii="Times New Roman" w:hAnsi="Times New Roman" w:cs="Times New Roman"/>
          <w:sz w:val="24"/>
          <w:szCs w:val="24"/>
          <w:lang w:val="en-US"/>
        </w:rPr>
        <w:t>penyuluhan</w:t>
      </w:r>
      <w:proofErr w:type="spellEnd"/>
      <w:r w:rsidR="0053750D" w:rsidRPr="007720BC">
        <w:rPr>
          <w:rFonts w:ascii="Times New Roman" w:hAnsi="Times New Roman" w:cs="Times New Roman"/>
          <w:sz w:val="24"/>
          <w:szCs w:val="24"/>
          <w:lang w:val="en-US"/>
        </w:rPr>
        <w:t xml:space="preserve"> </w:t>
      </w:r>
      <w:proofErr w:type="spellStart"/>
      <w:r w:rsidR="0053750D" w:rsidRPr="007720BC">
        <w:rPr>
          <w:rFonts w:ascii="Times New Roman" w:hAnsi="Times New Roman" w:cs="Times New Roman"/>
          <w:sz w:val="24"/>
          <w:szCs w:val="24"/>
          <w:lang w:val="en-US"/>
        </w:rPr>
        <w:t>dari</w:t>
      </w:r>
      <w:proofErr w:type="spellEnd"/>
      <w:r w:rsidR="0053750D" w:rsidRPr="007720BC">
        <w:rPr>
          <w:rFonts w:ascii="Times New Roman" w:hAnsi="Times New Roman" w:cs="Times New Roman"/>
          <w:sz w:val="24"/>
          <w:szCs w:val="24"/>
          <w:lang w:val="en-US"/>
        </w:rPr>
        <w:t xml:space="preserve"> </w:t>
      </w:r>
      <w:r w:rsidR="0053750D" w:rsidRPr="007720BC">
        <w:rPr>
          <w:rFonts w:ascii="Times New Roman" w:hAnsi="Times New Roman" w:cs="Times New Roman"/>
          <w:sz w:val="24"/>
          <w:szCs w:val="24"/>
          <w:lang w:val="id-ID" w:eastAsia="en-ID"/>
        </w:rPr>
        <w:t>Posyandu</w:t>
      </w:r>
      <w:r w:rsidR="00E54198" w:rsidRPr="007720BC">
        <w:rPr>
          <w:rFonts w:ascii="Times New Roman" w:hAnsi="Times New Roman" w:cs="Times New Roman"/>
          <w:sz w:val="24"/>
          <w:szCs w:val="24"/>
          <w:lang w:val="en-US" w:eastAsia="en-ID"/>
        </w:rPr>
        <w:t xml:space="preserve">, </w:t>
      </w:r>
      <w:r w:rsidR="006C6E29" w:rsidRPr="007720BC">
        <w:rPr>
          <w:rFonts w:ascii="Times New Roman" w:hAnsi="Times New Roman" w:cs="Times New Roman"/>
          <w:sz w:val="24"/>
          <w:szCs w:val="24"/>
          <w:lang w:val="en-US" w:eastAsia="en-ID"/>
        </w:rPr>
        <w:t xml:space="preserve">forum </w:t>
      </w:r>
      <w:proofErr w:type="spellStart"/>
      <w:r w:rsidR="006C6E29" w:rsidRPr="007720BC">
        <w:rPr>
          <w:rFonts w:ascii="Times New Roman" w:hAnsi="Times New Roman" w:cs="Times New Roman"/>
          <w:sz w:val="24"/>
          <w:szCs w:val="24"/>
          <w:lang w:val="en-US" w:eastAsia="en-ID"/>
        </w:rPr>
        <w:t>keagaamaan</w:t>
      </w:r>
      <w:proofErr w:type="spellEnd"/>
      <w:r w:rsidR="006C6E29" w:rsidRPr="007720BC">
        <w:rPr>
          <w:rFonts w:ascii="Times New Roman" w:hAnsi="Times New Roman" w:cs="Times New Roman"/>
          <w:sz w:val="24"/>
          <w:szCs w:val="24"/>
          <w:lang w:val="en-US" w:eastAsia="en-ID"/>
        </w:rPr>
        <w:t xml:space="preserve"> dan </w:t>
      </w:r>
      <w:proofErr w:type="spellStart"/>
      <w:r w:rsidR="006C6E29" w:rsidRPr="007720BC">
        <w:rPr>
          <w:rFonts w:ascii="Times New Roman" w:hAnsi="Times New Roman" w:cs="Times New Roman"/>
          <w:sz w:val="24"/>
          <w:szCs w:val="24"/>
          <w:lang w:val="en-US" w:eastAsia="en-ID"/>
        </w:rPr>
        <w:t>kemasyarakatan</w:t>
      </w:r>
      <w:proofErr w:type="spellEnd"/>
      <w:r w:rsidR="006C6E29" w:rsidRPr="007720BC">
        <w:rPr>
          <w:rFonts w:ascii="Times New Roman" w:hAnsi="Times New Roman" w:cs="Times New Roman"/>
          <w:sz w:val="24"/>
          <w:szCs w:val="24"/>
          <w:lang w:val="en-US" w:eastAsia="en-ID"/>
        </w:rPr>
        <w:t xml:space="preserve">, </w:t>
      </w:r>
      <w:proofErr w:type="spellStart"/>
      <w:r w:rsidR="00E54198" w:rsidRPr="007720BC">
        <w:rPr>
          <w:rFonts w:ascii="Times New Roman" w:hAnsi="Times New Roman" w:cs="Times New Roman"/>
          <w:sz w:val="24"/>
          <w:szCs w:val="24"/>
          <w:lang w:val="en-US" w:eastAsia="en-ID"/>
        </w:rPr>
        <w:t>pelibatan</w:t>
      </w:r>
      <w:proofErr w:type="spellEnd"/>
      <w:r w:rsidR="00E54198" w:rsidRPr="007720BC">
        <w:rPr>
          <w:rFonts w:ascii="Times New Roman" w:hAnsi="Times New Roman" w:cs="Times New Roman"/>
          <w:sz w:val="24"/>
          <w:szCs w:val="24"/>
          <w:lang w:val="en-US" w:eastAsia="en-ID"/>
        </w:rPr>
        <w:t xml:space="preserve"> </w:t>
      </w:r>
      <w:proofErr w:type="spellStart"/>
      <w:r w:rsidR="00E54198" w:rsidRPr="007720BC">
        <w:rPr>
          <w:rFonts w:ascii="Times New Roman" w:hAnsi="Times New Roman" w:cs="Times New Roman"/>
          <w:sz w:val="24"/>
          <w:szCs w:val="24"/>
          <w:lang w:val="en-US" w:eastAsia="en-ID"/>
        </w:rPr>
        <w:t>kelompok</w:t>
      </w:r>
      <w:proofErr w:type="spellEnd"/>
      <w:r w:rsidR="00E54198" w:rsidRPr="007720BC">
        <w:rPr>
          <w:rFonts w:ascii="Times New Roman" w:hAnsi="Times New Roman" w:cs="Times New Roman"/>
          <w:sz w:val="24"/>
          <w:szCs w:val="24"/>
          <w:lang w:val="en-US" w:eastAsia="en-ID"/>
        </w:rPr>
        <w:t xml:space="preserve"> </w:t>
      </w:r>
      <w:proofErr w:type="spellStart"/>
      <w:r w:rsidR="00E54198" w:rsidRPr="007720BC">
        <w:rPr>
          <w:rFonts w:ascii="Times New Roman" w:hAnsi="Times New Roman" w:cs="Times New Roman"/>
          <w:sz w:val="24"/>
          <w:szCs w:val="24"/>
          <w:lang w:val="en-US" w:eastAsia="en-ID"/>
        </w:rPr>
        <w:t>tim</w:t>
      </w:r>
      <w:proofErr w:type="spellEnd"/>
      <w:r w:rsidR="00E54198" w:rsidRPr="007720BC">
        <w:rPr>
          <w:rFonts w:ascii="Times New Roman" w:hAnsi="Times New Roman" w:cs="Times New Roman"/>
          <w:sz w:val="24"/>
          <w:szCs w:val="24"/>
          <w:lang w:val="en-US" w:eastAsia="en-ID"/>
        </w:rPr>
        <w:t xml:space="preserve"> Kampung KB, </w:t>
      </w:r>
      <w:proofErr w:type="spellStart"/>
      <w:r w:rsidR="00E54198" w:rsidRPr="007720BC">
        <w:rPr>
          <w:rFonts w:ascii="Times New Roman" w:hAnsi="Times New Roman" w:cs="Times New Roman"/>
          <w:sz w:val="24"/>
          <w:szCs w:val="24"/>
          <w:lang w:val="en-US" w:eastAsia="en-ID"/>
        </w:rPr>
        <w:t>kepemimpinan</w:t>
      </w:r>
      <w:proofErr w:type="spellEnd"/>
      <w:r w:rsidR="00E54198" w:rsidRPr="007720BC">
        <w:rPr>
          <w:rFonts w:ascii="Times New Roman" w:hAnsi="Times New Roman" w:cs="Times New Roman"/>
          <w:sz w:val="24"/>
          <w:szCs w:val="24"/>
          <w:lang w:val="en-US" w:eastAsia="en-ID"/>
        </w:rPr>
        <w:t xml:space="preserve"> </w:t>
      </w:r>
      <w:proofErr w:type="spellStart"/>
      <w:r w:rsidR="00327105" w:rsidRPr="007720BC">
        <w:rPr>
          <w:rFonts w:ascii="Times New Roman" w:hAnsi="Times New Roman" w:cs="Times New Roman"/>
          <w:sz w:val="24"/>
          <w:szCs w:val="24"/>
          <w:lang w:val="en-US" w:eastAsia="en-ID"/>
        </w:rPr>
        <w:t>responsif</w:t>
      </w:r>
      <w:proofErr w:type="spellEnd"/>
      <w:r w:rsidR="00327105" w:rsidRPr="007720BC">
        <w:rPr>
          <w:rFonts w:ascii="Times New Roman" w:hAnsi="Times New Roman" w:cs="Times New Roman"/>
          <w:sz w:val="24"/>
          <w:szCs w:val="24"/>
          <w:lang w:val="en-US" w:eastAsia="en-ID"/>
        </w:rPr>
        <w:t xml:space="preserve">, </w:t>
      </w:r>
      <w:r w:rsidR="00E54198" w:rsidRPr="007720BC">
        <w:rPr>
          <w:rFonts w:ascii="Times New Roman" w:hAnsi="Times New Roman" w:cs="Times New Roman"/>
          <w:sz w:val="24"/>
          <w:szCs w:val="24"/>
          <w:lang w:val="en-US" w:eastAsia="en-ID"/>
        </w:rPr>
        <w:t xml:space="preserve">strategi </w:t>
      </w:r>
      <w:proofErr w:type="spellStart"/>
      <w:r w:rsidR="00E54198" w:rsidRPr="007720BC">
        <w:rPr>
          <w:rFonts w:ascii="Times New Roman" w:hAnsi="Times New Roman" w:cs="Times New Roman"/>
          <w:sz w:val="24"/>
          <w:szCs w:val="24"/>
          <w:lang w:val="en-US" w:eastAsia="en-ID"/>
        </w:rPr>
        <w:t>pendekatan</w:t>
      </w:r>
      <w:proofErr w:type="spellEnd"/>
      <w:r w:rsidR="00E54198" w:rsidRPr="007720BC">
        <w:rPr>
          <w:rFonts w:ascii="Times New Roman" w:hAnsi="Times New Roman" w:cs="Times New Roman"/>
          <w:sz w:val="24"/>
          <w:szCs w:val="24"/>
          <w:lang w:val="en-US" w:eastAsia="en-ID"/>
        </w:rPr>
        <w:t xml:space="preserve"> </w:t>
      </w:r>
      <w:proofErr w:type="spellStart"/>
      <w:r w:rsidR="00E54198" w:rsidRPr="007720BC">
        <w:rPr>
          <w:rFonts w:ascii="Times New Roman" w:hAnsi="Times New Roman" w:cs="Times New Roman"/>
          <w:sz w:val="24"/>
          <w:szCs w:val="24"/>
          <w:lang w:val="en-US" w:eastAsia="en-ID"/>
        </w:rPr>
        <w:t>persuasi</w:t>
      </w:r>
      <w:r w:rsidR="00BD1422" w:rsidRPr="007720BC">
        <w:rPr>
          <w:rFonts w:ascii="Times New Roman" w:hAnsi="Times New Roman" w:cs="Times New Roman"/>
          <w:sz w:val="24"/>
          <w:szCs w:val="24"/>
          <w:lang w:val="en-US" w:eastAsia="en-ID"/>
        </w:rPr>
        <w:t>f</w:t>
      </w:r>
      <w:proofErr w:type="spellEnd"/>
      <w:r w:rsidR="00E54198" w:rsidRPr="007720BC">
        <w:rPr>
          <w:rFonts w:ascii="Times New Roman" w:hAnsi="Times New Roman" w:cs="Times New Roman"/>
          <w:sz w:val="24"/>
          <w:szCs w:val="24"/>
          <w:lang w:val="en-US" w:eastAsia="en-ID"/>
        </w:rPr>
        <w:t xml:space="preserve"> dan </w:t>
      </w:r>
      <w:proofErr w:type="spellStart"/>
      <w:r w:rsidR="00E54198" w:rsidRPr="007720BC">
        <w:rPr>
          <w:rFonts w:ascii="Times New Roman" w:hAnsi="Times New Roman" w:cs="Times New Roman"/>
          <w:sz w:val="24"/>
          <w:szCs w:val="24"/>
          <w:lang w:val="en-US" w:eastAsia="en-ID"/>
        </w:rPr>
        <w:t>komunikasi</w:t>
      </w:r>
      <w:proofErr w:type="spellEnd"/>
      <w:r w:rsidR="00E54198" w:rsidRPr="007720BC">
        <w:rPr>
          <w:rFonts w:ascii="Times New Roman" w:hAnsi="Times New Roman" w:cs="Times New Roman"/>
          <w:sz w:val="24"/>
          <w:szCs w:val="24"/>
          <w:lang w:val="en-US" w:eastAsia="en-ID"/>
        </w:rPr>
        <w:t xml:space="preserve"> </w:t>
      </w:r>
      <w:proofErr w:type="spellStart"/>
      <w:r w:rsidR="00E54198" w:rsidRPr="007720BC">
        <w:rPr>
          <w:rFonts w:ascii="Times New Roman" w:hAnsi="Times New Roman" w:cs="Times New Roman"/>
          <w:sz w:val="24"/>
          <w:szCs w:val="24"/>
          <w:lang w:val="en-US" w:eastAsia="en-ID"/>
        </w:rPr>
        <w:t>kekeluargaan</w:t>
      </w:r>
      <w:proofErr w:type="spellEnd"/>
      <w:r w:rsidR="00E54198" w:rsidRPr="007720BC">
        <w:rPr>
          <w:rFonts w:ascii="Times New Roman" w:hAnsi="Times New Roman" w:cs="Times New Roman"/>
          <w:sz w:val="24"/>
          <w:szCs w:val="24"/>
          <w:lang w:val="en-US" w:eastAsia="en-ID"/>
        </w:rPr>
        <w:t xml:space="preserve">. </w:t>
      </w:r>
    </w:p>
    <w:p w14:paraId="6E7C7B0B" w14:textId="77777777" w:rsidR="00C55BF3" w:rsidRPr="007720BC" w:rsidRDefault="009A0298" w:rsidP="00C55BF3">
      <w:pPr>
        <w:shd w:val="clear" w:color="auto" w:fill="FFFFFF"/>
        <w:spacing w:after="0" w:line="240" w:lineRule="auto"/>
        <w:ind w:firstLine="567"/>
        <w:contextualSpacing/>
        <w:jc w:val="both"/>
        <w:textAlignment w:val="baseline"/>
        <w:rPr>
          <w:rFonts w:ascii="Times New Roman" w:eastAsia="Calibri" w:hAnsi="Times New Roman" w:cs="Times New Roman"/>
          <w:sz w:val="24"/>
          <w:szCs w:val="24"/>
          <w:lang w:val="en-US"/>
        </w:rPr>
      </w:pPr>
      <w:proofErr w:type="spellStart"/>
      <w:r w:rsidRPr="007720BC">
        <w:rPr>
          <w:rFonts w:ascii="Times New Roman" w:hAnsi="Times New Roman" w:cs="Times New Roman"/>
          <w:sz w:val="24"/>
          <w:szCs w:val="24"/>
          <w:lang w:val="en-US" w:eastAsia="en-ID"/>
        </w:rPr>
        <w:t>Pendekatan</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terhadap</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perubahan</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perilaku</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masyarakat</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melalui</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kegiatan</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kunjungan</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keluarga</w:t>
      </w:r>
      <w:proofErr w:type="spellEnd"/>
      <w:r w:rsidRPr="007720BC">
        <w:rPr>
          <w:rFonts w:ascii="Times New Roman" w:hAnsi="Times New Roman" w:cs="Times New Roman"/>
          <w:sz w:val="24"/>
          <w:szCs w:val="24"/>
          <w:lang w:val="en-US" w:eastAsia="en-ID"/>
        </w:rPr>
        <w:t>/</w:t>
      </w:r>
      <w:proofErr w:type="spellStart"/>
      <w:r w:rsidRPr="007720BC">
        <w:rPr>
          <w:rFonts w:ascii="Times New Roman" w:hAnsi="Times New Roman" w:cs="Times New Roman"/>
          <w:sz w:val="24"/>
          <w:szCs w:val="24"/>
          <w:lang w:val="en-US" w:eastAsia="en-ID"/>
        </w:rPr>
        <w:t>kunjungan</w:t>
      </w:r>
      <w:proofErr w:type="spellEnd"/>
      <w:r w:rsidRPr="007720BC">
        <w:rPr>
          <w:rFonts w:ascii="Times New Roman" w:hAnsi="Times New Roman" w:cs="Times New Roman"/>
          <w:sz w:val="24"/>
          <w:szCs w:val="24"/>
          <w:lang w:val="en-US" w:eastAsia="en-ID"/>
        </w:rPr>
        <w:t xml:space="preserve"> </w:t>
      </w:r>
      <w:proofErr w:type="spellStart"/>
      <w:r w:rsidRPr="007720BC">
        <w:rPr>
          <w:rFonts w:ascii="Times New Roman" w:hAnsi="Times New Roman" w:cs="Times New Roman"/>
          <w:sz w:val="24"/>
          <w:szCs w:val="24"/>
          <w:lang w:val="en-US" w:eastAsia="en-ID"/>
        </w:rPr>
        <w:t>rumah</w:t>
      </w:r>
      <w:proofErr w:type="spellEnd"/>
      <w:r w:rsidRPr="007720BC">
        <w:rPr>
          <w:rFonts w:ascii="Times New Roman" w:hAnsi="Times New Roman" w:cs="Times New Roman"/>
          <w:sz w:val="24"/>
          <w:szCs w:val="24"/>
          <w:lang w:val="en-US" w:eastAsia="en-ID"/>
        </w:rPr>
        <w:t xml:space="preserve"> </w:t>
      </w:r>
      <w:r w:rsidRPr="007720BC">
        <w:rPr>
          <w:rFonts w:ascii="Times New Roman" w:hAnsi="Times New Roman" w:cs="Times New Roman"/>
          <w:i/>
          <w:iCs/>
          <w:sz w:val="24"/>
          <w:szCs w:val="24"/>
          <w:lang w:val="en-US" w:eastAsia="en-ID"/>
        </w:rPr>
        <w:t>(home visit)</w:t>
      </w:r>
      <w:r w:rsidRPr="007720BC">
        <w:rPr>
          <w:rFonts w:ascii="Times New Roman" w:hAnsi="Times New Roman" w:cs="Times New Roman"/>
          <w:sz w:val="24"/>
          <w:szCs w:val="24"/>
          <w:lang w:val="en-US" w:eastAsia="en-ID"/>
        </w:rPr>
        <w:t xml:space="preserve"> </w:t>
      </w:r>
      <w:proofErr w:type="spellStart"/>
      <w:r w:rsidR="00384FC7" w:rsidRPr="007720BC">
        <w:rPr>
          <w:rFonts w:ascii="Times New Roman" w:hAnsi="Times New Roman" w:cs="Times New Roman"/>
          <w:sz w:val="24"/>
          <w:szCs w:val="24"/>
          <w:lang w:val="en-US" w:eastAsia="en-ID"/>
        </w:rPr>
        <w:t>sejalan</w:t>
      </w:r>
      <w:proofErr w:type="spellEnd"/>
      <w:r w:rsidR="00384FC7" w:rsidRPr="007720BC">
        <w:rPr>
          <w:rFonts w:ascii="Times New Roman" w:hAnsi="Times New Roman" w:cs="Times New Roman"/>
          <w:sz w:val="24"/>
          <w:szCs w:val="24"/>
          <w:lang w:val="en-US" w:eastAsia="en-ID"/>
        </w:rPr>
        <w:t xml:space="preserve"> </w:t>
      </w:r>
      <w:proofErr w:type="spellStart"/>
      <w:r w:rsidR="00384FC7" w:rsidRPr="007720BC">
        <w:rPr>
          <w:rFonts w:ascii="Times New Roman" w:hAnsi="Times New Roman" w:cs="Times New Roman"/>
          <w:sz w:val="24"/>
          <w:szCs w:val="24"/>
          <w:lang w:val="en-US" w:eastAsia="en-ID"/>
        </w:rPr>
        <w:t>dengan</w:t>
      </w:r>
      <w:proofErr w:type="spellEnd"/>
      <w:r w:rsidR="00384FC7" w:rsidRPr="007720BC">
        <w:rPr>
          <w:rFonts w:ascii="Times New Roman" w:hAnsi="Times New Roman" w:cs="Times New Roman"/>
          <w:sz w:val="24"/>
          <w:szCs w:val="24"/>
          <w:lang w:val="en-US" w:eastAsia="en-ID"/>
        </w:rPr>
        <w:t xml:space="preserve"> </w:t>
      </w:r>
      <w:proofErr w:type="spellStart"/>
      <w:r w:rsidR="00384FC7" w:rsidRPr="007720BC">
        <w:rPr>
          <w:rFonts w:ascii="Times New Roman" w:hAnsi="Times New Roman" w:cs="Times New Roman"/>
          <w:sz w:val="24"/>
          <w:szCs w:val="24"/>
          <w:lang w:val="en-US" w:eastAsia="en-ID"/>
        </w:rPr>
        <w:t>hasil</w:t>
      </w:r>
      <w:proofErr w:type="spellEnd"/>
      <w:r w:rsidR="00384FC7" w:rsidRPr="007720BC">
        <w:rPr>
          <w:rFonts w:ascii="Times New Roman" w:hAnsi="Times New Roman" w:cs="Times New Roman"/>
          <w:sz w:val="24"/>
          <w:szCs w:val="24"/>
          <w:lang w:val="en-US" w:eastAsia="en-ID"/>
        </w:rPr>
        <w:t xml:space="preserve"> </w:t>
      </w:r>
      <w:proofErr w:type="spellStart"/>
      <w:r w:rsidR="00384FC7" w:rsidRPr="007720BC">
        <w:rPr>
          <w:rFonts w:ascii="Times New Roman" w:hAnsi="Times New Roman" w:cs="Times New Roman"/>
          <w:sz w:val="24"/>
          <w:szCs w:val="24"/>
          <w:lang w:val="en-US" w:eastAsia="en-ID"/>
        </w:rPr>
        <w:t>penelitian</w:t>
      </w:r>
      <w:proofErr w:type="spellEnd"/>
      <w:r w:rsidR="00384FC7" w:rsidRPr="007720BC">
        <w:rPr>
          <w:rFonts w:ascii="Times New Roman" w:hAnsi="Times New Roman" w:cs="Times New Roman"/>
          <w:sz w:val="24"/>
          <w:szCs w:val="24"/>
          <w:lang w:val="en-US" w:eastAsia="en-ID"/>
        </w:rPr>
        <w:t xml:space="preserve"> </w:t>
      </w:r>
      <w:r w:rsidR="00D44772" w:rsidRPr="007720BC">
        <w:rPr>
          <w:rFonts w:ascii="Times New Roman" w:hAnsi="Times New Roman" w:cs="Times New Roman"/>
          <w:sz w:val="24"/>
          <w:szCs w:val="24"/>
          <w:lang w:val="en-US" w:eastAsia="en-ID"/>
        </w:rPr>
        <w:fldChar w:fldCharType="begin" w:fldLock="1"/>
      </w:r>
      <w:r w:rsidR="00AE3783" w:rsidRPr="007720BC">
        <w:rPr>
          <w:rFonts w:ascii="Times New Roman" w:hAnsi="Times New Roman" w:cs="Times New Roman"/>
          <w:sz w:val="24"/>
          <w:szCs w:val="24"/>
          <w:lang w:val="en-US" w:eastAsia="en-ID"/>
        </w:rPr>
        <w:instrText>ADDIN CSL_CITATION {"citationItems":[{"id":"ITEM-1","itemData":{"DOI":"10.3390/nu14163448","ISSN":"20726643","PMID":"36014954","abstract":"Background: Stunting has been a public health problem in several developing countries including Indonesia. One of the strategies to reduce stunting was family assistance. This study was aimed to estimate the effect of family assistance by using an integrative nutrition package through home visits on the growth and development of stunted children. Method: This was an experimental study using pre-test post-test with control group design, conducted in Yogyakarta, Indonesia, on March to May 2022. The intervention group was provided an integrative nutrition package (INP) including maternal education, behavioral change through home visit, as well as monitoring children’s outcome, while the control group was asked to read and follow child care procedure in the maternal and child health (MCH) book as a standard procedure. Both groups were visited by trained health volunteers and had a complementary feeding (CF) package weekly for four weeks. The outcomes of this study were the maternal outcome (knowledge and behavior on children’s growth monitoring (CGM), children’s development monitoring (CDM), and infant/young children feeding (IYCF) as well as children’s outcomes, including body weight (BW), body height (BH), and child score development (CSD). This study used generalized estimating equation (GEE) to estimate the differences in differences (DID) of the impact of intervention compared with control group and compared among three different times (baseline, fourth, and eighth week). Results: There were 60 stunted children under five years in this study, i.e., 30 in intervention group and 30 in control group. From the GEE analysis, it was found that the regression adjusted DID showed statistically significant increase of all outcomes including children’s development score (CDS). The adjusted DID effect (95% CI) on 8th week for children’s weight, height, and development score were 0.31 (0.25–0.37), 0.41 (0.13–0.68), and −0.40 (−0.59–(−0.21)), respectively, among the intervention group. Conclusions: INP through home visit successfully increased maternal and children’s outcomes compared witsh standard procedure. The effect of intervention was found to be consistently significant in the fourth and eighth weeks after intervention. We recommend the local government to apply INP through home visit especially in high-prevalence stunting areas.","author":[{"dropping-particle":"","family":"Siswati","given":"Tri","non-dropping-particle":"","parse-names":false,"suffix":""},{"dropping-particle":"","family":"Iskandar","given":"Slamet","non-dropping-particle":"","parse-names":false,"suffix":""},{"dropping-particle":"","family":"Pramestuti","given":"Nova","non-dropping-particle":"","parse-names":false,"suffix":""},{"dropping-particle":"","family":"Raharjo","given":"Jarohman","non-dropping-particle":"","parse-names":false,"suffix":""},{"dropping-particle":"","family":"Rubaya","given":"Agus Kharmayana","non-dropping-particle":"","parse-names":false,"suffix":""},{"dropping-particle":"","family":"Wiratama","given":"Bayu Satria","non-dropping-particle":"","parse-names":false,"suffix":""}],"container-title":"Nutrients","id":"ITEM-1","issue":"16","issued":{"date-parts":[["2022"]]},"title":"Impact of an Integrative Nutrition Package through Home Visit on Maternal and Children Outcome: Finding from Locus Stunting in Yogyakarta, Indonesia","type":"article-journal","volume":"14"},"uris":["http://www.mendeley.com/documents/?uuid=687d72c2-8664-40f8-9ffd-215577d32928"]}],"mendeley":{"formattedCitation":"(Siswati et al. 2022)","plainTextFormattedCitation":"(Siswati et al. 2022)","previouslyFormattedCitation":"(Siswati et al. 2022)"},"properties":{"noteIndex":0},"schema":"https://github.com/citation-style-language/schema/raw/master/csl-citation.json"}</w:instrText>
      </w:r>
      <w:r w:rsidR="00D44772" w:rsidRPr="007720BC">
        <w:rPr>
          <w:rFonts w:ascii="Times New Roman" w:hAnsi="Times New Roman" w:cs="Times New Roman"/>
          <w:sz w:val="24"/>
          <w:szCs w:val="24"/>
          <w:lang w:val="en-US" w:eastAsia="en-ID"/>
        </w:rPr>
        <w:fldChar w:fldCharType="separate"/>
      </w:r>
      <w:r w:rsidR="00D44772" w:rsidRPr="007720BC">
        <w:rPr>
          <w:rFonts w:ascii="Times New Roman" w:hAnsi="Times New Roman" w:cs="Times New Roman"/>
          <w:noProof/>
          <w:sz w:val="24"/>
          <w:szCs w:val="24"/>
          <w:lang w:val="en-US" w:eastAsia="en-ID"/>
        </w:rPr>
        <w:t>(Siswati et al. 2022)</w:t>
      </w:r>
      <w:r w:rsidR="00D44772" w:rsidRPr="007720BC">
        <w:rPr>
          <w:rFonts w:ascii="Times New Roman" w:hAnsi="Times New Roman" w:cs="Times New Roman"/>
          <w:sz w:val="24"/>
          <w:szCs w:val="24"/>
          <w:lang w:val="en-US" w:eastAsia="en-ID"/>
        </w:rPr>
        <w:fldChar w:fldCharType="end"/>
      </w:r>
      <w:r w:rsidR="00D44772" w:rsidRPr="007720BC">
        <w:rPr>
          <w:rFonts w:ascii="Times New Roman" w:hAnsi="Times New Roman" w:cs="Times New Roman"/>
          <w:sz w:val="24"/>
          <w:szCs w:val="24"/>
          <w:lang w:val="en-US" w:eastAsia="en-ID"/>
        </w:rPr>
        <w:t xml:space="preserve">  yang </w:t>
      </w:r>
      <w:r w:rsidR="00D44772" w:rsidRPr="007720BC">
        <w:rPr>
          <w:rStyle w:val="rynqvb"/>
          <w:rFonts w:ascii="Times New Roman" w:hAnsi="Times New Roman" w:cs="Times New Roman"/>
          <w:sz w:val="24"/>
          <w:szCs w:val="24"/>
          <w:lang w:val="id-ID"/>
        </w:rPr>
        <w:t>merekomendasikan kunjungan rumah terutama di daerah dengan prevalensi stunting tinggi</w:t>
      </w:r>
      <w:r w:rsidR="00D44772" w:rsidRPr="007720BC">
        <w:rPr>
          <w:rStyle w:val="rynqvb"/>
          <w:rFonts w:ascii="Times New Roman" w:hAnsi="Times New Roman" w:cs="Times New Roman"/>
          <w:sz w:val="24"/>
          <w:szCs w:val="24"/>
          <w:lang w:val="en-US"/>
        </w:rPr>
        <w:t xml:space="preserve"> </w:t>
      </w:r>
      <w:proofErr w:type="spellStart"/>
      <w:r w:rsidR="00A30A49" w:rsidRPr="007720BC">
        <w:rPr>
          <w:rStyle w:val="rynqvb"/>
          <w:rFonts w:ascii="Times New Roman" w:hAnsi="Times New Roman" w:cs="Times New Roman"/>
          <w:sz w:val="24"/>
          <w:szCs w:val="24"/>
          <w:lang w:val="en-US"/>
        </w:rPr>
        <w:t>kepada</w:t>
      </w:r>
      <w:proofErr w:type="spellEnd"/>
      <w:r w:rsidR="00A30A49" w:rsidRPr="007720BC">
        <w:rPr>
          <w:rStyle w:val="rynqvb"/>
          <w:rFonts w:ascii="Times New Roman" w:hAnsi="Times New Roman" w:cs="Times New Roman"/>
          <w:sz w:val="24"/>
          <w:szCs w:val="24"/>
          <w:lang w:val="en-US"/>
        </w:rPr>
        <w:t xml:space="preserve"> </w:t>
      </w:r>
      <w:r w:rsidR="00A30A49" w:rsidRPr="007720BC">
        <w:rPr>
          <w:rStyle w:val="rynqvb"/>
          <w:rFonts w:ascii="Times New Roman" w:hAnsi="Times New Roman" w:cs="Times New Roman"/>
          <w:sz w:val="24"/>
          <w:szCs w:val="24"/>
          <w:lang w:val="id-ID"/>
        </w:rPr>
        <w:t xml:space="preserve">pemerintah daerah </w:t>
      </w:r>
      <w:proofErr w:type="spellStart"/>
      <w:r w:rsidR="006C6E29" w:rsidRPr="007720BC">
        <w:rPr>
          <w:rStyle w:val="rynqvb"/>
          <w:rFonts w:ascii="Times New Roman" w:hAnsi="Times New Roman" w:cs="Times New Roman"/>
          <w:sz w:val="24"/>
          <w:szCs w:val="24"/>
          <w:lang w:val="en-US"/>
        </w:rPr>
        <w:t>untuk</w:t>
      </w:r>
      <w:proofErr w:type="spellEnd"/>
      <w:r w:rsidR="00A30A49" w:rsidRPr="007720BC">
        <w:rPr>
          <w:rStyle w:val="rynqvb"/>
          <w:rFonts w:ascii="Times New Roman" w:hAnsi="Times New Roman" w:cs="Times New Roman"/>
          <w:sz w:val="24"/>
          <w:szCs w:val="24"/>
          <w:lang w:val="en-US"/>
        </w:rPr>
        <w:t xml:space="preserve"> </w:t>
      </w:r>
      <w:r w:rsidR="00A30A49" w:rsidRPr="007720BC">
        <w:rPr>
          <w:rStyle w:val="rynqvb"/>
          <w:rFonts w:ascii="Times New Roman" w:hAnsi="Times New Roman" w:cs="Times New Roman"/>
          <w:sz w:val="24"/>
          <w:szCs w:val="24"/>
          <w:lang w:val="id-ID"/>
        </w:rPr>
        <w:t>menerapkan</w:t>
      </w:r>
      <w:r w:rsidR="00A30A49" w:rsidRPr="007720BC">
        <w:rPr>
          <w:rStyle w:val="rynqvb"/>
          <w:rFonts w:ascii="Times New Roman" w:hAnsi="Times New Roman" w:cs="Times New Roman"/>
          <w:sz w:val="24"/>
          <w:szCs w:val="24"/>
          <w:lang w:val="en-US"/>
        </w:rPr>
        <w:t xml:space="preserve"> </w:t>
      </w:r>
      <w:proofErr w:type="spellStart"/>
      <w:r w:rsidR="00A30A49" w:rsidRPr="007720BC">
        <w:rPr>
          <w:rStyle w:val="rynqvb"/>
          <w:rFonts w:ascii="Times New Roman" w:hAnsi="Times New Roman" w:cs="Times New Roman"/>
          <w:sz w:val="24"/>
          <w:szCs w:val="24"/>
          <w:lang w:val="en-US"/>
        </w:rPr>
        <w:t>paket</w:t>
      </w:r>
      <w:proofErr w:type="spellEnd"/>
      <w:r w:rsidR="00A30A49" w:rsidRPr="007720BC">
        <w:rPr>
          <w:rStyle w:val="rynqvb"/>
          <w:rFonts w:ascii="Times New Roman" w:hAnsi="Times New Roman" w:cs="Times New Roman"/>
          <w:sz w:val="24"/>
          <w:szCs w:val="24"/>
          <w:lang w:val="en-US"/>
        </w:rPr>
        <w:t xml:space="preserve"> </w:t>
      </w:r>
      <w:proofErr w:type="spellStart"/>
      <w:r w:rsidR="00A30A49" w:rsidRPr="007720BC">
        <w:rPr>
          <w:rStyle w:val="rynqvb"/>
          <w:rFonts w:ascii="Times New Roman" w:hAnsi="Times New Roman" w:cs="Times New Roman"/>
          <w:sz w:val="24"/>
          <w:szCs w:val="24"/>
          <w:lang w:val="en-US"/>
        </w:rPr>
        <w:t>gizi</w:t>
      </w:r>
      <w:proofErr w:type="spellEnd"/>
      <w:r w:rsidR="00A30A49" w:rsidRPr="007720BC">
        <w:rPr>
          <w:rStyle w:val="rynqvb"/>
          <w:rFonts w:ascii="Times New Roman" w:hAnsi="Times New Roman" w:cs="Times New Roman"/>
          <w:sz w:val="24"/>
          <w:szCs w:val="24"/>
          <w:lang w:val="en-US"/>
        </w:rPr>
        <w:t xml:space="preserve"> </w:t>
      </w:r>
      <w:proofErr w:type="spellStart"/>
      <w:r w:rsidR="00A30A49" w:rsidRPr="007720BC">
        <w:rPr>
          <w:rStyle w:val="rynqvb"/>
          <w:rFonts w:ascii="Times New Roman" w:hAnsi="Times New Roman" w:cs="Times New Roman"/>
          <w:sz w:val="24"/>
          <w:szCs w:val="24"/>
          <w:lang w:val="en-US"/>
        </w:rPr>
        <w:t>integratif</w:t>
      </w:r>
      <w:proofErr w:type="spellEnd"/>
      <w:r w:rsidR="00A30A49" w:rsidRPr="007720BC">
        <w:rPr>
          <w:rStyle w:val="rynqvb"/>
          <w:rFonts w:ascii="Times New Roman" w:hAnsi="Times New Roman" w:cs="Times New Roman"/>
          <w:sz w:val="24"/>
          <w:szCs w:val="24"/>
          <w:lang w:val="en-US"/>
        </w:rPr>
        <w:t xml:space="preserve"> </w:t>
      </w:r>
      <w:r w:rsidR="00D44772" w:rsidRPr="007720BC">
        <w:rPr>
          <w:rStyle w:val="rynqvb"/>
          <w:rFonts w:ascii="Times New Roman" w:hAnsi="Times New Roman" w:cs="Times New Roman"/>
          <w:sz w:val="24"/>
          <w:szCs w:val="24"/>
          <w:lang w:val="en-US"/>
        </w:rPr>
        <w:t xml:space="preserve">dan </w:t>
      </w:r>
      <w:proofErr w:type="spellStart"/>
      <w:r w:rsidR="00D44772" w:rsidRPr="007720BC">
        <w:rPr>
          <w:rStyle w:val="rynqvb"/>
          <w:rFonts w:ascii="Times New Roman" w:hAnsi="Times New Roman" w:cs="Times New Roman"/>
          <w:sz w:val="24"/>
          <w:szCs w:val="24"/>
          <w:lang w:val="en-US"/>
        </w:rPr>
        <w:t>terbukti</w:t>
      </w:r>
      <w:proofErr w:type="spellEnd"/>
      <w:r w:rsidR="00D44772" w:rsidRPr="007720BC">
        <w:rPr>
          <w:rStyle w:val="rynqvb"/>
          <w:rFonts w:ascii="Times New Roman" w:hAnsi="Times New Roman" w:cs="Times New Roman"/>
          <w:sz w:val="24"/>
          <w:szCs w:val="24"/>
          <w:lang w:val="en-US"/>
        </w:rPr>
        <w:t xml:space="preserve"> </w:t>
      </w:r>
      <w:r w:rsidR="00D44772" w:rsidRPr="007720BC">
        <w:rPr>
          <w:rStyle w:val="rynqvb"/>
          <w:rFonts w:ascii="Times New Roman" w:hAnsi="Times New Roman" w:cs="Times New Roman"/>
          <w:sz w:val="24"/>
          <w:szCs w:val="24"/>
          <w:lang w:val="id-ID"/>
        </w:rPr>
        <w:t xml:space="preserve">melalui kunjungan rumah </w:t>
      </w:r>
      <w:proofErr w:type="spellStart"/>
      <w:r w:rsidR="00A30A49" w:rsidRPr="007720BC">
        <w:rPr>
          <w:rStyle w:val="rynqvb"/>
          <w:rFonts w:ascii="Times New Roman" w:hAnsi="Times New Roman" w:cs="Times New Roman"/>
          <w:sz w:val="24"/>
          <w:szCs w:val="24"/>
          <w:lang w:val="en-US"/>
        </w:rPr>
        <w:t>tersebut</w:t>
      </w:r>
      <w:proofErr w:type="spellEnd"/>
      <w:r w:rsidR="00A30A49" w:rsidRPr="007720BC">
        <w:rPr>
          <w:rStyle w:val="rynqvb"/>
          <w:rFonts w:ascii="Times New Roman" w:hAnsi="Times New Roman" w:cs="Times New Roman"/>
          <w:sz w:val="24"/>
          <w:szCs w:val="24"/>
          <w:lang w:val="en-US"/>
        </w:rPr>
        <w:t xml:space="preserve"> </w:t>
      </w:r>
      <w:r w:rsidR="00D44772" w:rsidRPr="007720BC">
        <w:rPr>
          <w:rStyle w:val="rynqvb"/>
          <w:rFonts w:ascii="Times New Roman" w:hAnsi="Times New Roman" w:cs="Times New Roman"/>
          <w:sz w:val="24"/>
          <w:szCs w:val="24"/>
          <w:lang w:val="id-ID"/>
        </w:rPr>
        <w:t>berhasil meningkatkan</w:t>
      </w:r>
      <w:r w:rsidR="00A30A49" w:rsidRPr="007720BC">
        <w:rPr>
          <w:rStyle w:val="rynqvb"/>
          <w:rFonts w:ascii="Times New Roman" w:hAnsi="Times New Roman" w:cs="Times New Roman"/>
          <w:sz w:val="24"/>
          <w:szCs w:val="24"/>
          <w:lang w:val="en-US"/>
        </w:rPr>
        <w:t xml:space="preserve"> </w:t>
      </w:r>
      <w:proofErr w:type="spellStart"/>
      <w:r w:rsidR="00A30A49" w:rsidRPr="007720BC">
        <w:rPr>
          <w:rStyle w:val="rynqvb"/>
          <w:rFonts w:ascii="Times New Roman" w:hAnsi="Times New Roman" w:cs="Times New Roman"/>
          <w:sz w:val="24"/>
          <w:szCs w:val="24"/>
          <w:lang w:val="en-US"/>
        </w:rPr>
        <w:t>dampak</w:t>
      </w:r>
      <w:proofErr w:type="spellEnd"/>
      <w:r w:rsidR="00A30A49" w:rsidRPr="007720BC">
        <w:rPr>
          <w:rStyle w:val="rynqvb"/>
          <w:rFonts w:ascii="Times New Roman" w:hAnsi="Times New Roman" w:cs="Times New Roman"/>
          <w:sz w:val="24"/>
          <w:szCs w:val="24"/>
          <w:lang w:val="en-US"/>
        </w:rPr>
        <w:t xml:space="preserve"> </w:t>
      </w:r>
      <w:proofErr w:type="spellStart"/>
      <w:r w:rsidR="00A30A49" w:rsidRPr="007720BC">
        <w:rPr>
          <w:rStyle w:val="rynqvb"/>
          <w:rFonts w:ascii="Times New Roman" w:hAnsi="Times New Roman" w:cs="Times New Roman"/>
          <w:sz w:val="24"/>
          <w:szCs w:val="24"/>
          <w:lang w:val="en-US"/>
        </w:rPr>
        <w:t>positif</w:t>
      </w:r>
      <w:proofErr w:type="spellEnd"/>
      <w:r w:rsidR="00A30A49" w:rsidRPr="007720BC">
        <w:rPr>
          <w:rStyle w:val="rynqvb"/>
          <w:rFonts w:ascii="Times New Roman" w:hAnsi="Times New Roman" w:cs="Times New Roman"/>
          <w:sz w:val="24"/>
          <w:szCs w:val="24"/>
          <w:lang w:val="en-US"/>
        </w:rPr>
        <w:t xml:space="preserve"> </w:t>
      </w:r>
      <w:proofErr w:type="spellStart"/>
      <w:r w:rsidR="00A30A49" w:rsidRPr="007720BC">
        <w:rPr>
          <w:rStyle w:val="rynqvb"/>
          <w:rFonts w:ascii="Times New Roman" w:hAnsi="Times New Roman" w:cs="Times New Roman"/>
          <w:sz w:val="24"/>
          <w:szCs w:val="24"/>
          <w:lang w:val="en-US"/>
        </w:rPr>
        <w:t>terhadap</w:t>
      </w:r>
      <w:proofErr w:type="spellEnd"/>
      <w:r w:rsidR="00D44772" w:rsidRPr="007720BC">
        <w:rPr>
          <w:rStyle w:val="rynqvb"/>
          <w:rFonts w:ascii="Times New Roman" w:hAnsi="Times New Roman" w:cs="Times New Roman"/>
          <w:sz w:val="24"/>
          <w:szCs w:val="24"/>
          <w:lang w:val="id-ID"/>
        </w:rPr>
        <w:t xml:space="preserve"> ibu dan anak dibandingkan dengan prosedur standar.</w:t>
      </w:r>
      <w:r w:rsidR="00D349D8" w:rsidRPr="007720BC">
        <w:rPr>
          <w:rStyle w:val="rynqvb"/>
          <w:rFonts w:ascii="Times New Roman" w:hAnsi="Times New Roman" w:cs="Times New Roman"/>
          <w:sz w:val="24"/>
          <w:szCs w:val="24"/>
          <w:lang w:val="en-US"/>
        </w:rPr>
        <w:t xml:space="preserve"> Hal </w:t>
      </w:r>
      <w:proofErr w:type="spellStart"/>
      <w:r w:rsidR="00D349D8" w:rsidRPr="007720BC">
        <w:rPr>
          <w:rStyle w:val="rynqvb"/>
          <w:rFonts w:ascii="Times New Roman" w:hAnsi="Times New Roman" w:cs="Times New Roman"/>
          <w:sz w:val="24"/>
          <w:szCs w:val="24"/>
          <w:lang w:val="en-US"/>
        </w:rPr>
        <w:t>tersebut</w:t>
      </w:r>
      <w:proofErr w:type="spellEnd"/>
      <w:r w:rsidR="00D349D8" w:rsidRPr="007720BC">
        <w:rPr>
          <w:rStyle w:val="rynqvb"/>
          <w:rFonts w:ascii="Times New Roman" w:hAnsi="Times New Roman" w:cs="Times New Roman"/>
          <w:sz w:val="24"/>
          <w:szCs w:val="24"/>
          <w:lang w:val="en-US"/>
        </w:rPr>
        <w:t xml:space="preserve"> juga </w:t>
      </w:r>
      <w:proofErr w:type="spellStart"/>
      <w:r w:rsidR="00D349D8" w:rsidRPr="007720BC">
        <w:rPr>
          <w:rStyle w:val="rynqvb"/>
          <w:rFonts w:ascii="Times New Roman" w:hAnsi="Times New Roman" w:cs="Times New Roman"/>
          <w:sz w:val="24"/>
          <w:szCs w:val="24"/>
          <w:lang w:val="en-US"/>
        </w:rPr>
        <w:t>diperkuat</w:t>
      </w:r>
      <w:proofErr w:type="spellEnd"/>
      <w:r w:rsidR="00D349D8" w:rsidRPr="007720BC">
        <w:rPr>
          <w:rStyle w:val="rynqvb"/>
          <w:rFonts w:ascii="Times New Roman" w:hAnsi="Times New Roman" w:cs="Times New Roman"/>
          <w:sz w:val="24"/>
          <w:szCs w:val="24"/>
          <w:lang w:val="en-US"/>
        </w:rPr>
        <w:t xml:space="preserve"> oleh </w:t>
      </w:r>
      <w:proofErr w:type="spellStart"/>
      <w:r w:rsidR="006C6E29" w:rsidRPr="007720BC">
        <w:rPr>
          <w:rStyle w:val="rynqvb"/>
          <w:rFonts w:ascii="Times New Roman" w:hAnsi="Times New Roman" w:cs="Times New Roman"/>
          <w:sz w:val="24"/>
          <w:szCs w:val="24"/>
          <w:lang w:val="en-US"/>
        </w:rPr>
        <w:t>hasil</w:t>
      </w:r>
      <w:proofErr w:type="spellEnd"/>
      <w:r w:rsidR="006C6E29" w:rsidRPr="007720BC">
        <w:rPr>
          <w:rStyle w:val="rynqvb"/>
          <w:rFonts w:ascii="Times New Roman" w:hAnsi="Times New Roman" w:cs="Times New Roman"/>
          <w:sz w:val="24"/>
          <w:szCs w:val="24"/>
          <w:lang w:val="en-US"/>
        </w:rPr>
        <w:t xml:space="preserve"> </w:t>
      </w:r>
      <w:proofErr w:type="spellStart"/>
      <w:r w:rsidR="00D349D8" w:rsidRPr="007720BC">
        <w:rPr>
          <w:rStyle w:val="rynqvb"/>
          <w:rFonts w:ascii="Times New Roman" w:hAnsi="Times New Roman" w:cs="Times New Roman"/>
          <w:sz w:val="24"/>
          <w:szCs w:val="24"/>
          <w:lang w:val="en-US"/>
        </w:rPr>
        <w:t>penelitian</w:t>
      </w:r>
      <w:proofErr w:type="spellEnd"/>
      <w:r w:rsidR="00D349D8" w:rsidRPr="007720BC">
        <w:rPr>
          <w:rStyle w:val="rynqvb"/>
          <w:rFonts w:ascii="Times New Roman" w:hAnsi="Times New Roman" w:cs="Times New Roman"/>
          <w:sz w:val="24"/>
          <w:szCs w:val="24"/>
          <w:lang w:val="en-US"/>
        </w:rPr>
        <w:t xml:space="preserve"> </w:t>
      </w:r>
      <w:r w:rsidR="00D349D8" w:rsidRPr="007720BC">
        <w:rPr>
          <w:rFonts w:ascii="Times New Roman" w:hAnsi="Times New Roman" w:cs="Times New Roman"/>
          <w:sz w:val="24"/>
          <w:szCs w:val="24"/>
        </w:rPr>
        <w:fldChar w:fldCharType="begin" w:fldLock="1"/>
      </w:r>
      <w:r w:rsidR="00D349D8" w:rsidRPr="007720BC">
        <w:rPr>
          <w:rFonts w:ascii="Times New Roman" w:hAnsi="Times New Roman" w:cs="Times New Roman"/>
          <w:sz w:val="24"/>
          <w:szCs w:val="24"/>
        </w:rPr>
        <w:instrText>ADDIN CSL_CITATION {"citationItems":[{"id":"ITEM-1","itemData":{"abstract":"Penelitian ini bertujuan untuk mengetahui efektivitas intervensi berbasis keluarga pada anak dengan stunting. Metode yang digunakan adalah tinjauan sistematis tentang intervensi berbasis keluarga untuk anak-anak dengan stunting. Hasil penelitian menunjukkan bahwa intervensi berbasis keluarga berupa penyuluhan kesehatan melalui keluarga dan pemberdayaan keluarga dalam pemberian nutrisi berpengaruh terhadap status gizi anak stunting. Intervensi berbasis keluarga melalui pemberdayaan keluarga dapat meningkatkan status gizi anak stunting. Simpulan, intervensi berbasis keluarga efektif dalam meningkatkan status gizi anak stunting","author":[{"dropping-particle":"","family":"Habibie","given":"Aziz Nashiruddin","non-dropping-particle":"","parse-names":false,"suffix":""},{"dropping-particle":"","family":"Efendi","given":"Ferry","non-dropping-particle":"","parse-names":false,"suffix":""},{"dropping-particle":"","family":"Has","given":"Eka Misbahatul M","non-dropping-particle":"","parse-names":false,"suffix":""}],"container-title":"Journal of Telenursing (JOTING)","id":"ITEM-1","issue":"1","issued":{"date-parts":[["2023"]]},"title":"Intervensi Berbasis Keluarga pada Anak dengan Stunting","type":"article-journal","volume":"5"},"uris":["http://www.mendeley.com/documents/?uuid=42c7c26e-8b42-4b3d-9731-b84e89c35d81"]}],"mendeley":{"formattedCitation":"(Habibie, Efendi, dan Has 2023)","plainTextFormattedCitation":"(Habibie, Efendi, dan Has 2023)","previouslyFormattedCitation":"(Habibie, Efendi, dan Has 2023)"},"properties":{"noteIndex":0},"schema":"https://github.com/citation-style-language/schema/raw/master/csl-citation.json"}</w:instrText>
      </w:r>
      <w:r w:rsidR="00D349D8" w:rsidRPr="007720BC">
        <w:rPr>
          <w:rFonts w:ascii="Times New Roman" w:hAnsi="Times New Roman" w:cs="Times New Roman"/>
          <w:sz w:val="24"/>
          <w:szCs w:val="24"/>
        </w:rPr>
        <w:fldChar w:fldCharType="separate"/>
      </w:r>
      <w:r w:rsidR="00D349D8" w:rsidRPr="007720BC">
        <w:rPr>
          <w:rFonts w:ascii="Times New Roman" w:hAnsi="Times New Roman" w:cs="Times New Roman"/>
          <w:noProof/>
          <w:sz w:val="24"/>
          <w:szCs w:val="24"/>
        </w:rPr>
        <w:t>(Habibie, Efendi, dan Has 2023)</w:t>
      </w:r>
      <w:r w:rsidR="00D349D8" w:rsidRPr="007720BC">
        <w:rPr>
          <w:rFonts w:ascii="Times New Roman" w:hAnsi="Times New Roman" w:cs="Times New Roman"/>
          <w:sz w:val="24"/>
          <w:szCs w:val="24"/>
        </w:rPr>
        <w:fldChar w:fldCharType="end"/>
      </w:r>
      <w:r w:rsidR="00D44772" w:rsidRPr="007720BC">
        <w:rPr>
          <w:rStyle w:val="rynqvb"/>
          <w:rFonts w:ascii="Times New Roman" w:hAnsi="Times New Roman" w:cs="Times New Roman"/>
          <w:sz w:val="24"/>
          <w:szCs w:val="24"/>
          <w:lang w:val="en-US"/>
        </w:rPr>
        <w:t xml:space="preserve"> </w:t>
      </w:r>
      <w:r w:rsidR="00D349D8" w:rsidRPr="007720BC">
        <w:rPr>
          <w:rStyle w:val="rynqvb"/>
          <w:rFonts w:ascii="Times New Roman" w:hAnsi="Times New Roman" w:cs="Times New Roman"/>
          <w:sz w:val="24"/>
          <w:szCs w:val="24"/>
          <w:lang w:val="en-US"/>
        </w:rPr>
        <w:t xml:space="preserve">yang </w:t>
      </w:r>
      <w:proofErr w:type="spellStart"/>
      <w:r w:rsidR="00D349D8" w:rsidRPr="007720BC">
        <w:rPr>
          <w:rStyle w:val="rynqvb"/>
          <w:rFonts w:ascii="Times New Roman" w:hAnsi="Times New Roman" w:cs="Times New Roman"/>
          <w:sz w:val="24"/>
          <w:szCs w:val="24"/>
          <w:lang w:val="en-US"/>
        </w:rPr>
        <w:t>menyimpulkan</w:t>
      </w:r>
      <w:proofErr w:type="spellEnd"/>
      <w:r w:rsidR="00D349D8" w:rsidRPr="007720BC">
        <w:rPr>
          <w:rStyle w:val="rynqvb"/>
          <w:rFonts w:ascii="Times New Roman" w:hAnsi="Times New Roman" w:cs="Times New Roman"/>
          <w:sz w:val="24"/>
          <w:szCs w:val="24"/>
          <w:lang w:val="en-US"/>
        </w:rPr>
        <w:t xml:space="preserve"> </w:t>
      </w:r>
      <w:proofErr w:type="spellStart"/>
      <w:r w:rsidR="00D349D8" w:rsidRPr="007720BC">
        <w:rPr>
          <w:rFonts w:ascii="Times New Roman" w:hAnsi="Times New Roman" w:cs="Times New Roman"/>
          <w:sz w:val="24"/>
          <w:szCs w:val="24"/>
        </w:rPr>
        <w:t>intervensi</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berbasis</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keluarga</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melalui</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pemberdayaan</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keluarga</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dapat</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meningkatkan</w:t>
      </w:r>
      <w:proofErr w:type="spellEnd"/>
      <w:r w:rsidR="00D349D8" w:rsidRPr="007720BC">
        <w:rPr>
          <w:rFonts w:ascii="Times New Roman" w:hAnsi="Times New Roman" w:cs="Times New Roman"/>
          <w:sz w:val="24"/>
          <w:szCs w:val="24"/>
        </w:rPr>
        <w:t xml:space="preserve"> status </w:t>
      </w:r>
      <w:proofErr w:type="spellStart"/>
      <w:r w:rsidR="00D349D8" w:rsidRPr="007720BC">
        <w:rPr>
          <w:rFonts w:ascii="Times New Roman" w:hAnsi="Times New Roman" w:cs="Times New Roman"/>
          <w:sz w:val="24"/>
          <w:szCs w:val="24"/>
        </w:rPr>
        <w:t>gizi</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anak</w:t>
      </w:r>
      <w:proofErr w:type="spellEnd"/>
      <w:r w:rsidR="00D349D8" w:rsidRPr="007720BC">
        <w:rPr>
          <w:rFonts w:ascii="Times New Roman" w:hAnsi="Times New Roman" w:cs="Times New Roman"/>
          <w:sz w:val="24"/>
          <w:szCs w:val="24"/>
        </w:rPr>
        <w:t xml:space="preserve"> stunting.</w:t>
      </w:r>
      <w:r w:rsidR="00C55BF3" w:rsidRPr="007720BC">
        <w:rPr>
          <w:rFonts w:ascii="Times New Roman" w:hAnsi="Times New Roman" w:cs="Times New Roman"/>
          <w:sz w:val="24"/>
          <w:szCs w:val="24"/>
        </w:rPr>
        <w:t xml:space="preserve"> </w:t>
      </w:r>
      <w:r w:rsidR="00C55BF3" w:rsidRPr="007720BC">
        <w:rPr>
          <w:rFonts w:ascii="Times New Roman" w:hAnsi="Times New Roman" w:cs="Times New Roman"/>
          <w:sz w:val="24"/>
          <w:szCs w:val="24"/>
          <w:lang w:val="en-US"/>
        </w:rPr>
        <w:t xml:space="preserve">Hasil </w:t>
      </w:r>
      <w:proofErr w:type="spellStart"/>
      <w:r w:rsidR="00C55BF3" w:rsidRPr="007720BC">
        <w:rPr>
          <w:rFonts w:ascii="Times New Roman" w:hAnsi="Times New Roman" w:cs="Times New Roman"/>
          <w:sz w:val="24"/>
          <w:szCs w:val="24"/>
          <w:lang w:val="en-US"/>
        </w:rPr>
        <w:t>penelitian</w:t>
      </w:r>
      <w:proofErr w:type="spellEnd"/>
      <w:r w:rsidR="00C55BF3" w:rsidRPr="007720BC">
        <w:rPr>
          <w:rFonts w:ascii="Times New Roman" w:hAnsi="Times New Roman" w:cs="Times New Roman"/>
          <w:sz w:val="24"/>
          <w:szCs w:val="24"/>
          <w:lang w:val="en-US"/>
        </w:rPr>
        <w:t xml:space="preserve"> </w:t>
      </w:r>
      <w:r w:rsidR="00C55BF3" w:rsidRPr="007720BC">
        <w:rPr>
          <w:rFonts w:ascii="Times New Roman" w:hAnsi="Times New Roman" w:cs="Times New Roman"/>
          <w:sz w:val="24"/>
          <w:szCs w:val="24"/>
          <w:lang w:val="en-US"/>
        </w:rPr>
        <w:fldChar w:fldCharType="begin" w:fldLock="1"/>
      </w:r>
      <w:r w:rsidR="00C55BF3" w:rsidRPr="007720BC">
        <w:rPr>
          <w:rFonts w:ascii="Times New Roman" w:hAnsi="Times New Roman" w:cs="Times New Roman"/>
          <w:sz w:val="24"/>
          <w:szCs w:val="24"/>
          <w:lang w:val="en-US"/>
        </w:rPr>
        <w:instrText>ADDIN CSL_CITATION {"citationItems":[{"id":"ITEM-1","itemData":{"abstract":"Penelitian ini bertujuan untuk mengetahui efektivitas intervensi berbasis keluarga pada anak dengan stunting. Metode yang digunakan adalah tinjauan sistematis tentang intervensi berbasis keluarga untuk anak-anak dengan stunting. Hasil penelitian menunjukkan bahwa intervensi berbasis keluarga berupa penyuluhan kesehatan melalui keluarga dan pemberdayaan keluarga dalam pemberian nutrisi berpengaruh terhadap status gizi anak stunting. Intervensi berbasis keluarga melalui pemberdayaan keluarga dapat meningkatkan status gizi anak stunting. Simpulan, intervensi berbasis keluarga efektif dalam meningkatkan status gizi anak stunting","author":[{"dropping-particle":"","family":"Habibie","given":"Aziz Nashiruddin","non-dropping-particle":"","parse-names":false,"suffix":""},{"dropping-particle":"","family":"Efendi","given":"Ferry","non-dropping-particle":"","parse-names":false,"suffix":""},{"dropping-particle":"","family":"Has","given":"Eka Misbahatul M","non-dropping-particle":"","parse-names":false,"suffix":""}],"container-title":"Journal of Telenursing (JOTING)","id":"ITEM-1","issue":"1","issued":{"date-parts":[["2023"]]},"title":"Intervensi Berbasis Keluarga pada Anak dengan Stunting","type":"article-journal","volume":"5"},"uris":["http://www.mendeley.com/documents/?uuid=42c7c26e-8b42-4b3d-9731-b84e89c35d81"]}],"mendeley":{"formattedCitation":"(Habibie, Efendi, dan Has 2023)","plainTextFormattedCitation":"(Habibie, Efendi, dan Has 2023)","previouslyFormattedCitation":"(Habibie, Efendi, dan Has 2023)"},"properties":{"noteIndex":0},"schema":"https://github.com/citation-style-language/schema/raw/master/csl-citation.json"}</w:instrText>
      </w:r>
      <w:r w:rsidR="00C55BF3" w:rsidRPr="007720BC">
        <w:rPr>
          <w:rFonts w:ascii="Times New Roman" w:hAnsi="Times New Roman" w:cs="Times New Roman"/>
          <w:sz w:val="24"/>
          <w:szCs w:val="24"/>
          <w:lang w:val="en-US"/>
        </w:rPr>
        <w:fldChar w:fldCharType="separate"/>
      </w:r>
      <w:r w:rsidR="00C55BF3" w:rsidRPr="007720BC">
        <w:rPr>
          <w:rFonts w:ascii="Times New Roman" w:hAnsi="Times New Roman" w:cs="Times New Roman"/>
          <w:noProof/>
          <w:sz w:val="24"/>
          <w:szCs w:val="24"/>
          <w:lang w:val="en-US"/>
        </w:rPr>
        <w:t>(Habibie, Efendi, dan Has 2023)</w:t>
      </w:r>
      <w:r w:rsidR="00C55BF3" w:rsidRPr="007720BC">
        <w:rPr>
          <w:rFonts w:ascii="Times New Roman" w:hAnsi="Times New Roman" w:cs="Times New Roman"/>
          <w:sz w:val="24"/>
          <w:szCs w:val="24"/>
          <w:lang w:val="en-US"/>
        </w:rPr>
        <w:fldChar w:fldCharType="end"/>
      </w:r>
      <w:r w:rsidR="00C55BF3"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menunjukkan</w:t>
      </w:r>
      <w:proofErr w:type="spellEnd"/>
      <w:r w:rsidR="00C55BF3"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pentingnya</w:t>
      </w:r>
      <w:proofErr w:type="spellEnd"/>
      <w:r w:rsidR="00C55BF3"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intervensi</w:t>
      </w:r>
      <w:proofErr w:type="spellEnd"/>
      <w:r w:rsidR="00C55BF3"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berbasis</w:t>
      </w:r>
      <w:proofErr w:type="spellEnd"/>
      <w:r w:rsidR="00C55BF3"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keluarga</w:t>
      </w:r>
      <w:proofErr w:type="spellEnd"/>
      <w:r w:rsidR="00C55BF3"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efektif</w:t>
      </w:r>
      <w:proofErr w:type="spellEnd"/>
      <w:r w:rsidR="00C55BF3"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dalam</w:t>
      </w:r>
      <w:proofErr w:type="spellEnd"/>
      <w:r w:rsidR="00C55BF3"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meningkatkan</w:t>
      </w:r>
      <w:proofErr w:type="spellEnd"/>
      <w:r w:rsidR="00C55BF3" w:rsidRPr="007720BC">
        <w:rPr>
          <w:rFonts w:ascii="Times New Roman" w:hAnsi="Times New Roman" w:cs="Times New Roman"/>
          <w:sz w:val="24"/>
          <w:szCs w:val="24"/>
          <w:lang w:val="en-US"/>
        </w:rPr>
        <w:t xml:space="preserve"> status </w:t>
      </w:r>
      <w:proofErr w:type="spellStart"/>
      <w:r w:rsidR="00C55BF3" w:rsidRPr="007720BC">
        <w:rPr>
          <w:rFonts w:ascii="Times New Roman" w:hAnsi="Times New Roman" w:cs="Times New Roman"/>
          <w:sz w:val="24"/>
          <w:szCs w:val="24"/>
          <w:lang w:val="en-US"/>
        </w:rPr>
        <w:t>gizi</w:t>
      </w:r>
      <w:proofErr w:type="spellEnd"/>
      <w:r w:rsidR="00C55BF3"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anak</w:t>
      </w:r>
      <w:proofErr w:type="spellEnd"/>
      <w:r w:rsidR="00C55BF3" w:rsidRPr="007720BC">
        <w:rPr>
          <w:rFonts w:ascii="Times New Roman" w:hAnsi="Times New Roman" w:cs="Times New Roman"/>
          <w:sz w:val="24"/>
          <w:szCs w:val="24"/>
          <w:lang w:val="en-US"/>
        </w:rPr>
        <w:t xml:space="preserve"> stunting, </w:t>
      </w:r>
      <w:proofErr w:type="spellStart"/>
      <w:r w:rsidR="00C55BF3" w:rsidRPr="007720BC">
        <w:rPr>
          <w:rFonts w:ascii="Times New Roman" w:hAnsi="Times New Roman" w:cs="Times New Roman"/>
          <w:sz w:val="24"/>
          <w:szCs w:val="24"/>
          <w:lang w:val="en-US"/>
        </w:rPr>
        <w:t>intervensi</w:t>
      </w:r>
      <w:proofErr w:type="spellEnd"/>
      <w:r w:rsidR="00C55BF3" w:rsidRPr="007720BC">
        <w:rPr>
          <w:rFonts w:ascii="Times New Roman" w:hAnsi="Times New Roman" w:cs="Times New Roman"/>
          <w:sz w:val="24"/>
          <w:szCs w:val="24"/>
          <w:lang w:val="en-US"/>
        </w:rPr>
        <w:t xml:space="preserve"> yang </w:t>
      </w:r>
      <w:proofErr w:type="spellStart"/>
      <w:r w:rsidR="00C55BF3" w:rsidRPr="007720BC">
        <w:rPr>
          <w:rFonts w:ascii="Times New Roman" w:hAnsi="Times New Roman" w:cs="Times New Roman"/>
          <w:sz w:val="24"/>
          <w:szCs w:val="24"/>
          <w:lang w:val="en-US"/>
        </w:rPr>
        <w:t>dilakukan</w:t>
      </w:r>
      <w:proofErr w:type="spellEnd"/>
      <w:r w:rsidR="00C55BF3"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adalah</w:t>
      </w:r>
      <w:proofErr w:type="spellEnd"/>
      <w:r w:rsidR="00C55BF3"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berupa</w:t>
      </w:r>
      <w:proofErr w:type="spellEnd"/>
      <w:r w:rsidR="00C55BF3"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diskusi</w:t>
      </w:r>
      <w:proofErr w:type="spellEnd"/>
      <w:r w:rsidR="00C55BF3"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kelompok</w:t>
      </w:r>
      <w:proofErr w:type="spellEnd"/>
      <w:r w:rsidR="00C55BF3" w:rsidRPr="007720BC">
        <w:rPr>
          <w:rFonts w:ascii="Times New Roman" w:hAnsi="Times New Roman" w:cs="Times New Roman"/>
          <w:sz w:val="24"/>
          <w:szCs w:val="24"/>
          <w:lang w:val="en-US"/>
        </w:rPr>
        <w:t xml:space="preserve"> yang </w:t>
      </w:r>
      <w:proofErr w:type="spellStart"/>
      <w:r w:rsidR="00C55BF3" w:rsidRPr="007720BC">
        <w:rPr>
          <w:rFonts w:ascii="Times New Roman" w:hAnsi="Times New Roman" w:cs="Times New Roman"/>
          <w:sz w:val="24"/>
          <w:szCs w:val="24"/>
          <w:lang w:val="en-US"/>
        </w:rPr>
        <w:t>dilanjutkan</w:t>
      </w:r>
      <w:proofErr w:type="spellEnd"/>
      <w:r w:rsidR="00C55BF3"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dengan</w:t>
      </w:r>
      <w:proofErr w:type="spellEnd"/>
      <w:r w:rsidR="00C55BF3"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kunjungan</w:t>
      </w:r>
      <w:proofErr w:type="spellEnd"/>
      <w:r w:rsidR="00C55BF3"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rumah</w:t>
      </w:r>
      <w:proofErr w:type="spellEnd"/>
      <w:r w:rsidR="00C55BF3"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literasi</w:t>
      </w:r>
      <w:proofErr w:type="spellEnd"/>
      <w:r w:rsidR="00C55BF3"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nutrisi</w:t>
      </w:r>
      <w:proofErr w:type="spellEnd"/>
      <w:r w:rsidR="00C55BF3" w:rsidRPr="007720BC">
        <w:rPr>
          <w:rFonts w:ascii="Times New Roman" w:hAnsi="Times New Roman" w:cs="Times New Roman"/>
          <w:sz w:val="24"/>
          <w:szCs w:val="24"/>
          <w:lang w:val="en-US"/>
        </w:rPr>
        <w:t xml:space="preserve"> dan </w:t>
      </w:r>
      <w:proofErr w:type="spellStart"/>
      <w:r w:rsidR="00C55BF3" w:rsidRPr="007720BC">
        <w:rPr>
          <w:rFonts w:ascii="Times New Roman" w:hAnsi="Times New Roman" w:cs="Times New Roman"/>
          <w:sz w:val="24"/>
          <w:szCs w:val="24"/>
          <w:lang w:val="en-US"/>
        </w:rPr>
        <w:t>dukungan</w:t>
      </w:r>
      <w:proofErr w:type="spellEnd"/>
      <w:r w:rsidR="00C55BF3"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lingkungan</w:t>
      </w:r>
      <w:proofErr w:type="spellEnd"/>
      <w:r w:rsidR="00C55BF3" w:rsidRPr="007720BC">
        <w:rPr>
          <w:rFonts w:ascii="Times New Roman" w:hAnsi="Times New Roman" w:cs="Times New Roman"/>
          <w:sz w:val="24"/>
          <w:szCs w:val="24"/>
          <w:lang w:val="en-US"/>
        </w:rPr>
        <w:t xml:space="preserve"> </w:t>
      </w:r>
      <w:proofErr w:type="spellStart"/>
      <w:r w:rsidR="00C55BF3" w:rsidRPr="007720BC">
        <w:rPr>
          <w:rFonts w:ascii="Times New Roman" w:hAnsi="Times New Roman" w:cs="Times New Roman"/>
          <w:sz w:val="24"/>
          <w:szCs w:val="24"/>
          <w:lang w:val="en-US"/>
        </w:rPr>
        <w:t>sekitar</w:t>
      </w:r>
      <w:proofErr w:type="spellEnd"/>
      <w:r w:rsidR="00C55BF3" w:rsidRPr="007720BC">
        <w:rPr>
          <w:rFonts w:ascii="Times New Roman" w:hAnsi="Times New Roman" w:cs="Times New Roman"/>
          <w:sz w:val="24"/>
          <w:szCs w:val="24"/>
          <w:lang w:val="en-US"/>
        </w:rPr>
        <w:t xml:space="preserve">. </w:t>
      </w:r>
    </w:p>
    <w:p w14:paraId="484AF55D" w14:textId="76958EC4" w:rsidR="002D4695" w:rsidRPr="007720BC" w:rsidRDefault="00130505" w:rsidP="00486FF0">
      <w:pPr>
        <w:shd w:val="clear" w:color="auto" w:fill="FFFFFF"/>
        <w:spacing w:after="0" w:line="240" w:lineRule="auto"/>
        <w:ind w:right="-1" w:firstLine="720"/>
        <w:contextualSpacing/>
        <w:jc w:val="both"/>
        <w:textAlignment w:val="baseline"/>
        <w:rPr>
          <w:rFonts w:ascii="Times New Roman" w:hAnsi="Times New Roman" w:cs="Times New Roman"/>
          <w:sz w:val="24"/>
          <w:szCs w:val="24"/>
          <w:lang w:val="en-US"/>
        </w:rPr>
      </w:pPr>
      <w:proofErr w:type="spellStart"/>
      <w:r w:rsidRPr="007720BC">
        <w:rPr>
          <w:rFonts w:ascii="Times New Roman" w:hAnsi="Times New Roman" w:cs="Times New Roman"/>
          <w:sz w:val="24"/>
          <w:szCs w:val="24"/>
          <w:lang w:val="en-US"/>
        </w:rPr>
        <w:t>Berkaitan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dengan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pemahaman</w:t>
      </w:r>
      <w:proofErr w:type="spellEnd"/>
      <w:r w:rsidRPr="007720BC">
        <w:rPr>
          <w:rFonts w:ascii="Times New Roman" w:hAnsi="Times New Roman" w:cs="Times New Roman"/>
          <w:sz w:val="24"/>
          <w:szCs w:val="24"/>
          <w:lang w:val="en-US"/>
        </w:rPr>
        <w:t xml:space="preserve"> </w:t>
      </w:r>
      <w:proofErr w:type="spellStart"/>
      <w:r w:rsidR="0040400D" w:rsidRPr="007720BC">
        <w:rPr>
          <w:rFonts w:ascii="Times New Roman" w:hAnsi="Times New Roman" w:cs="Times New Roman"/>
          <w:sz w:val="24"/>
          <w:szCs w:val="24"/>
          <w:lang w:val="en-US"/>
        </w:rPr>
        <w:t>m</w:t>
      </w:r>
      <w:r w:rsidRPr="007720BC">
        <w:rPr>
          <w:rFonts w:ascii="Times New Roman" w:hAnsi="Times New Roman" w:cs="Times New Roman"/>
          <w:sz w:val="24"/>
          <w:szCs w:val="24"/>
          <w:lang w:val="en-US"/>
        </w:rPr>
        <w:t>asyarakat</w:t>
      </w:r>
      <w:proofErr w:type="spellEnd"/>
      <w:r w:rsidRPr="007720BC">
        <w:rPr>
          <w:rFonts w:ascii="Times New Roman" w:hAnsi="Times New Roman" w:cs="Times New Roman"/>
          <w:sz w:val="24"/>
          <w:szCs w:val="24"/>
          <w:lang w:val="en-US"/>
        </w:rPr>
        <w:t xml:space="preserve"> yang </w:t>
      </w:r>
      <w:proofErr w:type="spellStart"/>
      <w:r w:rsidRPr="007720BC">
        <w:rPr>
          <w:rFonts w:ascii="Times New Roman" w:hAnsi="Times New Roman" w:cs="Times New Roman"/>
          <w:sz w:val="24"/>
          <w:szCs w:val="24"/>
          <w:lang w:val="en-US"/>
        </w:rPr>
        <w:t>masih</w:t>
      </w:r>
      <w:proofErr w:type="spellEnd"/>
      <w:r w:rsidRPr="007720BC">
        <w:rPr>
          <w:rFonts w:ascii="Times New Roman" w:hAnsi="Times New Roman" w:cs="Times New Roman"/>
          <w:sz w:val="24"/>
          <w:szCs w:val="24"/>
          <w:lang w:val="en-US"/>
        </w:rPr>
        <w:t xml:space="preserve"> minim dan </w:t>
      </w:r>
      <w:proofErr w:type="spellStart"/>
      <w:r w:rsidRPr="007720BC">
        <w:rPr>
          <w:rFonts w:ascii="Times New Roman" w:hAnsi="Times New Roman" w:cs="Times New Roman"/>
          <w:sz w:val="24"/>
          <w:szCs w:val="24"/>
          <w:lang w:val="en-US"/>
        </w:rPr>
        <w:t>menganggap</w:t>
      </w:r>
      <w:proofErr w:type="spellEnd"/>
      <w:r w:rsidRPr="007720BC">
        <w:rPr>
          <w:rFonts w:ascii="Times New Roman" w:hAnsi="Times New Roman" w:cs="Times New Roman"/>
          <w:sz w:val="24"/>
          <w:szCs w:val="24"/>
          <w:lang w:val="en-US"/>
        </w:rPr>
        <w:t xml:space="preserve"> program-program </w:t>
      </w:r>
      <w:proofErr w:type="spellStart"/>
      <w:r w:rsidR="00C06B13" w:rsidRPr="007720BC">
        <w:rPr>
          <w:rFonts w:ascii="Times New Roman" w:hAnsi="Times New Roman" w:cs="Times New Roman"/>
          <w:sz w:val="24"/>
          <w:szCs w:val="24"/>
          <w:lang w:val="en-US"/>
        </w:rPr>
        <w:t>k</w:t>
      </w:r>
      <w:r w:rsidRPr="007720BC">
        <w:rPr>
          <w:rFonts w:ascii="Times New Roman" w:hAnsi="Times New Roman" w:cs="Times New Roman"/>
          <w:sz w:val="24"/>
          <w:szCs w:val="24"/>
          <w:lang w:val="en-US"/>
        </w:rPr>
        <w:t>esehatan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bertentangan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dengan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budaya</w:t>
      </w:r>
      <w:proofErr w:type="spellEnd"/>
      <w:r w:rsidRPr="007720BC">
        <w:rPr>
          <w:rFonts w:ascii="Times New Roman" w:hAnsi="Times New Roman" w:cs="Times New Roman"/>
          <w:sz w:val="24"/>
          <w:szCs w:val="24"/>
          <w:lang w:val="en-US"/>
        </w:rPr>
        <w:t xml:space="preserve"> </w:t>
      </w:r>
      <w:proofErr w:type="spellStart"/>
      <w:r w:rsidR="007127C4" w:rsidRPr="007720BC">
        <w:rPr>
          <w:rFonts w:ascii="Times New Roman" w:hAnsi="Times New Roman" w:cs="Times New Roman"/>
          <w:sz w:val="24"/>
          <w:szCs w:val="24"/>
          <w:lang w:val="en-US"/>
        </w:rPr>
        <w:t>masyarakat</w:t>
      </w:r>
      <w:proofErr w:type="spellEnd"/>
      <w:r w:rsidR="007127C4" w:rsidRPr="007720BC">
        <w:rPr>
          <w:rFonts w:ascii="Times New Roman" w:hAnsi="Times New Roman" w:cs="Times New Roman"/>
          <w:sz w:val="24"/>
          <w:szCs w:val="24"/>
          <w:lang w:val="en-US"/>
        </w:rPr>
        <w:t xml:space="preserve">, </w:t>
      </w:r>
      <w:proofErr w:type="spellStart"/>
      <w:r w:rsidR="007127C4" w:rsidRPr="007720BC">
        <w:rPr>
          <w:rFonts w:ascii="Times New Roman" w:hAnsi="Times New Roman" w:cs="Times New Roman"/>
          <w:sz w:val="24"/>
          <w:szCs w:val="24"/>
          <w:lang w:val="en-US"/>
        </w:rPr>
        <w:t>maka</w:t>
      </w:r>
      <w:proofErr w:type="spellEnd"/>
      <w:r w:rsidR="007127C4" w:rsidRPr="007720BC">
        <w:rPr>
          <w:rFonts w:ascii="Times New Roman" w:hAnsi="Times New Roman" w:cs="Times New Roman"/>
          <w:sz w:val="24"/>
          <w:szCs w:val="24"/>
          <w:lang w:val="en-US"/>
        </w:rPr>
        <w:t xml:space="preserve"> </w:t>
      </w:r>
      <w:proofErr w:type="spellStart"/>
      <w:r w:rsidR="007127C4" w:rsidRPr="007720BC">
        <w:rPr>
          <w:rFonts w:ascii="Times New Roman" w:hAnsi="Times New Roman" w:cs="Times New Roman"/>
          <w:sz w:val="24"/>
          <w:szCs w:val="24"/>
          <w:lang w:val="en-US"/>
        </w:rPr>
        <w:t>hasil</w:t>
      </w:r>
      <w:proofErr w:type="spellEnd"/>
      <w:r w:rsidR="007127C4" w:rsidRPr="007720BC">
        <w:rPr>
          <w:rFonts w:ascii="Times New Roman" w:hAnsi="Times New Roman" w:cs="Times New Roman"/>
          <w:sz w:val="24"/>
          <w:szCs w:val="24"/>
          <w:lang w:val="en-US"/>
        </w:rPr>
        <w:t xml:space="preserve"> </w:t>
      </w:r>
      <w:proofErr w:type="spellStart"/>
      <w:r w:rsidR="007127C4" w:rsidRPr="007720BC">
        <w:rPr>
          <w:rFonts w:ascii="Times New Roman" w:hAnsi="Times New Roman" w:cs="Times New Roman"/>
          <w:sz w:val="24"/>
          <w:szCs w:val="24"/>
          <w:lang w:val="en-US"/>
        </w:rPr>
        <w:t>penelitian</w:t>
      </w:r>
      <w:proofErr w:type="spellEnd"/>
      <w:r w:rsidR="007127C4" w:rsidRPr="007720BC">
        <w:rPr>
          <w:rFonts w:ascii="Times New Roman" w:hAnsi="Times New Roman" w:cs="Times New Roman"/>
          <w:sz w:val="24"/>
          <w:szCs w:val="24"/>
          <w:lang w:val="en-US"/>
        </w:rPr>
        <w:t xml:space="preserve"> </w:t>
      </w:r>
      <w:r w:rsidR="007127C4" w:rsidRPr="007720BC">
        <w:rPr>
          <w:rFonts w:ascii="Times New Roman" w:hAnsi="Times New Roman" w:cs="Times New Roman"/>
          <w:sz w:val="24"/>
          <w:szCs w:val="24"/>
          <w:lang w:val="en-US"/>
        </w:rPr>
        <w:fldChar w:fldCharType="begin" w:fldLock="1"/>
      </w:r>
      <w:r w:rsidR="00486FF0" w:rsidRPr="007720BC">
        <w:rPr>
          <w:rFonts w:ascii="Times New Roman" w:hAnsi="Times New Roman" w:cs="Times New Roman"/>
          <w:sz w:val="24"/>
          <w:szCs w:val="24"/>
          <w:lang w:val="en-US"/>
        </w:rPr>
        <w:instrText>ADDIN CSL_CITATION {"citationItems":[{"id":"ITEM-1","itemData":{"abstract":"The coverage of basic immunization in Semarang City has met the target, yet there are still PD3I cases found such as 2 cases of diphtheria with 1 person died, 224 cases of measles and 8 cases of Acute Flaccid Paralysis (AFP). There are people in society who are reluctant to give immunizations because of the assumption that illegal immunization is still happening, despite statement from MUI Fatwa that immunization is permissible. The purpose of this study was to analyze the image of community refusals of complete basic immunization on children under five. The type of this research is qualitative research with ethnography study method. Data collection was done by in-depth interview and literature study, which the subjects were mothers who did not provide complete basic immunization in Sendangmulyo Village. The results showed that the reason why the subjects did not provide complete basic immunization to their children is due to misconception of immunization information they obtained. They got information from uncredible source that stated immunization is haram. The subjects were divided into 3 religious groups, namely Ahli Sunah Salafi, Nahdlatul Ulama (NU), and Jamaah Tabligh. These religious groups did not have a major effect on basic immunization practices by subject. Subjects' belief in full basic immunization is influenced by the subjects and others' experiences regarding immunization practices and myths. Research showed there was lack of support from parents, husbands, friends, cadres, and ustadz in basic immunization practices. Thus, information about the right immunization information that can be accessed easily by the public is urgently needed, as well as the need for health education on preventive effort of infectious diseases by Public Health Offices.","author":[{"dropping-particle":"","family":"Sulistiyani","given":"Pratiwi","non-dropping-particle":"","parse-names":false,"suffix":""},{"dropping-particle":"","family":"Shaluhiyah","given":"Zahroh","non-dropping-particle":"","parse-names":false,"suffix":""},{"dropping-particle":"","family":"Cahyo Bagian","given":"Kusyogo","non-dropping-particle":"","parse-names":false,"suffix":""}],"container-title":"Kesehatan Masyarakat","id":"ITEM-1","issue":"5","issued":{"date-parts":[["2017"]]},"page":"2356-3346","title":"Gambaran Penolakan Masyarakat Terhadap Imunisasi Dasar Lengkap Bagi Balita","type":"article-journal","volume":"5"},"uris":["http://www.mendeley.com/documents/?uuid=070209d5-9055-4864-bea7-1032aaf560e8"]}],"mendeley":{"formattedCitation":"(Sulistiyani, Shaluhiyah, dan Cahyo Bagian 2017)","plainTextFormattedCitation":"(Sulistiyani, Shaluhiyah, dan Cahyo Bagian 2017)","previouslyFormattedCitation":"(Sulistiyani, Shaluhiyah, dan Cahyo Bagian 2017)"},"properties":{"noteIndex":0},"schema":"https://github.com/citation-style-language/schema/raw/master/csl-citation.json"}</w:instrText>
      </w:r>
      <w:r w:rsidR="007127C4" w:rsidRPr="007720BC">
        <w:rPr>
          <w:rFonts w:ascii="Times New Roman" w:hAnsi="Times New Roman" w:cs="Times New Roman"/>
          <w:sz w:val="24"/>
          <w:szCs w:val="24"/>
          <w:lang w:val="en-US"/>
        </w:rPr>
        <w:fldChar w:fldCharType="separate"/>
      </w:r>
      <w:r w:rsidR="007127C4" w:rsidRPr="007720BC">
        <w:rPr>
          <w:rFonts w:ascii="Times New Roman" w:hAnsi="Times New Roman" w:cs="Times New Roman"/>
          <w:noProof/>
          <w:sz w:val="24"/>
          <w:szCs w:val="24"/>
          <w:lang w:val="en-US"/>
        </w:rPr>
        <w:t>(Sulistiyani, Shaluhiyah, dan Cahyo Bagian 2017)</w:t>
      </w:r>
      <w:r w:rsidR="007127C4" w:rsidRPr="007720BC">
        <w:rPr>
          <w:rFonts w:ascii="Times New Roman" w:hAnsi="Times New Roman" w:cs="Times New Roman"/>
          <w:sz w:val="24"/>
          <w:szCs w:val="24"/>
          <w:lang w:val="en-US"/>
        </w:rPr>
        <w:fldChar w:fldCharType="end"/>
      </w:r>
      <w:r w:rsidR="007127C4" w:rsidRPr="007720BC">
        <w:rPr>
          <w:rFonts w:ascii="Times New Roman" w:hAnsi="Times New Roman" w:cs="Times New Roman"/>
          <w:sz w:val="24"/>
          <w:szCs w:val="24"/>
          <w:lang w:val="en-US"/>
        </w:rPr>
        <w:t xml:space="preserve"> </w:t>
      </w:r>
      <w:proofErr w:type="spellStart"/>
      <w:r w:rsidR="00486FF0" w:rsidRPr="007720BC">
        <w:rPr>
          <w:rFonts w:ascii="Times New Roman" w:hAnsi="Times New Roman" w:cs="Times New Roman"/>
          <w:sz w:val="24"/>
          <w:szCs w:val="24"/>
          <w:lang w:val="en-US"/>
        </w:rPr>
        <w:t>tentang</w:t>
      </w:r>
      <w:proofErr w:type="spellEnd"/>
      <w:r w:rsidR="00486FF0" w:rsidRPr="007720BC">
        <w:rPr>
          <w:rFonts w:ascii="Times New Roman" w:hAnsi="Times New Roman" w:cs="Times New Roman"/>
          <w:sz w:val="24"/>
          <w:szCs w:val="24"/>
          <w:lang w:val="en-US"/>
        </w:rPr>
        <w:t xml:space="preserve"> </w:t>
      </w:r>
      <w:proofErr w:type="spellStart"/>
      <w:r w:rsidR="00486FF0" w:rsidRPr="007720BC">
        <w:rPr>
          <w:rFonts w:ascii="Times New Roman" w:hAnsi="Times New Roman" w:cs="Times New Roman"/>
          <w:sz w:val="24"/>
          <w:szCs w:val="24"/>
        </w:rPr>
        <w:t>adanya</w:t>
      </w:r>
      <w:proofErr w:type="spellEnd"/>
      <w:r w:rsidR="00486FF0" w:rsidRPr="007720BC">
        <w:rPr>
          <w:rFonts w:ascii="Times New Roman" w:hAnsi="Times New Roman" w:cs="Times New Roman"/>
          <w:sz w:val="24"/>
          <w:szCs w:val="24"/>
        </w:rPr>
        <w:t xml:space="preserve"> </w:t>
      </w:r>
      <w:proofErr w:type="spellStart"/>
      <w:r w:rsidR="00486FF0" w:rsidRPr="007720BC">
        <w:rPr>
          <w:rFonts w:ascii="Times New Roman" w:hAnsi="Times New Roman" w:cs="Times New Roman"/>
          <w:sz w:val="24"/>
          <w:szCs w:val="24"/>
        </w:rPr>
        <w:t>penolakan</w:t>
      </w:r>
      <w:proofErr w:type="spellEnd"/>
      <w:r w:rsidR="00486FF0" w:rsidRPr="007720BC">
        <w:rPr>
          <w:rFonts w:ascii="Times New Roman" w:hAnsi="Times New Roman" w:cs="Times New Roman"/>
          <w:sz w:val="24"/>
          <w:szCs w:val="24"/>
        </w:rPr>
        <w:t xml:space="preserve"> </w:t>
      </w:r>
      <w:proofErr w:type="spellStart"/>
      <w:r w:rsidR="00486FF0" w:rsidRPr="007720BC">
        <w:rPr>
          <w:rFonts w:ascii="Times New Roman" w:hAnsi="Times New Roman" w:cs="Times New Roman"/>
          <w:sz w:val="24"/>
          <w:szCs w:val="24"/>
        </w:rPr>
        <w:t>masyarakat</w:t>
      </w:r>
      <w:proofErr w:type="spellEnd"/>
      <w:r w:rsidR="00486FF0" w:rsidRPr="007720BC">
        <w:rPr>
          <w:rFonts w:ascii="Times New Roman" w:hAnsi="Times New Roman" w:cs="Times New Roman"/>
          <w:sz w:val="24"/>
          <w:szCs w:val="24"/>
        </w:rPr>
        <w:t xml:space="preserve"> </w:t>
      </w:r>
      <w:proofErr w:type="spellStart"/>
      <w:r w:rsidR="00486FF0" w:rsidRPr="007720BC">
        <w:rPr>
          <w:rFonts w:ascii="Times New Roman" w:hAnsi="Times New Roman" w:cs="Times New Roman"/>
          <w:sz w:val="24"/>
          <w:szCs w:val="24"/>
        </w:rPr>
        <w:t>terhadap</w:t>
      </w:r>
      <w:proofErr w:type="spellEnd"/>
      <w:r w:rsidR="00486FF0" w:rsidRPr="007720BC">
        <w:rPr>
          <w:rFonts w:ascii="Times New Roman" w:hAnsi="Times New Roman" w:cs="Times New Roman"/>
          <w:sz w:val="24"/>
          <w:szCs w:val="24"/>
        </w:rPr>
        <w:t xml:space="preserve"> </w:t>
      </w:r>
      <w:proofErr w:type="spellStart"/>
      <w:r w:rsidR="00486FF0" w:rsidRPr="007720BC">
        <w:rPr>
          <w:rFonts w:ascii="Times New Roman" w:hAnsi="Times New Roman" w:cs="Times New Roman"/>
          <w:sz w:val="24"/>
          <w:szCs w:val="24"/>
        </w:rPr>
        <w:t>imunisasi</w:t>
      </w:r>
      <w:proofErr w:type="spellEnd"/>
      <w:r w:rsidR="00486FF0" w:rsidRPr="007720BC">
        <w:rPr>
          <w:rFonts w:ascii="Times New Roman" w:hAnsi="Times New Roman" w:cs="Times New Roman"/>
          <w:sz w:val="24"/>
          <w:szCs w:val="24"/>
        </w:rPr>
        <w:t xml:space="preserve"> </w:t>
      </w:r>
      <w:proofErr w:type="spellStart"/>
      <w:r w:rsidR="00486FF0" w:rsidRPr="007720BC">
        <w:rPr>
          <w:rFonts w:ascii="Times New Roman" w:hAnsi="Times New Roman" w:cs="Times New Roman"/>
          <w:sz w:val="24"/>
          <w:szCs w:val="24"/>
        </w:rPr>
        <w:t>dasar</w:t>
      </w:r>
      <w:proofErr w:type="spellEnd"/>
      <w:r w:rsidR="00486FF0" w:rsidRPr="007720BC">
        <w:rPr>
          <w:rFonts w:ascii="Times New Roman" w:hAnsi="Times New Roman" w:cs="Times New Roman"/>
          <w:sz w:val="24"/>
          <w:szCs w:val="24"/>
        </w:rPr>
        <w:t xml:space="preserve"> </w:t>
      </w:r>
      <w:proofErr w:type="spellStart"/>
      <w:r w:rsidR="00486FF0" w:rsidRPr="007720BC">
        <w:rPr>
          <w:rFonts w:ascii="Times New Roman" w:hAnsi="Times New Roman" w:cs="Times New Roman"/>
          <w:sz w:val="24"/>
          <w:szCs w:val="24"/>
        </w:rPr>
        <w:t>lengkap</w:t>
      </w:r>
      <w:proofErr w:type="spellEnd"/>
      <w:r w:rsidR="00486FF0" w:rsidRPr="007720BC">
        <w:rPr>
          <w:rFonts w:ascii="Times New Roman" w:hAnsi="Times New Roman" w:cs="Times New Roman"/>
          <w:sz w:val="24"/>
          <w:szCs w:val="24"/>
        </w:rPr>
        <w:t xml:space="preserve"> </w:t>
      </w:r>
      <w:proofErr w:type="spellStart"/>
      <w:r w:rsidR="00486FF0" w:rsidRPr="007720BC">
        <w:rPr>
          <w:rFonts w:ascii="Times New Roman" w:hAnsi="Times New Roman" w:cs="Times New Roman"/>
          <w:sz w:val="24"/>
          <w:szCs w:val="24"/>
        </w:rPr>
        <w:t>bagi</w:t>
      </w:r>
      <w:proofErr w:type="spellEnd"/>
      <w:r w:rsidR="00486FF0" w:rsidRPr="007720BC">
        <w:rPr>
          <w:rFonts w:ascii="Times New Roman" w:hAnsi="Times New Roman" w:cs="Times New Roman"/>
          <w:sz w:val="24"/>
          <w:szCs w:val="24"/>
        </w:rPr>
        <w:t xml:space="preserve"> </w:t>
      </w:r>
      <w:proofErr w:type="spellStart"/>
      <w:r w:rsidR="00486FF0" w:rsidRPr="007720BC">
        <w:rPr>
          <w:rFonts w:ascii="Times New Roman" w:hAnsi="Times New Roman" w:cs="Times New Roman"/>
          <w:sz w:val="24"/>
          <w:szCs w:val="24"/>
        </w:rPr>
        <w:t>balita</w:t>
      </w:r>
      <w:proofErr w:type="spellEnd"/>
      <w:r w:rsidR="00486FF0" w:rsidRPr="007720BC">
        <w:rPr>
          <w:rFonts w:ascii="Times New Roman" w:hAnsi="Times New Roman" w:cs="Times New Roman"/>
          <w:sz w:val="24"/>
          <w:szCs w:val="24"/>
        </w:rPr>
        <w:t xml:space="preserve"> </w:t>
      </w:r>
      <w:proofErr w:type="spellStart"/>
      <w:r w:rsidR="00486FF0" w:rsidRPr="007720BC">
        <w:rPr>
          <w:rFonts w:ascii="Times New Roman" w:hAnsi="Times New Roman" w:cs="Times New Roman"/>
          <w:sz w:val="24"/>
          <w:szCs w:val="24"/>
        </w:rPr>
        <w:t>menyimpulkan</w:t>
      </w:r>
      <w:proofErr w:type="spellEnd"/>
      <w:r w:rsidR="00486FF0" w:rsidRPr="007720BC">
        <w:rPr>
          <w:rFonts w:ascii="Times New Roman" w:hAnsi="Times New Roman" w:cs="Times New Roman"/>
          <w:sz w:val="24"/>
          <w:szCs w:val="24"/>
        </w:rPr>
        <w:t xml:space="preserve"> </w:t>
      </w:r>
      <w:proofErr w:type="spellStart"/>
      <w:r w:rsidR="00486FF0" w:rsidRPr="007720BC">
        <w:rPr>
          <w:rFonts w:ascii="Times New Roman" w:hAnsi="Times New Roman" w:cs="Times New Roman"/>
          <w:sz w:val="24"/>
          <w:szCs w:val="24"/>
        </w:rPr>
        <w:t>pentinya</w:t>
      </w:r>
      <w:proofErr w:type="spellEnd"/>
      <w:r w:rsidR="00486FF0" w:rsidRPr="007720BC">
        <w:rPr>
          <w:rFonts w:ascii="Times New Roman" w:hAnsi="Times New Roman" w:cs="Times New Roman"/>
          <w:sz w:val="24"/>
          <w:szCs w:val="24"/>
        </w:rPr>
        <w:t xml:space="preserve"> </w:t>
      </w:r>
      <w:r w:rsidR="00486FF0" w:rsidRPr="007720BC">
        <w:rPr>
          <w:rStyle w:val="rynqvb"/>
          <w:rFonts w:ascii="Times New Roman" w:hAnsi="Times New Roman" w:cs="Times New Roman"/>
          <w:sz w:val="24"/>
          <w:szCs w:val="24"/>
          <w:lang w:val="id-ID"/>
        </w:rPr>
        <w:t>informasi mengenai informasi imunisasi yang tepat dan mudah diakses oleh masyarakat</w:t>
      </w:r>
      <w:r w:rsidR="00486FF0" w:rsidRPr="007720BC">
        <w:rPr>
          <w:rStyle w:val="rynqvb"/>
          <w:rFonts w:ascii="Times New Roman" w:hAnsi="Times New Roman" w:cs="Times New Roman"/>
          <w:sz w:val="24"/>
          <w:szCs w:val="24"/>
          <w:lang w:val="en-US"/>
        </w:rPr>
        <w:t xml:space="preserve"> dan p</w:t>
      </w:r>
      <w:r w:rsidR="00486FF0" w:rsidRPr="007720BC">
        <w:rPr>
          <w:rStyle w:val="rynqvb"/>
          <w:rFonts w:ascii="Times New Roman" w:hAnsi="Times New Roman" w:cs="Times New Roman"/>
          <w:sz w:val="24"/>
          <w:szCs w:val="24"/>
          <w:lang w:val="id-ID"/>
        </w:rPr>
        <w:t>erlunya pendidikan kesehatan mengenai upaya pencegahan penyakit menular oleh Dinas Kesehatan.</w:t>
      </w:r>
      <w:r w:rsidR="00C06B13" w:rsidRPr="007720BC">
        <w:rPr>
          <w:rFonts w:ascii="Times New Roman" w:hAnsi="Times New Roman" w:cs="Times New Roman"/>
          <w:sz w:val="24"/>
          <w:szCs w:val="24"/>
          <w:lang w:val="en-US"/>
        </w:rPr>
        <w:t xml:space="preserve"> </w:t>
      </w:r>
      <w:proofErr w:type="spellStart"/>
      <w:r w:rsidR="00486FF0" w:rsidRPr="007720BC">
        <w:rPr>
          <w:rFonts w:ascii="Times New Roman" w:hAnsi="Times New Roman" w:cs="Times New Roman"/>
          <w:sz w:val="24"/>
          <w:szCs w:val="24"/>
          <w:lang w:val="en-US"/>
        </w:rPr>
        <w:t>Menurut</w:t>
      </w:r>
      <w:proofErr w:type="spellEnd"/>
      <w:r w:rsidR="00486FF0" w:rsidRPr="007720BC">
        <w:rPr>
          <w:rFonts w:ascii="Times New Roman" w:hAnsi="Times New Roman" w:cs="Times New Roman"/>
          <w:sz w:val="24"/>
          <w:szCs w:val="24"/>
          <w:lang w:val="en-US"/>
        </w:rPr>
        <w:t xml:space="preserve"> </w:t>
      </w:r>
      <w:r w:rsidR="0040400D" w:rsidRPr="007720BC">
        <w:rPr>
          <w:rStyle w:val="rynqvb"/>
          <w:rFonts w:ascii="Times New Roman" w:hAnsi="Times New Roman" w:cs="Times New Roman"/>
          <w:sz w:val="24"/>
          <w:szCs w:val="24"/>
          <w:lang w:val="en-US"/>
        </w:rPr>
        <w:fldChar w:fldCharType="begin" w:fldLock="1"/>
      </w:r>
      <w:r w:rsidR="00327105" w:rsidRPr="007720BC">
        <w:rPr>
          <w:rStyle w:val="rynqvb"/>
          <w:rFonts w:ascii="Times New Roman" w:hAnsi="Times New Roman" w:cs="Times New Roman"/>
          <w:sz w:val="24"/>
          <w:szCs w:val="24"/>
          <w:lang w:val="en-US"/>
        </w:rPr>
        <w:instrText>ADDIN CSL_CITATION {"citationItems":[{"id":"ITEM-1","itemData":{"DOI":"10.1093/ajcn/nqaa164","ISSN":"19383207","PMID":"32860403","abstract":"Background: Peru reduced its under-5 child stunting prevalence notably from 31.3% in 2000 to 13.1% in 2016. Objectives: We aimed to study factors and key enablers of child stunting reduction in Peru from 2000–2016. Methods: Demographic and Health Surveys were used to conduct descriptive analyses [height-for-age z scores (HAZ) means and distributions, equity analysis, predicted child growth curves through polynomial regressions] and advanced regression analyses. An ecological (at department level) multilevel regression analysis was conducted to identify the major predictors of stunting decline from 2000 to 2016, and Oaxaca–Blinder decomposition was conducted to identify the relative contribution of each factor to child HAZ change. A systematic literature review, policy and program analysis, and interviews with relevant stakeholders were conducted to understand key drivers of stunting decline in Peru. Results: The distribution of HAZ scores showed a slight rightward shift from 2000 to 2007/2008, and a greater shift from 2007/2008 to 2016. Stunting reduction was higher in the lowest wealth quintile, in rural areas, and among children with the least educated mothers. Decomposing predicted changes showed that the most important factors were increased maternal BMI and maternal height, improved maternal and newborn health care, increased parental education, migration to urban areas, and reduced fertility. Key drivers included the advocacy role of civil society and political leadership around poverty and stunting reduction since the early 2000s. Key enablers included the economic growth and the consolidation of democracy since the early 2000s, and the acknowledgement that stunting reduction needs much more than food supplementation. Conclusions: Peru reduced child stunting owing to improved socioeconomic determinants, sustained implementation of out-of-health-sector and within-health-sector changes, and implementation of health interventions. These efforts were driven through a multisectoral approach, strong civil society advocacy, and keen political leadership. Peru’s experience offers useful lessons on how to tackle the problem of stunting under differing scenarios, with the participation of multiple sectors. Am J Clin Nutr 2020;112(Suppl):816S–829S.","author":[{"dropping-particle":"","family":"Huicho","given":"Luis","non-dropping-particle":"","parse-names":false,"suffix":""},{"dropping-particle":"","family":"Vidal-Cárdenas","given":"Elisa","non-dropping-particle":"","parse-names":false,"suffix":""},{"dropping-particle":"","family":"Akseer","given":"Nadia","non-dropping-particle":"","parse-names":false,"suffix":""},{"dropping-particle":"","family":"Brar","given":"Samanpreet","non-dropping-particle":"","parse-names":false,"suffix":""},{"dropping-particle":"","family":"Conway","given":"Kaitlin","non-dropping-particle":"","parse-names":false,"suffix":""},{"dropping-particle":"","family":"Islam","given":"Muhammad","non-dropping-particle":"","parse-names":false,"suffix":""},{"dropping-particle":"","family":"Juarez","given":"Elisa","non-dropping-particle":"","parse-names":false,"suffix":""},{"dropping-particle":"","family":"Rappaport","given":"Aviva","non-dropping-particle":"","parse-names":false,"suffix":""},{"dropping-particle":"","family":"Tasic","given":"Hana","non-dropping-particle":"","parse-names":false,"suffix":""},{"dropping-particle":"","family":"Vaivada","given":"Tyler","non-dropping-particle":"","parse-names":false,"suffix":""},{"dropping-particle":"","family":"Wigle","given":"Jannah","non-dropping-particle":"","parse-names":false,"suffix":""},{"dropping-particle":"","family":"Bhutta","given":"Zulfiqar A.","non-dropping-particle":"","parse-names":false,"suffix":""}],"container-title":"American Journal of Clinical Nutrition","id":"ITEM-1","issued":{"date-parts":[["2020"]]},"page":"816S-829S","publisher":"American Society for Nutrition.","title":"Drivers of stunting reduction in Peru: A country case study","type":"article-journal","volume":"112"},"uris":["http://www.mendeley.com/documents/?uuid=a3cae4eb-710d-4643-8127-5848192f7479"]}],"mendeley":{"formattedCitation":"(Huicho et al. 2020)","plainTextFormattedCitation":"(Huicho et al. 2020)","previouslyFormattedCitation":"(Huicho et al. 2020)"},"properties":{"noteIndex":0},"schema":"https://github.com/citation-style-language/schema/raw/master/csl-citation.json"}</w:instrText>
      </w:r>
      <w:r w:rsidR="0040400D" w:rsidRPr="007720BC">
        <w:rPr>
          <w:rStyle w:val="rynqvb"/>
          <w:rFonts w:ascii="Times New Roman" w:hAnsi="Times New Roman" w:cs="Times New Roman"/>
          <w:sz w:val="24"/>
          <w:szCs w:val="24"/>
          <w:lang w:val="en-US"/>
        </w:rPr>
        <w:fldChar w:fldCharType="separate"/>
      </w:r>
      <w:r w:rsidR="0040400D" w:rsidRPr="007720BC">
        <w:rPr>
          <w:rStyle w:val="rynqvb"/>
          <w:rFonts w:ascii="Times New Roman" w:hAnsi="Times New Roman" w:cs="Times New Roman"/>
          <w:noProof/>
          <w:sz w:val="24"/>
          <w:szCs w:val="24"/>
          <w:lang w:val="en-US"/>
        </w:rPr>
        <w:t>(Huicho et al. 2020)</w:t>
      </w:r>
      <w:r w:rsidR="0040400D" w:rsidRPr="007720BC">
        <w:rPr>
          <w:rStyle w:val="rynqvb"/>
          <w:rFonts w:ascii="Times New Roman" w:hAnsi="Times New Roman" w:cs="Times New Roman"/>
          <w:sz w:val="24"/>
          <w:szCs w:val="24"/>
          <w:lang w:val="en-US"/>
        </w:rPr>
        <w:fldChar w:fldCharType="end"/>
      </w:r>
      <w:r w:rsidR="00486FF0" w:rsidRPr="007720BC">
        <w:rPr>
          <w:rStyle w:val="rynqvb"/>
          <w:rFonts w:ascii="Times New Roman" w:hAnsi="Times New Roman" w:cs="Times New Roman"/>
          <w:sz w:val="24"/>
          <w:szCs w:val="24"/>
          <w:lang w:val="en-US"/>
        </w:rPr>
        <w:t xml:space="preserve"> </w:t>
      </w:r>
      <w:proofErr w:type="spellStart"/>
      <w:r w:rsidR="00486FF0" w:rsidRPr="007720BC">
        <w:rPr>
          <w:rFonts w:ascii="Times New Roman" w:hAnsi="Times New Roman" w:cs="Times New Roman"/>
          <w:sz w:val="24"/>
          <w:szCs w:val="24"/>
          <w:lang w:val="en-US"/>
        </w:rPr>
        <w:t>mendorong</w:t>
      </w:r>
      <w:proofErr w:type="spellEnd"/>
      <w:r w:rsidR="00486FF0" w:rsidRPr="007720BC">
        <w:rPr>
          <w:rFonts w:ascii="Times New Roman" w:hAnsi="Times New Roman" w:cs="Times New Roman"/>
          <w:sz w:val="24"/>
          <w:szCs w:val="24"/>
          <w:lang w:val="en-US"/>
        </w:rPr>
        <w:t xml:space="preserve"> </w:t>
      </w:r>
      <w:r w:rsidR="00486FF0" w:rsidRPr="007720BC">
        <w:rPr>
          <w:rStyle w:val="rynqvb"/>
          <w:rFonts w:ascii="Times New Roman" w:hAnsi="Times New Roman" w:cs="Times New Roman"/>
          <w:sz w:val="24"/>
          <w:szCs w:val="24"/>
          <w:lang w:val="id-ID"/>
        </w:rPr>
        <w:t xml:space="preserve">pendekatan multisektoral, advokasi masyarakat sipil </w:t>
      </w:r>
      <w:r w:rsidR="00486FF0" w:rsidRPr="007720BC">
        <w:rPr>
          <w:rStyle w:val="rynqvb"/>
          <w:rFonts w:ascii="Times New Roman" w:hAnsi="Times New Roman" w:cs="Times New Roman"/>
          <w:sz w:val="24"/>
          <w:szCs w:val="24"/>
          <w:lang w:val="en-US"/>
        </w:rPr>
        <w:t xml:space="preserve">dan </w:t>
      </w:r>
      <w:r w:rsidR="00486FF0" w:rsidRPr="007720BC">
        <w:rPr>
          <w:rStyle w:val="rynqvb"/>
          <w:rFonts w:ascii="Times New Roman" w:hAnsi="Times New Roman" w:cs="Times New Roman"/>
          <w:sz w:val="24"/>
          <w:szCs w:val="24"/>
          <w:lang w:val="id-ID"/>
        </w:rPr>
        <w:t xml:space="preserve">partisipasi </w:t>
      </w:r>
      <w:proofErr w:type="spellStart"/>
      <w:r w:rsidR="00486FF0" w:rsidRPr="007720BC">
        <w:rPr>
          <w:rStyle w:val="rynqvb"/>
          <w:rFonts w:ascii="Times New Roman" w:hAnsi="Times New Roman" w:cs="Times New Roman"/>
          <w:sz w:val="24"/>
          <w:szCs w:val="24"/>
          <w:lang w:val="en-US"/>
        </w:rPr>
        <w:t>dengan</w:t>
      </w:r>
      <w:proofErr w:type="spellEnd"/>
      <w:r w:rsidR="00486FF0" w:rsidRPr="007720BC">
        <w:rPr>
          <w:rStyle w:val="rynqvb"/>
          <w:rFonts w:ascii="Times New Roman" w:hAnsi="Times New Roman" w:cs="Times New Roman"/>
          <w:sz w:val="24"/>
          <w:szCs w:val="24"/>
          <w:lang w:val="en-US"/>
        </w:rPr>
        <w:t xml:space="preserve"> </w:t>
      </w:r>
      <w:r w:rsidR="00486FF0" w:rsidRPr="007720BC">
        <w:rPr>
          <w:rStyle w:val="rynqvb"/>
          <w:rFonts w:ascii="Times New Roman" w:hAnsi="Times New Roman" w:cs="Times New Roman"/>
          <w:sz w:val="24"/>
          <w:szCs w:val="24"/>
          <w:lang w:val="id-ID"/>
        </w:rPr>
        <w:t>berbagai sektor</w:t>
      </w:r>
      <w:r w:rsidR="00486FF0" w:rsidRPr="007720BC">
        <w:rPr>
          <w:rStyle w:val="rynqvb"/>
          <w:rFonts w:ascii="Times New Roman" w:hAnsi="Times New Roman" w:cs="Times New Roman"/>
          <w:sz w:val="24"/>
          <w:szCs w:val="24"/>
          <w:lang w:val="en-US"/>
        </w:rPr>
        <w:t xml:space="preserve"> </w:t>
      </w:r>
      <w:proofErr w:type="spellStart"/>
      <w:r w:rsidR="00486FF0" w:rsidRPr="007720BC">
        <w:rPr>
          <w:rStyle w:val="rynqvb"/>
          <w:rFonts w:ascii="Times New Roman" w:hAnsi="Times New Roman" w:cs="Times New Roman"/>
          <w:sz w:val="24"/>
          <w:szCs w:val="24"/>
          <w:lang w:val="en-US"/>
        </w:rPr>
        <w:t>menjadi</w:t>
      </w:r>
      <w:proofErr w:type="spellEnd"/>
      <w:r w:rsidR="00486FF0" w:rsidRPr="007720BC">
        <w:rPr>
          <w:rStyle w:val="rynqvb"/>
          <w:rFonts w:ascii="Times New Roman" w:hAnsi="Times New Roman" w:cs="Times New Roman"/>
          <w:sz w:val="24"/>
          <w:szCs w:val="24"/>
          <w:lang w:val="en-US"/>
        </w:rPr>
        <w:t xml:space="preserve"> </w:t>
      </w:r>
      <w:proofErr w:type="spellStart"/>
      <w:r w:rsidR="00486FF0" w:rsidRPr="007720BC">
        <w:rPr>
          <w:rStyle w:val="rynqvb"/>
          <w:rFonts w:ascii="Times New Roman" w:hAnsi="Times New Roman" w:cs="Times New Roman"/>
          <w:sz w:val="24"/>
          <w:szCs w:val="24"/>
          <w:lang w:val="en-US"/>
        </w:rPr>
        <w:t>faktor</w:t>
      </w:r>
      <w:proofErr w:type="spellEnd"/>
      <w:r w:rsidR="00486FF0" w:rsidRPr="007720BC">
        <w:rPr>
          <w:rStyle w:val="rynqvb"/>
          <w:rFonts w:ascii="Times New Roman" w:hAnsi="Times New Roman" w:cs="Times New Roman"/>
          <w:sz w:val="24"/>
          <w:szCs w:val="24"/>
          <w:lang w:val="en-US"/>
        </w:rPr>
        <w:t xml:space="preserve"> </w:t>
      </w:r>
      <w:proofErr w:type="spellStart"/>
      <w:r w:rsidR="00486FF0" w:rsidRPr="007720BC">
        <w:rPr>
          <w:rStyle w:val="rynqvb"/>
          <w:rFonts w:ascii="Times New Roman" w:hAnsi="Times New Roman" w:cs="Times New Roman"/>
          <w:sz w:val="24"/>
          <w:szCs w:val="24"/>
          <w:lang w:val="en-US"/>
        </w:rPr>
        <w:t>penting</w:t>
      </w:r>
      <w:proofErr w:type="spellEnd"/>
      <w:r w:rsidR="00486FF0" w:rsidRPr="007720BC">
        <w:rPr>
          <w:rStyle w:val="rynqvb"/>
          <w:rFonts w:ascii="Times New Roman" w:hAnsi="Times New Roman" w:cs="Times New Roman"/>
          <w:sz w:val="24"/>
          <w:szCs w:val="24"/>
          <w:lang w:val="en-US"/>
        </w:rPr>
        <w:t xml:space="preserve"> </w:t>
      </w:r>
      <w:proofErr w:type="spellStart"/>
      <w:r w:rsidR="00486FF0" w:rsidRPr="007720BC">
        <w:rPr>
          <w:rStyle w:val="rynqvb"/>
          <w:rFonts w:ascii="Times New Roman" w:hAnsi="Times New Roman" w:cs="Times New Roman"/>
          <w:sz w:val="24"/>
          <w:szCs w:val="24"/>
          <w:lang w:val="en-US"/>
        </w:rPr>
        <w:t>keberhasilan</w:t>
      </w:r>
      <w:proofErr w:type="spellEnd"/>
      <w:r w:rsidR="00486FF0" w:rsidRPr="007720BC">
        <w:rPr>
          <w:rStyle w:val="rynqvb"/>
          <w:rFonts w:ascii="Times New Roman" w:hAnsi="Times New Roman" w:cs="Times New Roman"/>
          <w:sz w:val="24"/>
          <w:szCs w:val="24"/>
          <w:lang w:val="en-US"/>
        </w:rPr>
        <w:t xml:space="preserve"> </w:t>
      </w:r>
      <w:proofErr w:type="spellStart"/>
      <w:r w:rsidR="00486FF0" w:rsidRPr="007720BC">
        <w:rPr>
          <w:rStyle w:val="rynqvb"/>
          <w:rFonts w:ascii="Times New Roman" w:hAnsi="Times New Roman" w:cs="Times New Roman"/>
          <w:sz w:val="24"/>
          <w:szCs w:val="24"/>
          <w:lang w:val="en-US"/>
        </w:rPr>
        <w:t>dalam</w:t>
      </w:r>
      <w:proofErr w:type="spellEnd"/>
      <w:r w:rsidR="00486FF0" w:rsidRPr="007720BC">
        <w:rPr>
          <w:rStyle w:val="rynqvb"/>
          <w:rFonts w:ascii="Times New Roman" w:hAnsi="Times New Roman" w:cs="Times New Roman"/>
          <w:sz w:val="24"/>
          <w:szCs w:val="24"/>
          <w:lang w:val="en-US"/>
        </w:rPr>
        <w:t xml:space="preserve"> </w:t>
      </w:r>
      <w:proofErr w:type="spellStart"/>
      <w:r w:rsidR="00486FF0" w:rsidRPr="007720BC">
        <w:rPr>
          <w:rStyle w:val="rynqvb"/>
          <w:rFonts w:ascii="Times New Roman" w:hAnsi="Times New Roman" w:cs="Times New Roman"/>
          <w:sz w:val="24"/>
          <w:szCs w:val="24"/>
          <w:lang w:val="en-US"/>
        </w:rPr>
        <w:t>merubah</w:t>
      </w:r>
      <w:proofErr w:type="spellEnd"/>
      <w:r w:rsidR="00486FF0" w:rsidRPr="007720BC">
        <w:rPr>
          <w:rStyle w:val="rynqvb"/>
          <w:rFonts w:ascii="Times New Roman" w:hAnsi="Times New Roman" w:cs="Times New Roman"/>
          <w:sz w:val="24"/>
          <w:szCs w:val="24"/>
          <w:lang w:val="en-US"/>
        </w:rPr>
        <w:t xml:space="preserve"> </w:t>
      </w:r>
      <w:proofErr w:type="spellStart"/>
      <w:r w:rsidR="00486FF0" w:rsidRPr="007720BC">
        <w:rPr>
          <w:rStyle w:val="rynqvb"/>
          <w:rFonts w:ascii="Times New Roman" w:hAnsi="Times New Roman" w:cs="Times New Roman"/>
          <w:sz w:val="24"/>
          <w:szCs w:val="24"/>
          <w:lang w:val="en-US"/>
        </w:rPr>
        <w:t>pemahaman</w:t>
      </w:r>
      <w:proofErr w:type="spellEnd"/>
      <w:r w:rsidR="00486FF0" w:rsidRPr="007720BC">
        <w:rPr>
          <w:rStyle w:val="rynqvb"/>
          <w:rFonts w:ascii="Times New Roman" w:hAnsi="Times New Roman" w:cs="Times New Roman"/>
          <w:sz w:val="24"/>
          <w:szCs w:val="24"/>
          <w:lang w:val="en-US"/>
        </w:rPr>
        <w:t xml:space="preserve"> dan </w:t>
      </w:r>
      <w:proofErr w:type="spellStart"/>
      <w:r w:rsidR="00486FF0" w:rsidRPr="007720BC">
        <w:rPr>
          <w:rStyle w:val="rynqvb"/>
          <w:rFonts w:ascii="Times New Roman" w:hAnsi="Times New Roman" w:cs="Times New Roman"/>
          <w:sz w:val="24"/>
          <w:szCs w:val="24"/>
          <w:lang w:val="en-US"/>
        </w:rPr>
        <w:t>perilaku</w:t>
      </w:r>
      <w:proofErr w:type="spellEnd"/>
      <w:r w:rsidR="00486FF0" w:rsidRPr="007720BC">
        <w:rPr>
          <w:rStyle w:val="rynqvb"/>
          <w:rFonts w:ascii="Times New Roman" w:hAnsi="Times New Roman" w:cs="Times New Roman"/>
          <w:sz w:val="24"/>
          <w:szCs w:val="24"/>
          <w:lang w:val="en-US"/>
        </w:rPr>
        <w:t xml:space="preserve"> </w:t>
      </w:r>
      <w:proofErr w:type="spellStart"/>
      <w:r w:rsidR="00486FF0" w:rsidRPr="007720BC">
        <w:rPr>
          <w:rStyle w:val="rynqvb"/>
          <w:rFonts w:ascii="Times New Roman" w:hAnsi="Times New Roman" w:cs="Times New Roman"/>
          <w:sz w:val="24"/>
          <w:szCs w:val="24"/>
          <w:lang w:val="en-US"/>
        </w:rPr>
        <w:t>masyarakat</w:t>
      </w:r>
      <w:proofErr w:type="spellEnd"/>
      <w:r w:rsidR="00486FF0" w:rsidRPr="007720BC">
        <w:rPr>
          <w:rStyle w:val="rynqvb"/>
          <w:rFonts w:ascii="Times New Roman" w:hAnsi="Times New Roman" w:cs="Times New Roman"/>
          <w:sz w:val="24"/>
          <w:szCs w:val="24"/>
          <w:lang w:val="en-US"/>
        </w:rPr>
        <w:t xml:space="preserve"> </w:t>
      </w:r>
      <w:proofErr w:type="spellStart"/>
      <w:r w:rsidR="00F1353F" w:rsidRPr="007720BC">
        <w:rPr>
          <w:rStyle w:val="rynqvb"/>
          <w:rFonts w:ascii="Times New Roman" w:hAnsi="Times New Roman" w:cs="Times New Roman"/>
          <w:sz w:val="24"/>
          <w:szCs w:val="24"/>
          <w:lang w:val="en-US"/>
        </w:rPr>
        <w:t>Selanjutnya</w:t>
      </w:r>
      <w:proofErr w:type="spellEnd"/>
      <w:r w:rsidR="00F1353F" w:rsidRPr="007720BC">
        <w:rPr>
          <w:rStyle w:val="rynqvb"/>
          <w:rFonts w:ascii="Times New Roman" w:hAnsi="Times New Roman" w:cs="Times New Roman"/>
          <w:sz w:val="24"/>
          <w:szCs w:val="24"/>
          <w:lang w:val="en-US"/>
        </w:rPr>
        <w:t xml:space="preserve"> </w:t>
      </w:r>
      <w:proofErr w:type="spellStart"/>
      <w:r w:rsidR="00F1353F" w:rsidRPr="007720BC">
        <w:rPr>
          <w:rStyle w:val="rynqvb"/>
          <w:rFonts w:ascii="Times New Roman" w:hAnsi="Times New Roman" w:cs="Times New Roman"/>
          <w:sz w:val="24"/>
          <w:szCs w:val="24"/>
          <w:lang w:val="en-US"/>
        </w:rPr>
        <w:t>permasa</w:t>
      </w:r>
      <w:r w:rsidR="00D349D8" w:rsidRPr="007720BC">
        <w:rPr>
          <w:rStyle w:val="rynqvb"/>
          <w:rFonts w:ascii="Times New Roman" w:hAnsi="Times New Roman" w:cs="Times New Roman"/>
          <w:sz w:val="24"/>
          <w:szCs w:val="24"/>
          <w:lang w:val="en-US"/>
        </w:rPr>
        <w:t>lahan</w:t>
      </w:r>
      <w:proofErr w:type="spellEnd"/>
      <w:r w:rsidR="00D349D8" w:rsidRPr="007720BC">
        <w:rPr>
          <w:rStyle w:val="rynqvb"/>
          <w:rFonts w:ascii="Times New Roman" w:hAnsi="Times New Roman" w:cs="Times New Roman"/>
          <w:sz w:val="24"/>
          <w:szCs w:val="24"/>
          <w:lang w:val="en-US"/>
        </w:rPr>
        <w:t xml:space="preserve"> </w:t>
      </w:r>
      <w:proofErr w:type="spellStart"/>
      <w:r w:rsidR="00112C9E" w:rsidRPr="007720BC">
        <w:rPr>
          <w:rFonts w:ascii="Times New Roman" w:hAnsi="Times New Roman" w:cs="Times New Roman"/>
          <w:sz w:val="24"/>
          <w:szCs w:val="24"/>
          <w:lang w:val="en-US"/>
        </w:rPr>
        <w:t>masih</w:t>
      </w:r>
      <w:proofErr w:type="spellEnd"/>
      <w:r w:rsidR="00112C9E" w:rsidRPr="007720BC">
        <w:rPr>
          <w:rFonts w:ascii="Times New Roman" w:hAnsi="Times New Roman" w:cs="Times New Roman"/>
          <w:sz w:val="24"/>
          <w:szCs w:val="24"/>
          <w:lang w:val="en-US"/>
        </w:rPr>
        <w:t xml:space="preserve"> </w:t>
      </w:r>
      <w:proofErr w:type="spellStart"/>
      <w:r w:rsidR="00112C9E" w:rsidRPr="007720BC">
        <w:rPr>
          <w:rFonts w:ascii="Times New Roman" w:hAnsi="Times New Roman" w:cs="Times New Roman"/>
          <w:sz w:val="24"/>
          <w:szCs w:val="24"/>
          <w:lang w:val="en-US"/>
        </w:rPr>
        <w:t>belum</w:t>
      </w:r>
      <w:proofErr w:type="spellEnd"/>
      <w:r w:rsidR="00112C9E" w:rsidRPr="007720BC">
        <w:rPr>
          <w:rFonts w:ascii="Times New Roman" w:hAnsi="Times New Roman" w:cs="Times New Roman"/>
          <w:sz w:val="24"/>
          <w:szCs w:val="24"/>
          <w:lang w:val="en-US"/>
        </w:rPr>
        <w:t xml:space="preserve"> </w:t>
      </w:r>
      <w:proofErr w:type="spellStart"/>
      <w:r w:rsidR="00112C9E" w:rsidRPr="007720BC">
        <w:rPr>
          <w:rFonts w:ascii="Times New Roman" w:hAnsi="Times New Roman" w:cs="Times New Roman"/>
          <w:sz w:val="24"/>
          <w:szCs w:val="24"/>
          <w:lang w:val="en-US"/>
        </w:rPr>
        <w:t>optimalnya</w:t>
      </w:r>
      <w:proofErr w:type="spellEnd"/>
      <w:r w:rsidR="00112C9E" w:rsidRPr="007720BC">
        <w:rPr>
          <w:rFonts w:ascii="Times New Roman" w:hAnsi="Times New Roman" w:cs="Times New Roman"/>
          <w:sz w:val="24"/>
          <w:szCs w:val="24"/>
          <w:lang w:val="en-US"/>
        </w:rPr>
        <w:t xml:space="preserve"> </w:t>
      </w:r>
      <w:proofErr w:type="spellStart"/>
      <w:r w:rsidR="00112C9E" w:rsidRPr="007720BC">
        <w:rPr>
          <w:rFonts w:ascii="Times New Roman" w:hAnsi="Times New Roman" w:cs="Times New Roman"/>
          <w:sz w:val="24"/>
          <w:szCs w:val="24"/>
          <w:lang w:val="en-US"/>
        </w:rPr>
        <w:t>waktu</w:t>
      </w:r>
      <w:proofErr w:type="spellEnd"/>
      <w:r w:rsidR="00112C9E" w:rsidRPr="007720BC">
        <w:rPr>
          <w:rFonts w:ascii="Times New Roman" w:hAnsi="Times New Roman" w:cs="Times New Roman"/>
          <w:sz w:val="24"/>
          <w:szCs w:val="24"/>
          <w:lang w:val="en-US"/>
        </w:rPr>
        <w:t xml:space="preserve"> yang </w:t>
      </w:r>
      <w:proofErr w:type="spellStart"/>
      <w:r w:rsidR="00112C9E" w:rsidRPr="007720BC">
        <w:rPr>
          <w:rFonts w:ascii="Times New Roman" w:hAnsi="Times New Roman" w:cs="Times New Roman"/>
          <w:sz w:val="24"/>
          <w:szCs w:val="24"/>
          <w:lang w:val="en-US"/>
        </w:rPr>
        <w:t>dimiliki</w:t>
      </w:r>
      <w:proofErr w:type="spellEnd"/>
      <w:r w:rsidR="00112C9E" w:rsidRPr="007720BC">
        <w:rPr>
          <w:rFonts w:ascii="Times New Roman" w:hAnsi="Times New Roman" w:cs="Times New Roman"/>
          <w:sz w:val="24"/>
          <w:szCs w:val="24"/>
          <w:lang w:val="en-US"/>
        </w:rPr>
        <w:t xml:space="preserve"> oleh Kader Kampung KB </w:t>
      </w:r>
      <w:proofErr w:type="spellStart"/>
      <w:r w:rsidR="00112C9E" w:rsidRPr="007720BC">
        <w:rPr>
          <w:rFonts w:ascii="Times New Roman" w:hAnsi="Times New Roman" w:cs="Times New Roman"/>
          <w:sz w:val="24"/>
          <w:szCs w:val="24"/>
          <w:lang w:val="en-US"/>
        </w:rPr>
        <w:t>dikarenakan</w:t>
      </w:r>
      <w:proofErr w:type="spellEnd"/>
      <w:r w:rsidR="00112C9E" w:rsidRPr="007720BC">
        <w:rPr>
          <w:rFonts w:ascii="Times New Roman" w:hAnsi="Times New Roman" w:cs="Times New Roman"/>
          <w:sz w:val="24"/>
          <w:szCs w:val="24"/>
          <w:lang w:val="en-US"/>
        </w:rPr>
        <w:t xml:space="preserve"> </w:t>
      </w:r>
      <w:proofErr w:type="spellStart"/>
      <w:r w:rsidR="00112C9E" w:rsidRPr="007720BC">
        <w:rPr>
          <w:rFonts w:ascii="Times New Roman" w:hAnsi="Times New Roman" w:cs="Times New Roman"/>
          <w:sz w:val="24"/>
          <w:szCs w:val="24"/>
          <w:lang w:val="en-US"/>
        </w:rPr>
        <w:t>harus</w:t>
      </w:r>
      <w:proofErr w:type="spellEnd"/>
      <w:r w:rsidR="00112C9E" w:rsidRPr="007720BC">
        <w:rPr>
          <w:rFonts w:ascii="Times New Roman" w:hAnsi="Times New Roman" w:cs="Times New Roman"/>
          <w:sz w:val="24"/>
          <w:szCs w:val="24"/>
          <w:lang w:val="en-US"/>
        </w:rPr>
        <w:t xml:space="preserve"> </w:t>
      </w:r>
      <w:proofErr w:type="spellStart"/>
      <w:r w:rsidR="00112C9E" w:rsidRPr="007720BC">
        <w:rPr>
          <w:rFonts w:ascii="Times New Roman" w:hAnsi="Times New Roman" w:cs="Times New Roman"/>
          <w:sz w:val="24"/>
          <w:szCs w:val="24"/>
          <w:lang w:val="en-US"/>
        </w:rPr>
        <w:t>berperan</w:t>
      </w:r>
      <w:proofErr w:type="spellEnd"/>
      <w:r w:rsidR="00112C9E" w:rsidRPr="007720BC">
        <w:rPr>
          <w:rFonts w:ascii="Times New Roman" w:hAnsi="Times New Roman" w:cs="Times New Roman"/>
          <w:sz w:val="24"/>
          <w:szCs w:val="24"/>
          <w:lang w:val="en-US"/>
        </w:rPr>
        <w:t xml:space="preserve"> </w:t>
      </w:r>
      <w:proofErr w:type="spellStart"/>
      <w:r w:rsidR="00112C9E" w:rsidRPr="007720BC">
        <w:rPr>
          <w:rFonts w:ascii="Times New Roman" w:hAnsi="Times New Roman" w:cs="Times New Roman"/>
          <w:sz w:val="24"/>
          <w:szCs w:val="24"/>
          <w:lang w:val="en-US"/>
        </w:rPr>
        <w:t>ganda</w:t>
      </w:r>
      <w:proofErr w:type="spellEnd"/>
      <w:r w:rsidR="00112C9E" w:rsidRPr="007720BC">
        <w:rPr>
          <w:rFonts w:ascii="Times New Roman" w:hAnsi="Times New Roman" w:cs="Times New Roman"/>
          <w:sz w:val="24"/>
          <w:szCs w:val="24"/>
          <w:lang w:val="en-US"/>
        </w:rPr>
        <w:t xml:space="preserve"> </w:t>
      </w:r>
      <w:proofErr w:type="spellStart"/>
      <w:r w:rsidR="00112C9E" w:rsidRPr="007720BC">
        <w:rPr>
          <w:rFonts w:ascii="Times New Roman" w:hAnsi="Times New Roman" w:cs="Times New Roman"/>
          <w:sz w:val="24"/>
          <w:szCs w:val="24"/>
          <w:lang w:val="en-US"/>
        </w:rPr>
        <w:t>sebagai</w:t>
      </w:r>
      <w:proofErr w:type="spellEnd"/>
      <w:r w:rsidR="00112C9E" w:rsidRPr="007720BC">
        <w:rPr>
          <w:rFonts w:ascii="Times New Roman" w:hAnsi="Times New Roman" w:cs="Times New Roman"/>
          <w:sz w:val="24"/>
          <w:szCs w:val="24"/>
          <w:lang w:val="en-US"/>
        </w:rPr>
        <w:t xml:space="preserve"> </w:t>
      </w:r>
      <w:proofErr w:type="spellStart"/>
      <w:r w:rsidR="00112C9E" w:rsidRPr="007720BC">
        <w:rPr>
          <w:rFonts w:ascii="Times New Roman" w:hAnsi="Times New Roman" w:cs="Times New Roman"/>
          <w:sz w:val="24"/>
          <w:szCs w:val="24"/>
          <w:lang w:val="en-US"/>
        </w:rPr>
        <w:t>pegawai</w:t>
      </w:r>
      <w:proofErr w:type="spellEnd"/>
      <w:r w:rsidR="00112C9E" w:rsidRPr="007720BC">
        <w:rPr>
          <w:rFonts w:ascii="Times New Roman" w:hAnsi="Times New Roman" w:cs="Times New Roman"/>
          <w:sz w:val="24"/>
          <w:szCs w:val="24"/>
          <w:lang w:val="en-US"/>
        </w:rPr>
        <w:t xml:space="preserve"> </w:t>
      </w:r>
      <w:proofErr w:type="spellStart"/>
      <w:r w:rsidR="00112C9E" w:rsidRPr="007720BC">
        <w:rPr>
          <w:rFonts w:ascii="Times New Roman" w:hAnsi="Times New Roman" w:cs="Times New Roman"/>
          <w:sz w:val="24"/>
          <w:szCs w:val="24"/>
          <w:lang w:val="en-US"/>
        </w:rPr>
        <w:t>swasta</w:t>
      </w:r>
      <w:proofErr w:type="spellEnd"/>
      <w:r w:rsidR="00112C9E" w:rsidRPr="007720BC">
        <w:rPr>
          <w:rFonts w:ascii="Times New Roman" w:hAnsi="Times New Roman" w:cs="Times New Roman"/>
          <w:sz w:val="24"/>
          <w:szCs w:val="24"/>
          <w:lang w:val="en-US"/>
        </w:rPr>
        <w:t xml:space="preserve"> dan </w:t>
      </w:r>
      <w:proofErr w:type="spellStart"/>
      <w:r w:rsidR="00112C9E" w:rsidRPr="007720BC">
        <w:rPr>
          <w:rFonts w:ascii="Times New Roman" w:hAnsi="Times New Roman" w:cs="Times New Roman"/>
          <w:sz w:val="24"/>
          <w:szCs w:val="24"/>
          <w:lang w:val="en-US"/>
        </w:rPr>
        <w:t>ibu</w:t>
      </w:r>
      <w:proofErr w:type="spellEnd"/>
      <w:r w:rsidR="00112C9E" w:rsidRPr="007720BC">
        <w:rPr>
          <w:rFonts w:ascii="Times New Roman" w:hAnsi="Times New Roman" w:cs="Times New Roman"/>
          <w:sz w:val="24"/>
          <w:szCs w:val="24"/>
          <w:lang w:val="en-US"/>
        </w:rPr>
        <w:t xml:space="preserve"> </w:t>
      </w:r>
      <w:proofErr w:type="spellStart"/>
      <w:r w:rsidR="00112C9E" w:rsidRPr="007720BC">
        <w:rPr>
          <w:rFonts w:ascii="Times New Roman" w:hAnsi="Times New Roman" w:cs="Times New Roman"/>
          <w:sz w:val="24"/>
          <w:szCs w:val="24"/>
          <w:lang w:val="en-US"/>
        </w:rPr>
        <w:t>rumah</w:t>
      </w:r>
      <w:proofErr w:type="spellEnd"/>
      <w:r w:rsidR="00112C9E" w:rsidRPr="007720BC">
        <w:rPr>
          <w:rFonts w:ascii="Times New Roman" w:hAnsi="Times New Roman" w:cs="Times New Roman"/>
          <w:sz w:val="24"/>
          <w:szCs w:val="24"/>
          <w:lang w:val="en-US"/>
        </w:rPr>
        <w:t xml:space="preserve"> </w:t>
      </w:r>
      <w:proofErr w:type="spellStart"/>
      <w:r w:rsidR="00112C9E" w:rsidRPr="007720BC">
        <w:rPr>
          <w:rFonts w:ascii="Times New Roman" w:hAnsi="Times New Roman" w:cs="Times New Roman"/>
          <w:sz w:val="24"/>
          <w:szCs w:val="24"/>
          <w:lang w:val="en-US"/>
        </w:rPr>
        <w:t>tangga</w:t>
      </w:r>
      <w:proofErr w:type="spellEnd"/>
      <w:r w:rsidR="00D349D8" w:rsidRPr="007720BC">
        <w:rPr>
          <w:rFonts w:ascii="Times New Roman" w:hAnsi="Times New Roman" w:cs="Times New Roman"/>
          <w:sz w:val="24"/>
          <w:szCs w:val="24"/>
          <w:lang w:val="en-US"/>
        </w:rPr>
        <w:t xml:space="preserve"> </w:t>
      </w:r>
      <w:proofErr w:type="spellStart"/>
      <w:r w:rsidR="00D349D8" w:rsidRPr="007720BC">
        <w:rPr>
          <w:rFonts w:ascii="Times New Roman" w:hAnsi="Times New Roman" w:cs="Times New Roman"/>
          <w:sz w:val="24"/>
          <w:szCs w:val="24"/>
          <w:lang w:val="en-US"/>
        </w:rPr>
        <w:t>dikofirmasi</w:t>
      </w:r>
      <w:proofErr w:type="spellEnd"/>
      <w:r w:rsidR="00D349D8" w:rsidRPr="007720BC">
        <w:rPr>
          <w:rFonts w:ascii="Times New Roman" w:hAnsi="Times New Roman" w:cs="Times New Roman"/>
          <w:sz w:val="24"/>
          <w:szCs w:val="24"/>
          <w:lang w:val="en-US"/>
        </w:rPr>
        <w:t xml:space="preserve"> oleh </w:t>
      </w:r>
      <w:proofErr w:type="spellStart"/>
      <w:r w:rsidR="00D349D8" w:rsidRPr="007720BC">
        <w:rPr>
          <w:rFonts w:ascii="Times New Roman" w:hAnsi="Times New Roman" w:cs="Times New Roman"/>
          <w:sz w:val="24"/>
          <w:szCs w:val="24"/>
          <w:lang w:val="en-US"/>
        </w:rPr>
        <w:t>hasil</w:t>
      </w:r>
      <w:proofErr w:type="spellEnd"/>
      <w:r w:rsidR="00D349D8" w:rsidRPr="007720BC">
        <w:rPr>
          <w:rFonts w:ascii="Times New Roman" w:hAnsi="Times New Roman" w:cs="Times New Roman"/>
          <w:sz w:val="24"/>
          <w:szCs w:val="24"/>
          <w:lang w:val="en-US"/>
        </w:rPr>
        <w:t xml:space="preserve"> p</w:t>
      </w:r>
      <w:proofErr w:type="spellStart"/>
      <w:r w:rsidR="00112C9E" w:rsidRPr="007720BC">
        <w:rPr>
          <w:rFonts w:ascii="Times New Roman" w:hAnsi="Times New Roman" w:cs="Times New Roman"/>
          <w:sz w:val="24"/>
          <w:szCs w:val="24"/>
        </w:rPr>
        <w:t>enelitian</w:t>
      </w:r>
      <w:proofErr w:type="spellEnd"/>
      <w:r w:rsidR="00112C9E" w:rsidRPr="007720BC">
        <w:rPr>
          <w:rFonts w:ascii="Times New Roman" w:hAnsi="Times New Roman" w:cs="Times New Roman"/>
          <w:sz w:val="24"/>
          <w:szCs w:val="24"/>
        </w:rPr>
        <w:t xml:space="preserve"> </w:t>
      </w:r>
      <w:r w:rsidR="00112C9E" w:rsidRPr="007720BC">
        <w:rPr>
          <w:rFonts w:ascii="Times New Roman" w:hAnsi="Times New Roman" w:cs="Times New Roman"/>
          <w:sz w:val="24"/>
          <w:szCs w:val="24"/>
        </w:rPr>
        <w:fldChar w:fldCharType="begin" w:fldLock="1"/>
      </w:r>
      <w:r w:rsidR="00112C9E" w:rsidRPr="007720BC">
        <w:rPr>
          <w:rFonts w:ascii="Times New Roman" w:hAnsi="Times New Roman" w:cs="Times New Roman"/>
          <w:sz w:val="24"/>
          <w:szCs w:val="24"/>
        </w:rPr>
        <w:instrText>ADDIN CSL_CITATION {"citationItems":[{"id":"ITEM-1","itemData":{"DOI":"10.35912/jiw.v1i1.240","abstract":"Purpose: This study aimed to determine the right training for employees of BKKBN Representative Office in Lampung province based on the results of the training needs analysis. Research methodology: This research was a quantitative research with cross sectional approach. The number of samples in this study was 336 Family Planning Instructors (PKB) in Lampung Province. The data were collected through questionnaire instruments. Results: The results of training needs analysis for PKB showed that the obstacles in carrying out the duties mostly came from the internal factors which are related to personal tasks and competencies. The training required by PKB is training related to reproductive health, advocacy skills, and utilization of technology, article making and scientific papers, problem solving techniques, and effective communication. Limitations: For further research, it is recommended that researchers conduct organizational analysis and using varied data collection methods. Contribution: The results of this study can be a reference for BKKBN Lampung Province in conducting appropriate training for family planning counsellor (PKB) so that the effectiveness and productivity of the organization increases. Keywords: Training needs analysis, Family Planning Instructors (PKB)","author":[{"dropping-particle":"","family":"Banuwa","given":"Anisa","non-dropping-particle":"","parse-names":false,"suffix":""},{"dropping-particle":"","family":"Nika Susanti","given":"Annastasia","non-dropping-particle":"","parse-names":false,"suffix":""}],"container-title":"Jurnal Ilmiah Widyaiswara","id":"ITEM-1","issue":"1","issued":{"date-parts":[["2021"]]},"page":"35-43","title":"Analisis Kebutuhan pelatihan ASN Penyuluh Keluarga Berencana (PKB) di Provinsi Lampung","type":"article-journal","volume":"1"},"uris":["http://www.mendeley.com/documents/?uuid=832eb275-72ee-4d8d-962a-c898140869cb"]}],"mendeley":{"formattedCitation":"(Banuwa dan Nika Susanti 2021)","plainTextFormattedCitation":"(Banuwa dan Nika Susanti 2021)","previouslyFormattedCitation":"(Banuwa dan Nika Susanti 2021)"},"properties":{"noteIndex":0},"schema":"https://github.com/citation-style-language/schema/raw/master/csl-citation.json"}</w:instrText>
      </w:r>
      <w:r w:rsidR="00112C9E" w:rsidRPr="007720BC">
        <w:rPr>
          <w:rFonts w:ascii="Times New Roman" w:hAnsi="Times New Roman" w:cs="Times New Roman"/>
          <w:sz w:val="24"/>
          <w:szCs w:val="24"/>
        </w:rPr>
        <w:fldChar w:fldCharType="separate"/>
      </w:r>
      <w:r w:rsidR="00112C9E" w:rsidRPr="007720BC">
        <w:rPr>
          <w:rFonts w:ascii="Times New Roman" w:hAnsi="Times New Roman" w:cs="Times New Roman"/>
          <w:noProof/>
          <w:sz w:val="24"/>
          <w:szCs w:val="24"/>
        </w:rPr>
        <w:t>(Banuwa dan Nika Susanti 2021)</w:t>
      </w:r>
      <w:r w:rsidR="00112C9E" w:rsidRPr="007720BC">
        <w:rPr>
          <w:rFonts w:ascii="Times New Roman" w:hAnsi="Times New Roman" w:cs="Times New Roman"/>
          <w:sz w:val="24"/>
          <w:szCs w:val="24"/>
        </w:rPr>
        <w:fldChar w:fldCharType="end"/>
      </w:r>
      <w:r w:rsidR="00112C9E" w:rsidRPr="007720BC">
        <w:rPr>
          <w:rFonts w:ascii="Times New Roman" w:hAnsi="Times New Roman" w:cs="Times New Roman"/>
          <w:sz w:val="24"/>
          <w:szCs w:val="24"/>
        </w:rPr>
        <w:t xml:space="preserve"> </w:t>
      </w:r>
      <w:r w:rsidR="00D349D8" w:rsidRPr="007720BC">
        <w:rPr>
          <w:rFonts w:ascii="Times New Roman" w:hAnsi="Times New Roman" w:cs="Times New Roman"/>
          <w:sz w:val="24"/>
          <w:szCs w:val="24"/>
        </w:rPr>
        <w:t xml:space="preserve">yang </w:t>
      </w:r>
      <w:proofErr w:type="spellStart"/>
      <w:r w:rsidR="00D349D8" w:rsidRPr="007720BC">
        <w:rPr>
          <w:rFonts w:ascii="Times New Roman" w:hAnsi="Times New Roman" w:cs="Times New Roman"/>
          <w:sz w:val="24"/>
          <w:szCs w:val="24"/>
        </w:rPr>
        <w:t>mengatakan</w:t>
      </w:r>
      <w:proofErr w:type="spellEnd"/>
      <w:r w:rsidR="00112C9E"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cakupan</w:t>
      </w:r>
      <w:proofErr w:type="spellEnd"/>
      <w:r w:rsidR="00D349D8" w:rsidRPr="007720BC">
        <w:rPr>
          <w:rFonts w:ascii="Times New Roman" w:hAnsi="Times New Roman" w:cs="Times New Roman"/>
          <w:sz w:val="24"/>
          <w:szCs w:val="24"/>
        </w:rPr>
        <w:t xml:space="preserve"> wilayah </w:t>
      </w:r>
      <w:proofErr w:type="spellStart"/>
      <w:r w:rsidR="00D349D8" w:rsidRPr="007720BC">
        <w:rPr>
          <w:rFonts w:ascii="Times New Roman" w:hAnsi="Times New Roman" w:cs="Times New Roman"/>
          <w:sz w:val="24"/>
          <w:szCs w:val="24"/>
        </w:rPr>
        <w:t>binaan</w:t>
      </w:r>
      <w:proofErr w:type="spellEnd"/>
      <w:r w:rsidR="00D349D8" w:rsidRPr="007720BC">
        <w:rPr>
          <w:rFonts w:ascii="Times New Roman" w:hAnsi="Times New Roman" w:cs="Times New Roman"/>
          <w:sz w:val="24"/>
          <w:szCs w:val="24"/>
        </w:rPr>
        <w:t xml:space="preserve"> yang </w:t>
      </w:r>
      <w:proofErr w:type="spellStart"/>
      <w:r w:rsidR="00D349D8" w:rsidRPr="007720BC">
        <w:rPr>
          <w:rFonts w:ascii="Times New Roman" w:hAnsi="Times New Roman" w:cs="Times New Roman"/>
          <w:sz w:val="24"/>
          <w:szCs w:val="24"/>
        </w:rPr>
        <w:t>banyak</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menyebabkan</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penanganan</w:t>
      </w:r>
      <w:proofErr w:type="spellEnd"/>
      <w:r w:rsidR="00D349D8" w:rsidRPr="007720BC">
        <w:rPr>
          <w:rFonts w:ascii="Times New Roman" w:hAnsi="Times New Roman" w:cs="Times New Roman"/>
          <w:sz w:val="24"/>
          <w:szCs w:val="24"/>
        </w:rPr>
        <w:t xml:space="preserve"> stunting </w:t>
      </w:r>
      <w:proofErr w:type="spellStart"/>
      <w:r w:rsidR="00D349D8" w:rsidRPr="007720BC">
        <w:rPr>
          <w:rFonts w:ascii="Times New Roman" w:hAnsi="Times New Roman" w:cs="Times New Roman"/>
          <w:sz w:val="24"/>
          <w:szCs w:val="24"/>
        </w:rPr>
        <w:t>menjadi</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kurang</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efektif</w:t>
      </w:r>
      <w:proofErr w:type="spellEnd"/>
      <w:r w:rsidR="00D349D8" w:rsidRPr="007720BC">
        <w:rPr>
          <w:rFonts w:ascii="Times New Roman" w:hAnsi="Times New Roman" w:cs="Times New Roman"/>
          <w:sz w:val="24"/>
          <w:szCs w:val="24"/>
        </w:rPr>
        <w:t xml:space="preserve"> dan </w:t>
      </w:r>
      <w:proofErr w:type="spellStart"/>
      <w:r w:rsidR="00D349D8" w:rsidRPr="007720BC">
        <w:rPr>
          <w:rFonts w:ascii="Times New Roman" w:hAnsi="Times New Roman" w:cs="Times New Roman"/>
          <w:sz w:val="24"/>
          <w:szCs w:val="24"/>
        </w:rPr>
        <w:t>minimnya</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jumlah</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tenaga</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penyuluh</w:t>
      </w:r>
      <w:proofErr w:type="spellEnd"/>
      <w:r w:rsidR="00D349D8" w:rsidRPr="007720BC">
        <w:rPr>
          <w:rFonts w:ascii="Times New Roman" w:hAnsi="Times New Roman" w:cs="Times New Roman"/>
          <w:sz w:val="24"/>
          <w:szCs w:val="24"/>
        </w:rPr>
        <w:t xml:space="preserve"> KB </w:t>
      </w:r>
      <w:proofErr w:type="spellStart"/>
      <w:r w:rsidR="00D349D8" w:rsidRPr="007720BC">
        <w:rPr>
          <w:rFonts w:ascii="Times New Roman" w:hAnsi="Times New Roman" w:cs="Times New Roman"/>
          <w:sz w:val="24"/>
          <w:szCs w:val="24"/>
        </w:rPr>
        <w:t>dengan</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golongan</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usia</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tua</w:t>
      </w:r>
      <w:proofErr w:type="spellEnd"/>
      <w:r w:rsidR="00D349D8" w:rsidRPr="007720BC">
        <w:rPr>
          <w:rFonts w:ascii="Times New Roman" w:hAnsi="Times New Roman" w:cs="Times New Roman"/>
          <w:sz w:val="24"/>
          <w:szCs w:val="24"/>
        </w:rPr>
        <w:t xml:space="preserve"> dan </w:t>
      </w:r>
      <w:proofErr w:type="spellStart"/>
      <w:r w:rsidR="00D349D8" w:rsidRPr="007720BC">
        <w:rPr>
          <w:rFonts w:ascii="Times New Roman" w:hAnsi="Times New Roman" w:cs="Times New Roman"/>
          <w:sz w:val="24"/>
          <w:szCs w:val="24"/>
        </w:rPr>
        <w:t>persebaran</w:t>
      </w:r>
      <w:proofErr w:type="spellEnd"/>
      <w:r w:rsidR="00D349D8" w:rsidRPr="007720BC">
        <w:rPr>
          <w:rFonts w:ascii="Times New Roman" w:hAnsi="Times New Roman" w:cs="Times New Roman"/>
          <w:sz w:val="24"/>
          <w:szCs w:val="24"/>
        </w:rPr>
        <w:t xml:space="preserve"> yang </w:t>
      </w:r>
      <w:proofErr w:type="spellStart"/>
      <w:r w:rsidR="00D349D8" w:rsidRPr="007720BC">
        <w:rPr>
          <w:rFonts w:ascii="Times New Roman" w:hAnsi="Times New Roman" w:cs="Times New Roman"/>
          <w:sz w:val="24"/>
          <w:szCs w:val="24"/>
        </w:rPr>
        <w:t>tidak</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merata</w:t>
      </w:r>
      <w:proofErr w:type="spellEnd"/>
      <w:r w:rsidR="006C6E29" w:rsidRPr="007720BC">
        <w:rPr>
          <w:rFonts w:ascii="Times New Roman" w:hAnsi="Times New Roman" w:cs="Times New Roman"/>
          <w:sz w:val="24"/>
          <w:szCs w:val="24"/>
        </w:rPr>
        <w:t xml:space="preserve"> </w:t>
      </w:r>
      <w:proofErr w:type="spellStart"/>
      <w:r w:rsidR="006C6E29" w:rsidRPr="007720BC">
        <w:rPr>
          <w:rFonts w:ascii="Times New Roman" w:hAnsi="Times New Roman" w:cs="Times New Roman"/>
          <w:sz w:val="24"/>
          <w:szCs w:val="24"/>
        </w:rPr>
        <w:t>sehingga</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mengakibatkan</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beban</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kerja</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melebihi</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standar</w:t>
      </w:r>
      <w:proofErr w:type="spellEnd"/>
      <w:r w:rsidR="00D349D8" w:rsidRPr="007720BC">
        <w:rPr>
          <w:rFonts w:ascii="Times New Roman" w:hAnsi="Times New Roman" w:cs="Times New Roman"/>
          <w:sz w:val="24"/>
          <w:szCs w:val="24"/>
        </w:rPr>
        <w:t xml:space="preserve">. Selain </w:t>
      </w:r>
      <w:proofErr w:type="spellStart"/>
      <w:r w:rsidR="00D349D8" w:rsidRPr="007720BC">
        <w:rPr>
          <w:rFonts w:ascii="Times New Roman" w:hAnsi="Times New Roman" w:cs="Times New Roman"/>
          <w:sz w:val="24"/>
          <w:szCs w:val="24"/>
        </w:rPr>
        <w:t>itu</w:t>
      </w:r>
      <w:proofErr w:type="spellEnd"/>
      <w:r w:rsidR="00D349D8" w:rsidRPr="007720BC">
        <w:rPr>
          <w:rFonts w:ascii="Times New Roman" w:hAnsi="Times New Roman" w:cs="Times New Roman"/>
          <w:sz w:val="24"/>
          <w:szCs w:val="24"/>
        </w:rPr>
        <w:t xml:space="preserve"> </w:t>
      </w:r>
      <w:proofErr w:type="spellStart"/>
      <w:r w:rsidR="00D349D8" w:rsidRPr="007720BC">
        <w:rPr>
          <w:rFonts w:ascii="Times New Roman" w:hAnsi="Times New Roman" w:cs="Times New Roman"/>
          <w:sz w:val="24"/>
          <w:szCs w:val="24"/>
        </w:rPr>
        <w:t>hampir</w:t>
      </w:r>
      <w:proofErr w:type="spellEnd"/>
      <w:r w:rsidR="00D349D8"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sebagian</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besar</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hambatan</w:t>
      </w:r>
      <w:proofErr w:type="spellEnd"/>
      <w:r w:rsidR="00112C9E" w:rsidRPr="007720BC">
        <w:rPr>
          <w:rFonts w:ascii="Times New Roman" w:hAnsi="Times New Roman" w:cs="Times New Roman"/>
          <w:sz w:val="24"/>
          <w:szCs w:val="24"/>
        </w:rPr>
        <w:t xml:space="preserve"> yang </w:t>
      </w:r>
      <w:proofErr w:type="spellStart"/>
      <w:r w:rsidR="00112C9E" w:rsidRPr="007720BC">
        <w:rPr>
          <w:rFonts w:ascii="Times New Roman" w:hAnsi="Times New Roman" w:cs="Times New Roman"/>
          <w:sz w:val="24"/>
          <w:szCs w:val="24"/>
        </w:rPr>
        <w:t>dialami</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penyuluh</w:t>
      </w:r>
      <w:proofErr w:type="spellEnd"/>
      <w:r w:rsidR="00112C9E" w:rsidRPr="007720BC">
        <w:rPr>
          <w:rFonts w:ascii="Times New Roman" w:hAnsi="Times New Roman" w:cs="Times New Roman"/>
          <w:sz w:val="24"/>
          <w:szCs w:val="24"/>
        </w:rPr>
        <w:t xml:space="preserve"> KB </w:t>
      </w:r>
      <w:proofErr w:type="spellStart"/>
      <w:r w:rsidR="00112C9E" w:rsidRPr="007720BC">
        <w:rPr>
          <w:rFonts w:ascii="Times New Roman" w:hAnsi="Times New Roman" w:cs="Times New Roman"/>
          <w:sz w:val="24"/>
          <w:szCs w:val="24"/>
        </w:rPr>
        <w:t>berasal</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dari</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faktor</w:t>
      </w:r>
      <w:proofErr w:type="spellEnd"/>
      <w:r w:rsidR="00112C9E" w:rsidRPr="007720BC">
        <w:rPr>
          <w:rFonts w:ascii="Times New Roman" w:hAnsi="Times New Roman" w:cs="Times New Roman"/>
          <w:sz w:val="24"/>
          <w:szCs w:val="24"/>
        </w:rPr>
        <w:t xml:space="preserve"> internal </w:t>
      </w:r>
      <w:r w:rsidR="00D349D8" w:rsidRPr="007720BC">
        <w:rPr>
          <w:rFonts w:ascii="Times New Roman" w:hAnsi="Times New Roman" w:cs="Times New Roman"/>
          <w:sz w:val="24"/>
          <w:szCs w:val="24"/>
        </w:rPr>
        <w:t>s</w:t>
      </w:r>
      <w:proofErr w:type="spellStart"/>
      <w:r w:rsidR="00112C9E" w:rsidRPr="007720BC">
        <w:rPr>
          <w:rFonts w:ascii="Times New Roman" w:hAnsi="Times New Roman" w:cs="Times New Roman"/>
          <w:sz w:val="24"/>
          <w:szCs w:val="24"/>
          <w:lang w:val="en-US"/>
        </w:rPr>
        <w:t>eperti</w:t>
      </w:r>
      <w:proofErr w:type="spellEnd"/>
      <w:r w:rsidR="00112C9E" w:rsidRPr="007720BC">
        <w:rPr>
          <w:rFonts w:ascii="Times New Roman" w:hAnsi="Times New Roman" w:cs="Times New Roman"/>
          <w:sz w:val="24"/>
          <w:szCs w:val="24"/>
          <w:lang w:val="en-US"/>
        </w:rPr>
        <w:t xml:space="preserve"> </w:t>
      </w:r>
      <w:proofErr w:type="spellStart"/>
      <w:r w:rsidR="00112C9E" w:rsidRPr="007720BC">
        <w:rPr>
          <w:rFonts w:ascii="Times New Roman" w:hAnsi="Times New Roman" w:cs="Times New Roman"/>
          <w:sz w:val="24"/>
          <w:szCs w:val="24"/>
          <w:lang w:val="en-US"/>
        </w:rPr>
        <w:t>minimnya</w:t>
      </w:r>
      <w:proofErr w:type="spellEnd"/>
      <w:r w:rsidR="00112C9E" w:rsidRPr="007720BC">
        <w:rPr>
          <w:rFonts w:ascii="Times New Roman" w:hAnsi="Times New Roman" w:cs="Times New Roman"/>
          <w:sz w:val="24"/>
          <w:szCs w:val="24"/>
          <w:lang w:val="en-US"/>
        </w:rPr>
        <w:t xml:space="preserve"> </w:t>
      </w:r>
      <w:proofErr w:type="spellStart"/>
      <w:r w:rsidR="00112C9E" w:rsidRPr="007720BC">
        <w:rPr>
          <w:rFonts w:ascii="Times New Roman" w:hAnsi="Times New Roman" w:cs="Times New Roman"/>
          <w:sz w:val="24"/>
          <w:szCs w:val="24"/>
        </w:rPr>
        <w:t>pelatihan</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untuk</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meningkatkan</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kompetensi</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keterampilan</w:t>
      </w:r>
      <w:proofErr w:type="spellEnd"/>
      <w:r w:rsidR="00112C9E" w:rsidRPr="007720BC">
        <w:rPr>
          <w:rFonts w:ascii="Times New Roman" w:hAnsi="Times New Roman" w:cs="Times New Roman"/>
          <w:sz w:val="24"/>
          <w:szCs w:val="24"/>
        </w:rPr>
        <w:t xml:space="preserve"> dan </w:t>
      </w:r>
      <w:proofErr w:type="spellStart"/>
      <w:r w:rsidR="00112C9E" w:rsidRPr="007720BC">
        <w:rPr>
          <w:rFonts w:ascii="Times New Roman" w:hAnsi="Times New Roman" w:cs="Times New Roman"/>
          <w:sz w:val="24"/>
          <w:szCs w:val="24"/>
        </w:rPr>
        <w:t>pemanfaatan</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teknologi</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untuk</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pengelolaan</w:t>
      </w:r>
      <w:proofErr w:type="spellEnd"/>
      <w:r w:rsidR="00112C9E" w:rsidRPr="007720BC">
        <w:rPr>
          <w:rFonts w:ascii="Times New Roman" w:hAnsi="Times New Roman" w:cs="Times New Roman"/>
          <w:sz w:val="24"/>
          <w:szCs w:val="24"/>
        </w:rPr>
        <w:t xml:space="preserve"> data. </w:t>
      </w:r>
      <w:proofErr w:type="spellStart"/>
      <w:r w:rsidR="00112C9E" w:rsidRPr="007720BC">
        <w:rPr>
          <w:rFonts w:ascii="Times New Roman" w:hAnsi="Times New Roman" w:cs="Times New Roman"/>
          <w:sz w:val="24"/>
          <w:szCs w:val="24"/>
        </w:rPr>
        <w:t>Sedangkan</w:t>
      </w:r>
      <w:proofErr w:type="spellEnd"/>
      <w:r w:rsidR="00112C9E" w:rsidRPr="007720BC">
        <w:rPr>
          <w:rFonts w:ascii="Times New Roman" w:hAnsi="Times New Roman" w:cs="Times New Roman"/>
          <w:sz w:val="24"/>
          <w:szCs w:val="24"/>
        </w:rPr>
        <w:t xml:space="preserve"> yang </w:t>
      </w:r>
      <w:proofErr w:type="spellStart"/>
      <w:r w:rsidR="00112C9E" w:rsidRPr="007720BC">
        <w:rPr>
          <w:rFonts w:ascii="Times New Roman" w:hAnsi="Times New Roman" w:cs="Times New Roman"/>
          <w:sz w:val="24"/>
          <w:szCs w:val="24"/>
        </w:rPr>
        <w:t>menjadi</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kendala</w:t>
      </w:r>
      <w:proofErr w:type="spellEnd"/>
      <w:r w:rsidR="00112C9E" w:rsidRPr="007720BC">
        <w:rPr>
          <w:rFonts w:ascii="Times New Roman" w:hAnsi="Times New Roman" w:cs="Times New Roman"/>
          <w:sz w:val="24"/>
          <w:szCs w:val="24"/>
        </w:rPr>
        <w:t xml:space="preserve"> ek</w:t>
      </w:r>
      <w:r w:rsidR="00112C9E" w:rsidRPr="007720BC">
        <w:rPr>
          <w:rFonts w:ascii="Times New Roman" w:hAnsi="Times New Roman" w:cs="Times New Roman"/>
          <w:sz w:val="24"/>
          <w:szCs w:val="24"/>
          <w:lang w:val="en-US"/>
        </w:rPr>
        <w:t>s</w:t>
      </w:r>
      <w:r w:rsidR="00112C9E" w:rsidRPr="007720BC">
        <w:rPr>
          <w:rFonts w:ascii="Times New Roman" w:hAnsi="Times New Roman" w:cs="Times New Roman"/>
          <w:sz w:val="24"/>
          <w:szCs w:val="24"/>
        </w:rPr>
        <w:t xml:space="preserve">ternal </w:t>
      </w:r>
      <w:proofErr w:type="spellStart"/>
      <w:r w:rsidR="00112C9E" w:rsidRPr="007720BC">
        <w:rPr>
          <w:rFonts w:ascii="Times New Roman" w:hAnsi="Times New Roman" w:cs="Times New Roman"/>
          <w:sz w:val="24"/>
          <w:szCs w:val="24"/>
        </w:rPr>
        <w:t>antara</w:t>
      </w:r>
      <w:proofErr w:type="spellEnd"/>
      <w:r w:rsidR="00112C9E" w:rsidRPr="007720BC">
        <w:rPr>
          <w:rFonts w:ascii="Times New Roman" w:hAnsi="Times New Roman" w:cs="Times New Roman"/>
          <w:sz w:val="24"/>
          <w:szCs w:val="24"/>
        </w:rPr>
        <w:t xml:space="preserve"> lain </w:t>
      </w:r>
      <w:proofErr w:type="spellStart"/>
      <w:r w:rsidR="00112C9E" w:rsidRPr="007720BC">
        <w:rPr>
          <w:rFonts w:ascii="Times New Roman" w:hAnsi="Times New Roman" w:cs="Times New Roman"/>
          <w:sz w:val="24"/>
          <w:szCs w:val="24"/>
        </w:rPr>
        <w:t>kurangnya</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dukungan</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operasional</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maupun</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moril</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dari</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pejabat</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terkait</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hingga</w:t>
      </w:r>
      <w:proofErr w:type="spellEnd"/>
      <w:r w:rsidR="00112C9E" w:rsidRPr="007720BC">
        <w:rPr>
          <w:rFonts w:ascii="Times New Roman" w:hAnsi="Times New Roman" w:cs="Times New Roman"/>
          <w:sz w:val="24"/>
          <w:szCs w:val="24"/>
        </w:rPr>
        <w:t xml:space="preserve"> </w:t>
      </w:r>
      <w:proofErr w:type="spellStart"/>
      <w:r w:rsidR="00112C9E" w:rsidRPr="007720BC">
        <w:rPr>
          <w:rFonts w:ascii="Times New Roman" w:hAnsi="Times New Roman" w:cs="Times New Roman"/>
          <w:sz w:val="24"/>
          <w:szCs w:val="24"/>
        </w:rPr>
        <w:t>kader</w:t>
      </w:r>
      <w:proofErr w:type="spellEnd"/>
      <w:r w:rsidR="00112C9E" w:rsidRPr="007720BC">
        <w:rPr>
          <w:rFonts w:ascii="Times New Roman" w:hAnsi="Times New Roman" w:cs="Times New Roman"/>
          <w:sz w:val="24"/>
          <w:szCs w:val="24"/>
        </w:rPr>
        <w:t xml:space="preserve"> KB</w:t>
      </w:r>
      <w:r w:rsidR="00DF4F28" w:rsidRPr="007720BC">
        <w:rPr>
          <w:rFonts w:ascii="Times New Roman" w:hAnsi="Times New Roman" w:cs="Times New Roman"/>
          <w:sz w:val="24"/>
          <w:szCs w:val="24"/>
        </w:rPr>
        <w:t>.</w:t>
      </w:r>
    </w:p>
    <w:p w14:paraId="2321FEB2" w14:textId="77777777" w:rsidR="005464D1" w:rsidRPr="007720BC" w:rsidRDefault="002D4695" w:rsidP="005464D1">
      <w:pPr>
        <w:shd w:val="clear" w:color="auto" w:fill="FFFFFF"/>
        <w:spacing w:after="0" w:line="240" w:lineRule="auto"/>
        <w:ind w:right="-1" w:firstLine="720"/>
        <w:contextualSpacing/>
        <w:jc w:val="both"/>
        <w:textAlignment w:val="baseline"/>
        <w:rPr>
          <w:rFonts w:ascii="Times New Roman" w:hAnsi="Times New Roman" w:cs="Times New Roman"/>
          <w:sz w:val="24"/>
          <w:szCs w:val="24"/>
          <w:lang w:val="en-US"/>
        </w:rPr>
      </w:pPr>
      <w:r w:rsidRPr="007720BC">
        <w:rPr>
          <w:rStyle w:val="rynqvb"/>
          <w:rFonts w:ascii="Times New Roman" w:hAnsi="Times New Roman" w:cs="Times New Roman"/>
          <w:sz w:val="24"/>
          <w:szCs w:val="24"/>
          <w:lang w:val="id-ID"/>
        </w:rPr>
        <w:t xml:space="preserve">Kepemimpinan dan </w:t>
      </w:r>
      <w:proofErr w:type="spellStart"/>
      <w:r w:rsidR="00F31301" w:rsidRPr="007720BC">
        <w:rPr>
          <w:rStyle w:val="rynqvb"/>
          <w:rFonts w:ascii="Times New Roman" w:hAnsi="Times New Roman" w:cs="Times New Roman"/>
          <w:sz w:val="24"/>
          <w:szCs w:val="24"/>
          <w:lang w:val="en-US"/>
        </w:rPr>
        <w:t>keaktifan</w:t>
      </w:r>
      <w:proofErr w:type="spellEnd"/>
      <w:r w:rsidR="00F31301"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anggota</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kelompok</w:t>
      </w:r>
      <w:proofErr w:type="spellEnd"/>
      <w:r w:rsidRPr="007720BC">
        <w:rPr>
          <w:rStyle w:val="rynqvb"/>
          <w:rFonts w:ascii="Times New Roman" w:hAnsi="Times New Roman" w:cs="Times New Roman"/>
          <w:sz w:val="24"/>
          <w:szCs w:val="24"/>
          <w:lang w:val="en-US"/>
        </w:rPr>
        <w:t xml:space="preserve"> </w:t>
      </w:r>
      <w:r w:rsidRPr="007720BC">
        <w:rPr>
          <w:rStyle w:val="rynqvb"/>
          <w:rFonts w:ascii="Times New Roman" w:hAnsi="Times New Roman" w:cs="Times New Roman"/>
          <w:sz w:val="24"/>
          <w:szCs w:val="24"/>
          <w:lang w:val="id-ID"/>
        </w:rPr>
        <w:t xml:space="preserve">merupakan dimensi </w:t>
      </w:r>
      <w:proofErr w:type="spellStart"/>
      <w:r w:rsidR="00EF1834" w:rsidRPr="007720BC">
        <w:rPr>
          <w:rStyle w:val="rynqvb"/>
          <w:rFonts w:ascii="Times New Roman" w:hAnsi="Times New Roman" w:cs="Times New Roman"/>
          <w:sz w:val="24"/>
          <w:szCs w:val="24"/>
          <w:lang w:val="en-US"/>
        </w:rPr>
        <w:t>ter</w:t>
      </w:r>
      <w:proofErr w:type="spellEnd"/>
      <w:r w:rsidRPr="007720BC">
        <w:rPr>
          <w:rStyle w:val="rynqvb"/>
          <w:rFonts w:ascii="Times New Roman" w:hAnsi="Times New Roman" w:cs="Times New Roman"/>
          <w:sz w:val="24"/>
          <w:szCs w:val="24"/>
          <w:lang w:val="id-ID"/>
        </w:rPr>
        <w:t xml:space="preserve">penting dalam </w:t>
      </w:r>
      <w:proofErr w:type="spellStart"/>
      <w:r w:rsidR="00EF1834" w:rsidRPr="007720BC">
        <w:rPr>
          <w:rStyle w:val="rynqvb"/>
          <w:rFonts w:ascii="Times New Roman" w:hAnsi="Times New Roman" w:cs="Times New Roman"/>
          <w:sz w:val="24"/>
          <w:szCs w:val="24"/>
          <w:lang w:val="en-US"/>
        </w:rPr>
        <w:t>menciptakan</w:t>
      </w:r>
      <w:proofErr w:type="spellEnd"/>
      <w:r w:rsidR="00EF1834" w:rsidRPr="007720BC">
        <w:rPr>
          <w:rStyle w:val="rynqvb"/>
          <w:rFonts w:ascii="Times New Roman" w:hAnsi="Times New Roman" w:cs="Times New Roman"/>
          <w:sz w:val="24"/>
          <w:szCs w:val="24"/>
          <w:lang w:val="en-US"/>
        </w:rPr>
        <w:t xml:space="preserve"> </w:t>
      </w:r>
      <w:proofErr w:type="spellStart"/>
      <w:r w:rsidR="00EF1834" w:rsidRPr="007720BC">
        <w:rPr>
          <w:rStyle w:val="rynqvb"/>
          <w:rFonts w:ascii="Times New Roman" w:hAnsi="Times New Roman" w:cs="Times New Roman"/>
          <w:sz w:val="24"/>
          <w:szCs w:val="24"/>
          <w:lang w:val="en-US"/>
        </w:rPr>
        <w:t>keberhasilan</w:t>
      </w:r>
      <w:proofErr w:type="spellEnd"/>
      <w:r w:rsidR="00EF1834" w:rsidRPr="007720BC">
        <w:rPr>
          <w:rStyle w:val="rynqvb"/>
          <w:rFonts w:ascii="Times New Roman" w:hAnsi="Times New Roman" w:cs="Times New Roman"/>
          <w:sz w:val="24"/>
          <w:szCs w:val="24"/>
          <w:lang w:val="en-US"/>
        </w:rPr>
        <w:t xml:space="preserve"> </w:t>
      </w:r>
      <w:r w:rsidRPr="007720BC">
        <w:rPr>
          <w:rStyle w:val="rynqvb"/>
          <w:rFonts w:ascii="Times New Roman" w:hAnsi="Times New Roman" w:cs="Times New Roman"/>
          <w:sz w:val="24"/>
          <w:szCs w:val="24"/>
          <w:lang w:val="id-ID"/>
        </w:rPr>
        <w:t xml:space="preserve">tata kelola percepatan penurunan stunting </w:t>
      </w:r>
      <w:r w:rsidRPr="007720BC">
        <w:rPr>
          <w:rStyle w:val="rynqvb"/>
          <w:rFonts w:ascii="Times New Roman" w:hAnsi="Times New Roman" w:cs="Times New Roman"/>
          <w:sz w:val="24"/>
          <w:szCs w:val="24"/>
          <w:lang w:val="id-ID"/>
        </w:rPr>
        <w:fldChar w:fldCharType="begin" w:fldLock="1"/>
      </w:r>
      <w:r w:rsidR="00CE4A76" w:rsidRPr="007720BC">
        <w:rPr>
          <w:rStyle w:val="rynqvb"/>
          <w:rFonts w:ascii="Times New Roman" w:hAnsi="Times New Roman" w:cs="Times New Roman"/>
          <w:sz w:val="24"/>
          <w:szCs w:val="24"/>
          <w:lang w:val="id-ID"/>
        </w:rPr>
        <w:instrText>ADDIN CSL_CITATION {"citationItems":[{"id":"ITEM-1","itemData":{"DOI":"10.3390/su15031821","ISSN":"20711050","abstract":"The acceleration of stunting reduction in Indonesia is one of the priority agendas in the health sector, its implementation being through various regional and tiered approaches. This paper aims to manage management using an integrated system framework approach at the regional level and to support the acceleration of stunting reduction nationally. It takes a quantitative description approach that uses secondary data sourced from the Directorate General of Regional Development, Ministry of Home Affairs, the Republic of Indonesia in 2019–2021. The locus of papers is in five provinces, North Kalimantan, South Kalimantan, Central Kalimantan, West Kalimantan, and East Kalimantan, Indonesia. The data collection and processing consisted of twenty stunting convergence coverage referring to regulations in Indonesia. The analysis used is an integrated framework based on five dimensions. Management based on an integrated framework in a regional-based system for stunting convergence can be a solution to accelerating stunting reduction. This paper provides an option to accelerate the handling of stunting through the Integration of Service Governance-Based Systems in Districts/Cities, considering the achievements in the last three years that have not been maximally carried out in every district/city in five provinces in Kalimantan, Indonesia. This study explains that the local government needs to socialize and disseminate the commitment to stunting reduction results to reaffirm commitment and encourage all parties to actively contribute to integrated stunting reduction efforts. This paper has limitations in the implementation of dimensions that can develop in a context that is correlated with several perspectives, such as regional planning, budgetary capacity, and regional capacity.","author":[{"dropping-particle":"","family":"Prasetyo","given":"Andjar","non-dropping-particle":"","parse-names":false,"suffix":""},{"dropping-particle":"","family":"Noviana","given":"Nana","non-dropping-particle":"","parse-names":false,"suffix":""},{"dropping-particle":"","family":"Rosdiana","given":"Weni","non-dropping-particle":"","parse-names":false,"suffix":""},{"dropping-particle":"","family":"Anwar","given":"M. Arief","non-dropping-particle":"","parse-names":false,"suffix":""},{"dropping-particle":"","family":"Hartiningsih","given":"","non-dropping-particle":"","parse-names":false,"suffix":""},{"dropping-particle":"","family":"Hendrixon","given":"","non-dropping-particle":"","parse-names":false,"suffix":""},{"dropping-particle":"","family":"Harwijayanti","given":"Bekti Putri","non-dropping-particle":"","parse-names":false,"suffix":""},{"dropping-particle":"","family":"Fahlevi","given":"Mochammad","non-dropping-particle":"","parse-names":false,"suffix":""}],"container-title":"Sustainability (Switzerland)","id":"ITEM-1","issue":"3","issued":{"date-parts":[["2023"]]},"title":"Stunting Convergence Management Framework through System Integration Based on Regional Service Governance","type":"article-journal","volume":"15"},"uris":["http://www.mendeley.com/documents/?uuid=a4947150-bccb-4523-89b1-3bc63a77d75f"]}],"mendeley":{"formattedCitation":"(Prasetyo et al. 2023)","plainTextFormattedCitation":"(Prasetyo et al. 2023)","previouslyFormattedCitation":"(Prasetyo et al. 2023)"},"properties":{"noteIndex":0},"schema":"https://github.com/citation-style-language/schema/raw/master/csl-citation.json"}</w:instrText>
      </w:r>
      <w:r w:rsidRPr="007720BC">
        <w:rPr>
          <w:rStyle w:val="rynqvb"/>
          <w:rFonts w:ascii="Times New Roman" w:hAnsi="Times New Roman" w:cs="Times New Roman"/>
          <w:sz w:val="24"/>
          <w:szCs w:val="24"/>
          <w:lang w:val="id-ID"/>
        </w:rPr>
        <w:fldChar w:fldCharType="separate"/>
      </w:r>
      <w:r w:rsidRPr="007720BC">
        <w:rPr>
          <w:rStyle w:val="rynqvb"/>
          <w:rFonts w:ascii="Times New Roman" w:hAnsi="Times New Roman" w:cs="Times New Roman"/>
          <w:noProof/>
          <w:sz w:val="24"/>
          <w:szCs w:val="24"/>
          <w:lang w:val="id-ID"/>
        </w:rPr>
        <w:t xml:space="preserve">(Prasetyo et al. </w:t>
      </w:r>
      <w:r w:rsidRPr="007720BC">
        <w:rPr>
          <w:rStyle w:val="rynqvb"/>
          <w:rFonts w:ascii="Times New Roman" w:hAnsi="Times New Roman" w:cs="Times New Roman"/>
          <w:noProof/>
          <w:sz w:val="24"/>
          <w:szCs w:val="24"/>
          <w:lang w:val="id-ID"/>
        </w:rPr>
        <w:lastRenderedPageBreak/>
        <w:t>2023)</w:t>
      </w:r>
      <w:r w:rsidRPr="007720BC">
        <w:rPr>
          <w:rStyle w:val="rynqvb"/>
          <w:rFonts w:ascii="Times New Roman" w:hAnsi="Times New Roman" w:cs="Times New Roman"/>
          <w:sz w:val="24"/>
          <w:szCs w:val="24"/>
          <w:lang w:val="id-ID"/>
        </w:rPr>
        <w:fldChar w:fldCharType="end"/>
      </w:r>
      <w:r w:rsidR="00AC39D5" w:rsidRPr="007720BC">
        <w:rPr>
          <w:rStyle w:val="rynqvb"/>
          <w:rFonts w:ascii="Times New Roman" w:hAnsi="Times New Roman" w:cs="Times New Roman"/>
          <w:sz w:val="24"/>
          <w:szCs w:val="24"/>
          <w:lang w:val="en-US"/>
        </w:rPr>
        <w:t xml:space="preserve"> dan </w:t>
      </w:r>
      <w:proofErr w:type="spellStart"/>
      <w:r w:rsidR="00AC39D5" w:rsidRPr="007720BC">
        <w:rPr>
          <w:rStyle w:val="rynqvb"/>
          <w:rFonts w:ascii="Times New Roman" w:hAnsi="Times New Roman" w:cs="Times New Roman"/>
          <w:sz w:val="24"/>
          <w:szCs w:val="24"/>
          <w:lang w:val="en-US"/>
        </w:rPr>
        <w:t>k</w:t>
      </w:r>
      <w:r w:rsidR="00804841" w:rsidRPr="007720BC">
        <w:rPr>
          <w:rFonts w:ascii="Times New Roman" w:hAnsi="Times New Roman" w:cs="Times New Roman"/>
          <w:sz w:val="24"/>
          <w:szCs w:val="24"/>
          <w:lang w:val="en-US"/>
        </w:rPr>
        <w:t>epemimpinan</w:t>
      </w:r>
      <w:proofErr w:type="spellEnd"/>
      <w:r w:rsidR="00804841" w:rsidRPr="007720BC">
        <w:rPr>
          <w:rFonts w:ascii="Times New Roman" w:hAnsi="Times New Roman" w:cs="Times New Roman"/>
          <w:sz w:val="24"/>
          <w:szCs w:val="24"/>
          <w:lang w:val="en-US"/>
        </w:rPr>
        <w:t xml:space="preserve"> </w:t>
      </w:r>
      <w:r w:rsidR="00F31301" w:rsidRPr="007720BC">
        <w:rPr>
          <w:rFonts w:ascii="Times New Roman" w:hAnsi="Times New Roman" w:cs="Times New Roman"/>
          <w:sz w:val="24"/>
          <w:szCs w:val="24"/>
          <w:lang w:val="en-US"/>
        </w:rPr>
        <w:t xml:space="preserve">local </w:t>
      </w:r>
      <w:proofErr w:type="spellStart"/>
      <w:r w:rsidR="00F31301" w:rsidRPr="007720BC">
        <w:rPr>
          <w:rFonts w:ascii="Times New Roman" w:hAnsi="Times New Roman" w:cs="Times New Roman"/>
          <w:sz w:val="24"/>
          <w:szCs w:val="24"/>
          <w:lang w:val="en-US"/>
        </w:rPr>
        <w:t>atau</w:t>
      </w:r>
      <w:proofErr w:type="spellEnd"/>
      <w:r w:rsidR="00F31301" w:rsidRPr="007720BC">
        <w:rPr>
          <w:rFonts w:ascii="Times New Roman" w:hAnsi="Times New Roman" w:cs="Times New Roman"/>
          <w:sz w:val="24"/>
          <w:szCs w:val="24"/>
          <w:lang w:val="en-US"/>
        </w:rPr>
        <w:t xml:space="preserve"> </w:t>
      </w:r>
      <w:proofErr w:type="spellStart"/>
      <w:r w:rsidR="00804841" w:rsidRPr="007720BC">
        <w:rPr>
          <w:rFonts w:ascii="Times New Roman" w:hAnsi="Times New Roman" w:cs="Times New Roman"/>
          <w:sz w:val="24"/>
          <w:szCs w:val="24"/>
          <w:lang w:val="en-US"/>
        </w:rPr>
        <w:t>Kepala</w:t>
      </w:r>
      <w:proofErr w:type="spellEnd"/>
      <w:r w:rsidR="00804841" w:rsidRPr="007720BC">
        <w:rPr>
          <w:rFonts w:ascii="Times New Roman" w:hAnsi="Times New Roman" w:cs="Times New Roman"/>
          <w:sz w:val="24"/>
          <w:szCs w:val="24"/>
          <w:lang w:val="en-US"/>
        </w:rPr>
        <w:t xml:space="preserve"> Desa </w:t>
      </w:r>
      <w:proofErr w:type="spellStart"/>
      <w:r w:rsidR="00804841" w:rsidRPr="007720BC">
        <w:rPr>
          <w:rFonts w:ascii="Times New Roman" w:hAnsi="Times New Roman" w:cs="Times New Roman"/>
          <w:sz w:val="24"/>
          <w:szCs w:val="24"/>
          <w:lang w:val="en-US"/>
        </w:rPr>
        <w:t>Mongpok</w:t>
      </w:r>
      <w:proofErr w:type="spellEnd"/>
      <w:r w:rsidR="00804841" w:rsidRPr="007720BC">
        <w:rPr>
          <w:rFonts w:ascii="Times New Roman" w:hAnsi="Times New Roman" w:cs="Times New Roman"/>
          <w:sz w:val="24"/>
          <w:szCs w:val="24"/>
          <w:lang w:val="en-US"/>
        </w:rPr>
        <w:t xml:space="preserve"> </w:t>
      </w:r>
      <w:proofErr w:type="spellStart"/>
      <w:r w:rsidR="00F31301" w:rsidRPr="007720BC">
        <w:rPr>
          <w:rFonts w:ascii="Times New Roman" w:hAnsi="Times New Roman" w:cs="Times New Roman"/>
          <w:sz w:val="24"/>
          <w:szCs w:val="24"/>
          <w:lang w:val="en-US"/>
        </w:rPr>
        <w:t>telah</w:t>
      </w:r>
      <w:proofErr w:type="spellEnd"/>
      <w:r w:rsidR="00F31301" w:rsidRPr="007720BC">
        <w:rPr>
          <w:rFonts w:ascii="Times New Roman" w:hAnsi="Times New Roman" w:cs="Times New Roman"/>
          <w:sz w:val="24"/>
          <w:szCs w:val="24"/>
          <w:lang w:val="en-US"/>
        </w:rPr>
        <w:t xml:space="preserve"> </w:t>
      </w:r>
      <w:proofErr w:type="spellStart"/>
      <w:r w:rsidR="00AC39D5" w:rsidRPr="007720BC">
        <w:rPr>
          <w:rFonts w:ascii="Times New Roman" w:hAnsi="Times New Roman" w:cs="Times New Roman"/>
          <w:sz w:val="24"/>
          <w:szCs w:val="24"/>
          <w:lang w:val="en-US"/>
        </w:rPr>
        <w:t>berperan</w:t>
      </w:r>
      <w:proofErr w:type="spellEnd"/>
      <w:r w:rsidR="00AC39D5" w:rsidRPr="007720BC">
        <w:rPr>
          <w:rFonts w:ascii="Times New Roman" w:hAnsi="Times New Roman" w:cs="Times New Roman"/>
          <w:sz w:val="24"/>
          <w:szCs w:val="24"/>
          <w:lang w:val="en-US"/>
        </w:rPr>
        <w:t xml:space="preserve"> </w:t>
      </w:r>
      <w:proofErr w:type="spellStart"/>
      <w:r w:rsidR="00AC39D5" w:rsidRPr="007720BC">
        <w:rPr>
          <w:rFonts w:ascii="Times New Roman" w:hAnsi="Times New Roman" w:cs="Times New Roman"/>
          <w:sz w:val="24"/>
          <w:szCs w:val="24"/>
          <w:lang w:val="en-US"/>
        </w:rPr>
        <w:t>sebagai</w:t>
      </w:r>
      <w:proofErr w:type="spellEnd"/>
      <w:r w:rsidR="00AC39D5" w:rsidRPr="007720BC">
        <w:rPr>
          <w:rFonts w:ascii="Times New Roman" w:hAnsi="Times New Roman" w:cs="Times New Roman"/>
          <w:sz w:val="24"/>
          <w:szCs w:val="24"/>
          <w:lang w:val="en-US"/>
        </w:rPr>
        <w:t xml:space="preserve"> </w:t>
      </w:r>
      <w:proofErr w:type="spellStart"/>
      <w:r w:rsidR="00804841" w:rsidRPr="007720BC">
        <w:rPr>
          <w:rFonts w:ascii="Times New Roman" w:hAnsi="Times New Roman" w:cs="Times New Roman"/>
          <w:sz w:val="24"/>
          <w:szCs w:val="24"/>
          <w:lang w:val="en-US"/>
        </w:rPr>
        <w:t>penggerak</w:t>
      </w:r>
      <w:proofErr w:type="spellEnd"/>
      <w:r w:rsidR="00804841" w:rsidRPr="007720BC">
        <w:rPr>
          <w:rFonts w:ascii="Times New Roman" w:hAnsi="Times New Roman" w:cs="Times New Roman"/>
          <w:sz w:val="24"/>
          <w:szCs w:val="24"/>
          <w:lang w:val="en-US"/>
        </w:rPr>
        <w:t xml:space="preserve"> </w:t>
      </w:r>
      <w:r w:rsidR="0040400D" w:rsidRPr="007720BC">
        <w:rPr>
          <w:rFonts w:ascii="Times New Roman" w:hAnsi="Times New Roman" w:cs="Times New Roman"/>
          <w:sz w:val="24"/>
          <w:szCs w:val="24"/>
          <w:lang w:val="en-US"/>
        </w:rPr>
        <w:t xml:space="preserve">dan </w:t>
      </w:r>
      <w:proofErr w:type="spellStart"/>
      <w:r w:rsidR="0040400D" w:rsidRPr="007720BC">
        <w:rPr>
          <w:rFonts w:ascii="Times New Roman" w:hAnsi="Times New Roman" w:cs="Times New Roman"/>
          <w:sz w:val="24"/>
          <w:szCs w:val="24"/>
          <w:lang w:val="en-US"/>
        </w:rPr>
        <w:t>pengarah</w:t>
      </w:r>
      <w:proofErr w:type="spellEnd"/>
      <w:r w:rsidR="0040400D" w:rsidRPr="007720BC">
        <w:rPr>
          <w:rFonts w:ascii="Times New Roman" w:hAnsi="Times New Roman" w:cs="Times New Roman"/>
          <w:sz w:val="24"/>
          <w:szCs w:val="24"/>
          <w:lang w:val="en-US"/>
        </w:rPr>
        <w:t xml:space="preserve"> </w:t>
      </w:r>
      <w:proofErr w:type="spellStart"/>
      <w:r w:rsidR="00F31301" w:rsidRPr="007720BC">
        <w:rPr>
          <w:rFonts w:ascii="Times New Roman" w:hAnsi="Times New Roman" w:cs="Times New Roman"/>
          <w:sz w:val="24"/>
          <w:szCs w:val="24"/>
          <w:lang w:val="en-US"/>
        </w:rPr>
        <w:t>sehingga</w:t>
      </w:r>
      <w:proofErr w:type="spellEnd"/>
      <w:r w:rsidR="00F31301" w:rsidRPr="007720BC">
        <w:rPr>
          <w:rFonts w:ascii="Times New Roman" w:hAnsi="Times New Roman" w:cs="Times New Roman"/>
          <w:sz w:val="24"/>
          <w:szCs w:val="24"/>
          <w:lang w:val="en-US"/>
        </w:rPr>
        <w:t xml:space="preserve"> </w:t>
      </w:r>
      <w:proofErr w:type="spellStart"/>
      <w:r w:rsidR="00F31301" w:rsidRPr="007720BC">
        <w:rPr>
          <w:rFonts w:ascii="Times New Roman" w:hAnsi="Times New Roman" w:cs="Times New Roman"/>
          <w:sz w:val="24"/>
          <w:szCs w:val="24"/>
          <w:lang w:val="en-US"/>
        </w:rPr>
        <w:t>menjadi</w:t>
      </w:r>
      <w:proofErr w:type="spellEnd"/>
      <w:r w:rsidR="00804841" w:rsidRPr="007720BC">
        <w:rPr>
          <w:rFonts w:ascii="Times New Roman" w:hAnsi="Times New Roman" w:cs="Times New Roman"/>
          <w:sz w:val="24"/>
          <w:szCs w:val="24"/>
          <w:lang w:val="en-US"/>
        </w:rPr>
        <w:t xml:space="preserve"> </w:t>
      </w:r>
      <w:proofErr w:type="spellStart"/>
      <w:r w:rsidR="00804841" w:rsidRPr="007720BC">
        <w:rPr>
          <w:rFonts w:ascii="Times New Roman" w:hAnsi="Times New Roman" w:cs="Times New Roman"/>
          <w:sz w:val="24"/>
          <w:szCs w:val="24"/>
          <w:lang w:val="en-US"/>
        </w:rPr>
        <w:t>faktor</w:t>
      </w:r>
      <w:proofErr w:type="spellEnd"/>
      <w:r w:rsidR="00AC39D5" w:rsidRPr="007720BC">
        <w:rPr>
          <w:rFonts w:ascii="Times New Roman" w:hAnsi="Times New Roman" w:cs="Times New Roman"/>
          <w:sz w:val="24"/>
          <w:szCs w:val="24"/>
          <w:lang w:val="en-US"/>
        </w:rPr>
        <w:t xml:space="preserve"> </w:t>
      </w:r>
      <w:proofErr w:type="spellStart"/>
      <w:r w:rsidR="00AC39D5" w:rsidRPr="007720BC">
        <w:rPr>
          <w:rFonts w:ascii="Times New Roman" w:hAnsi="Times New Roman" w:cs="Times New Roman"/>
          <w:sz w:val="24"/>
          <w:szCs w:val="24"/>
          <w:lang w:val="en-US"/>
        </w:rPr>
        <w:t>determinan</w:t>
      </w:r>
      <w:proofErr w:type="spellEnd"/>
      <w:r w:rsidR="00804841" w:rsidRPr="007720BC">
        <w:rPr>
          <w:rFonts w:ascii="Times New Roman" w:hAnsi="Times New Roman" w:cs="Times New Roman"/>
          <w:sz w:val="24"/>
          <w:szCs w:val="24"/>
          <w:lang w:val="en-US"/>
        </w:rPr>
        <w:t xml:space="preserve"> </w:t>
      </w:r>
      <w:proofErr w:type="spellStart"/>
      <w:r w:rsidR="00F31301" w:rsidRPr="007720BC">
        <w:rPr>
          <w:rFonts w:ascii="Times New Roman" w:hAnsi="Times New Roman" w:cs="Times New Roman"/>
          <w:sz w:val="24"/>
          <w:szCs w:val="24"/>
          <w:lang w:val="en-US"/>
        </w:rPr>
        <w:t>dalam</w:t>
      </w:r>
      <w:proofErr w:type="spellEnd"/>
      <w:r w:rsidR="00F31301" w:rsidRPr="007720BC">
        <w:rPr>
          <w:rFonts w:ascii="Times New Roman" w:hAnsi="Times New Roman" w:cs="Times New Roman"/>
          <w:sz w:val="24"/>
          <w:szCs w:val="24"/>
          <w:lang w:val="en-US"/>
        </w:rPr>
        <w:t xml:space="preserve"> </w:t>
      </w:r>
      <w:proofErr w:type="spellStart"/>
      <w:r w:rsidR="00F31301" w:rsidRPr="007720BC">
        <w:rPr>
          <w:rFonts w:ascii="Times New Roman" w:hAnsi="Times New Roman" w:cs="Times New Roman"/>
          <w:sz w:val="24"/>
          <w:szCs w:val="24"/>
          <w:lang w:val="en-US"/>
        </w:rPr>
        <w:t>kebijakan</w:t>
      </w:r>
      <w:proofErr w:type="spellEnd"/>
      <w:r w:rsidR="00F31301" w:rsidRPr="007720BC">
        <w:rPr>
          <w:rFonts w:ascii="Times New Roman" w:hAnsi="Times New Roman" w:cs="Times New Roman"/>
          <w:sz w:val="24"/>
          <w:szCs w:val="24"/>
          <w:lang w:val="en-US"/>
        </w:rPr>
        <w:t xml:space="preserve"> </w:t>
      </w:r>
      <w:proofErr w:type="spellStart"/>
      <w:r w:rsidR="00AC39D5" w:rsidRPr="007720BC">
        <w:rPr>
          <w:rFonts w:ascii="Times New Roman" w:hAnsi="Times New Roman" w:cs="Times New Roman"/>
          <w:sz w:val="24"/>
          <w:szCs w:val="24"/>
          <w:lang w:val="en-US"/>
        </w:rPr>
        <w:t>penanganan</w:t>
      </w:r>
      <w:proofErr w:type="spellEnd"/>
      <w:r w:rsidR="00AC39D5" w:rsidRPr="007720BC">
        <w:rPr>
          <w:rFonts w:ascii="Times New Roman" w:hAnsi="Times New Roman" w:cs="Times New Roman"/>
          <w:sz w:val="24"/>
          <w:szCs w:val="24"/>
          <w:lang w:val="en-US"/>
        </w:rPr>
        <w:t xml:space="preserve"> dan </w:t>
      </w:r>
      <w:proofErr w:type="spellStart"/>
      <w:r w:rsidR="00AC39D5" w:rsidRPr="007720BC">
        <w:rPr>
          <w:rFonts w:ascii="Times New Roman" w:hAnsi="Times New Roman" w:cs="Times New Roman"/>
          <w:sz w:val="24"/>
          <w:szCs w:val="24"/>
          <w:lang w:val="en-US"/>
        </w:rPr>
        <w:t>pencegahan</w:t>
      </w:r>
      <w:proofErr w:type="spellEnd"/>
      <w:r w:rsidR="00AC39D5" w:rsidRPr="007720BC">
        <w:rPr>
          <w:rFonts w:ascii="Times New Roman" w:hAnsi="Times New Roman" w:cs="Times New Roman"/>
          <w:sz w:val="24"/>
          <w:szCs w:val="24"/>
          <w:lang w:val="en-US"/>
        </w:rPr>
        <w:t xml:space="preserve"> stunting.</w:t>
      </w:r>
      <w:r w:rsidR="00804841" w:rsidRPr="007720BC">
        <w:rPr>
          <w:rFonts w:ascii="Times New Roman" w:hAnsi="Times New Roman" w:cs="Times New Roman"/>
          <w:sz w:val="24"/>
          <w:szCs w:val="24"/>
          <w:lang w:val="en-US"/>
        </w:rPr>
        <w:t xml:space="preserve"> </w:t>
      </w:r>
      <w:proofErr w:type="spellStart"/>
      <w:r w:rsidR="00CD1E25" w:rsidRPr="007720BC">
        <w:rPr>
          <w:rFonts w:ascii="Times New Roman" w:hAnsi="Times New Roman" w:cs="Times New Roman"/>
          <w:sz w:val="24"/>
          <w:szCs w:val="24"/>
          <w:lang w:val="en-US"/>
        </w:rPr>
        <w:t>Kepemimpinan</w:t>
      </w:r>
      <w:proofErr w:type="spellEnd"/>
      <w:r w:rsidR="00804841" w:rsidRPr="007720BC">
        <w:rPr>
          <w:rFonts w:ascii="Times New Roman" w:hAnsi="Times New Roman" w:cs="Times New Roman"/>
          <w:sz w:val="24"/>
          <w:szCs w:val="24"/>
          <w:lang w:val="en-US"/>
        </w:rPr>
        <w:t xml:space="preserve"> </w:t>
      </w:r>
      <w:proofErr w:type="spellStart"/>
      <w:r w:rsidR="00804841" w:rsidRPr="007720BC">
        <w:rPr>
          <w:rFonts w:ascii="Times New Roman" w:hAnsi="Times New Roman" w:cs="Times New Roman"/>
          <w:sz w:val="24"/>
          <w:szCs w:val="24"/>
          <w:lang w:val="en-US"/>
        </w:rPr>
        <w:t>telah</w:t>
      </w:r>
      <w:proofErr w:type="spellEnd"/>
      <w:r w:rsidR="00804841" w:rsidRPr="007720BC">
        <w:rPr>
          <w:rFonts w:ascii="Times New Roman" w:hAnsi="Times New Roman" w:cs="Times New Roman"/>
          <w:sz w:val="24"/>
          <w:szCs w:val="24"/>
          <w:lang w:val="en-US"/>
        </w:rPr>
        <w:t xml:space="preserve"> </w:t>
      </w:r>
      <w:proofErr w:type="spellStart"/>
      <w:r w:rsidR="00804841" w:rsidRPr="007720BC">
        <w:rPr>
          <w:rFonts w:ascii="Times New Roman" w:hAnsi="Times New Roman" w:cs="Times New Roman"/>
          <w:sz w:val="24"/>
          <w:szCs w:val="24"/>
          <w:lang w:val="en-US"/>
        </w:rPr>
        <w:t>dilakukan</w:t>
      </w:r>
      <w:proofErr w:type="spellEnd"/>
      <w:r w:rsidR="00804841" w:rsidRPr="007720BC">
        <w:rPr>
          <w:rFonts w:ascii="Times New Roman" w:hAnsi="Times New Roman" w:cs="Times New Roman"/>
          <w:sz w:val="24"/>
          <w:szCs w:val="24"/>
          <w:lang w:val="en-US"/>
        </w:rPr>
        <w:t xml:space="preserve"> </w:t>
      </w:r>
      <w:proofErr w:type="spellStart"/>
      <w:r w:rsidR="00804841" w:rsidRPr="007720BC">
        <w:rPr>
          <w:rFonts w:ascii="Times New Roman" w:hAnsi="Times New Roman" w:cs="Times New Roman"/>
          <w:sz w:val="24"/>
          <w:szCs w:val="24"/>
          <w:lang w:val="en-US"/>
        </w:rPr>
        <w:t>secara</w:t>
      </w:r>
      <w:proofErr w:type="spellEnd"/>
      <w:r w:rsidR="00CD1E25" w:rsidRPr="007720BC">
        <w:rPr>
          <w:rFonts w:ascii="Times New Roman" w:hAnsi="Times New Roman" w:cs="Times New Roman"/>
          <w:sz w:val="24"/>
          <w:szCs w:val="24"/>
          <w:lang w:val="en-US"/>
        </w:rPr>
        <w:t xml:space="preserve"> </w:t>
      </w:r>
      <w:proofErr w:type="spellStart"/>
      <w:r w:rsidR="00804841" w:rsidRPr="007720BC">
        <w:rPr>
          <w:rFonts w:ascii="Times New Roman" w:hAnsi="Times New Roman" w:cs="Times New Roman"/>
          <w:sz w:val="24"/>
          <w:szCs w:val="24"/>
          <w:lang w:val="en-US"/>
        </w:rPr>
        <w:t>responsif</w:t>
      </w:r>
      <w:proofErr w:type="spellEnd"/>
      <w:r w:rsidR="00804841" w:rsidRPr="007720BC">
        <w:rPr>
          <w:rFonts w:ascii="Times New Roman" w:hAnsi="Times New Roman" w:cs="Times New Roman"/>
          <w:sz w:val="24"/>
          <w:szCs w:val="24"/>
          <w:lang w:val="en-US"/>
        </w:rPr>
        <w:t xml:space="preserve"> </w:t>
      </w:r>
      <w:r w:rsidR="0040400D" w:rsidRPr="007720BC">
        <w:rPr>
          <w:rFonts w:ascii="Times New Roman" w:hAnsi="Times New Roman" w:cs="Times New Roman"/>
          <w:sz w:val="24"/>
          <w:szCs w:val="24"/>
          <w:lang w:val="en-US"/>
        </w:rPr>
        <w:t xml:space="preserve">dan </w:t>
      </w:r>
      <w:proofErr w:type="spellStart"/>
      <w:r w:rsidR="0040400D" w:rsidRPr="007720BC">
        <w:rPr>
          <w:rFonts w:ascii="Times New Roman" w:hAnsi="Times New Roman" w:cs="Times New Roman"/>
          <w:sz w:val="24"/>
          <w:szCs w:val="24"/>
          <w:lang w:val="en-US"/>
        </w:rPr>
        <w:t>aktif</w:t>
      </w:r>
      <w:proofErr w:type="spellEnd"/>
      <w:r w:rsidR="0040400D" w:rsidRPr="007720BC">
        <w:rPr>
          <w:rFonts w:ascii="Times New Roman" w:hAnsi="Times New Roman" w:cs="Times New Roman"/>
          <w:sz w:val="24"/>
          <w:szCs w:val="24"/>
          <w:lang w:val="en-US"/>
        </w:rPr>
        <w:t xml:space="preserve"> </w:t>
      </w:r>
      <w:proofErr w:type="spellStart"/>
      <w:r w:rsidR="0040400D" w:rsidRPr="007720BC">
        <w:rPr>
          <w:rFonts w:ascii="Times New Roman" w:hAnsi="Times New Roman" w:cs="Times New Roman"/>
          <w:sz w:val="24"/>
          <w:szCs w:val="24"/>
          <w:lang w:val="en-US"/>
        </w:rPr>
        <w:t>serta</w:t>
      </w:r>
      <w:proofErr w:type="spellEnd"/>
      <w:r w:rsidR="0040400D" w:rsidRPr="007720BC">
        <w:rPr>
          <w:rFonts w:ascii="Times New Roman" w:hAnsi="Times New Roman" w:cs="Times New Roman"/>
          <w:sz w:val="24"/>
          <w:szCs w:val="24"/>
          <w:lang w:val="en-US"/>
        </w:rPr>
        <w:t xml:space="preserve"> </w:t>
      </w:r>
      <w:proofErr w:type="spellStart"/>
      <w:r w:rsidR="0040400D" w:rsidRPr="007720BC">
        <w:rPr>
          <w:rFonts w:ascii="Times New Roman" w:hAnsi="Times New Roman" w:cs="Times New Roman"/>
          <w:sz w:val="24"/>
          <w:szCs w:val="24"/>
          <w:lang w:val="en-US"/>
        </w:rPr>
        <w:t>terlibat</w:t>
      </w:r>
      <w:proofErr w:type="spellEnd"/>
      <w:r w:rsidR="0040400D" w:rsidRPr="007720BC">
        <w:rPr>
          <w:rFonts w:ascii="Times New Roman" w:hAnsi="Times New Roman" w:cs="Times New Roman"/>
          <w:sz w:val="24"/>
          <w:szCs w:val="24"/>
          <w:lang w:val="en-US"/>
        </w:rPr>
        <w:t xml:space="preserve"> </w:t>
      </w:r>
      <w:proofErr w:type="spellStart"/>
      <w:r w:rsidR="0040400D" w:rsidRPr="007720BC">
        <w:rPr>
          <w:rFonts w:ascii="Times New Roman" w:hAnsi="Times New Roman" w:cs="Times New Roman"/>
          <w:sz w:val="24"/>
          <w:szCs w:val="24"/>
          <w:lang w:val="en-US"/>
        </w:rPr>
        <w:t>langsung</w:t>
      </w:r>
      <w:proofErr w:type="spellEnd"/>
      <w:r w:rsidR="00804841" w:rsidRPr="007720BC">
        <w:rPr>
          <w:rFonts w:ascii="Times New Roman" w:hAnsi="Times New Roman" w:cs="Times New Roman"/>
          <w:sz w:val="24"/>
          <w:szCs w:val="24"/>
          <w:lang w:val="en-US"/>
        </w:rPr>
        <w:t xml:space="preserve"> </w:t>
      </w:r>
      <w:proofErr w:type="spellStart"/>
      <w:r w:rsidR="00804841" w:rsidRPr="007720BC">
        <w:rPr>
          <w:rFonts w:ascii="Times New Roman" w:hAnsi="Times New Roman" w:cs="Times New Roman"/>
          <w:sz w:val="24"/>
          <w:szCs w:val="24"/>
          <w:lang w:val="en-US"/>
        </w:rPr>
        <w:t>sehingga</w:t>
      </w:r>
      <w:proofErr w:type="spellEnd"/>
      <w:r w:rsidR="00804841" w:rsidRPr="007720BC">
        <w:rPr>
          <w:rFonts w:ascii="Times New Roman" w:hAnsi="Times New Roman" w:cs="Times New Roman"/>
          <w:sz w:val="24"/>
          <w:szCs w:val="24"/>
          <w:lang w:val="en-US"/>
        </w:rPr>
        <w:t xml:space="preserve"> </w:t>
      </w:r>
      <w:proofErr w:type="spellStart"/>
      <w:r w:rsidR="00D6195E" w:rsidRPr="007720BC">
        <w:rPr>
          <w:rFonts w:ascii="Times New Roman" w:hAnsi="Times New Roman" w:cs="Times New Roman"/>
          <w:sz w:val="24"/>
          <w:szCs w:val="24"/>
          <w:lang w:val="en-US"/>
        </w:rPr>
        <w:t>u</w:t>
      </w:r>
      <w:r w:rsidR="00804841" w:rsidRPr="007720BC">
        <w:rPr>
          <w:rFonts w:ascii="Times New Roman" w:hAnsi="Times New Roman" w:cs="Times New Roman"/>
          <w:sz w:val="24"/>
          <w:szCs w:val="24"/>
          <w:lang w:val="en-US"/>
        </w:rPr>
        <w:t>paya</w:t>
      </w:r>
      <w:proofErr w:type="spellEnd"/>
      <w:r w:rsidR="00804841"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pendekatan</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terhadap</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perubahan</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kelompok</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sasaran</w:t>
      </w:r>
      <w:proofErr w:type="spellEnd"/>
      <w:r w:rsidR="00804841" w:rsidRPr="007720BC">
        <w:rPr>
          <w:rFonts w:ascii="Times New Roman" w:hAnsi="Times New Roman" w:cs="Times New Roman"/>
          <w:sz w:val="24"/>
          <w:szCs w:val="24"/>
          <w:lang w:val="en-US"/>
        </w:rPr>
        <w:t xml:space="preserve"> </w:t>
      </w:r>
      <w:proofErr w:type="spellStart"/>
      <w:r w:rsidR="00804841" w:rsidRPr="007720BC">
        <w:rPr>
          <w:rFonts w:ascii="Times New Roman" w:hAnsi="Times New Roman" w:cs="Times New Roman"/>
          <w:sz w:val="24"/>
          <w:szCs w:val="24"/>
          <w:lang w:val="en-US"/>
        </w:rPr>
        <w:t>berjalan</w:t>
      </w:r>
      <w:proofErr w:type="spellEnd"/>
      <w:r w:rsidR="00804841" w:rsidRPr="007720BC">
        <w:rPr>
          <w:rFonts w:ascii="Times New Roman" w:hAnsi="Times New Roman" w:cs="Times New Roman"/>
          <w:sz w:val="24"/>
          <w:szCs w:val="24"/>
          <w:lang w:val="en-US"/>
        </w:rPr>
        <w:t xml:space="preserve"> </w:t>
      </w:r>
      <w:proofErr w:type="spellStart"/>
      <w:r w:rsidR="006C6E29" w:rsidRPr="007720BC">
        <w:rPr>
          <w:rFonts w:ascii="Times New Roman" w:hAnsi="Times New Roman" w:cs="Times New Roman"/>
          <w:sz w:val="24"/>
          <w:szCs w:val="24"/>
          <w:lang w:val="en-US"/>
        </w:rPr>
        <w:t>efektif</w:t>
      </w:r>
      <w:proofErr w:type="spellEnd"/>
      <w:r w:rsidR="0040400D" w:rsidRPr="007720BC">
        <w:rPr>
          <w:rFonts w:ascii="Times New Roman" w:hAnsi="Times New Roman" w:cs="Times New Roman"/>
          <w:sz w:val="24"/>
          <w:szCs w:val="24"/>
          <w:lang w:val="en-US"/>
        </w:rPr>
        <w:t xml:space="preserve">, </w:t>
      </w:r>
      <w:proofErr w:type="spellStart"/>
      <w:r w:rsidR="00D6195E" w:rsidRPr="007720BC">
        <w:rPr>
          <w:rFonts w:ascii="Times New Roman" w:hAnsi="Times New Roman" w:cs="Times New Roman"/>
          <w:sz w:val="24"/>
          <w:szCs w:val="24"/>
          <w:lang w:val="en-US"/>
        </w:rPr>
        <w:t>d</w:t>
      </w:r>
      <w:r w:rsidR="00130505" w:rsidRPr="007720BC">
        <w:rPr>
          <w:rFonts w:ascii="Times New Roman" w:hAnsi="Times New Roman" w:cs="Times New Roman"/>
          <w:sz w:val="24"/>
          <w:szCs w:val="24"/>
          <w:lang w:val="en-US"/>
        </w:rPr>
        <w:t>alam</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hal</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ini</w:t>
      </w:r>
      <w:proofErr w:type="spellEnd"/>
      <w:r w:rsidR="00CD1E25" w:rsidRPr="007720BC">
        <w:rPr>
          <w:rFonts w:ascii="Times New Roman" w:hAnsi="Times New Roman" w:cs="Times New Roman"/>
          <w:sz w:val="24"/>
          <w:szCs w:val="24"/>
          <w:lang w:val="en-US"/>
        </w:rPr>
        <w:t xml:space="preserve"> </w:t>
      </w:r>
      <w:proofErr w:type="spellStart"/>
      <w:r w:rsidR="00CD1E25" w:rsidRPr="007720BC">
        <w:rPr>
          <w:rFonts w:ascii="Times New Roman" w:hAnsi="Times New Roman" w:cs="Times New Roman"/>
          <w:sz w:val="24"/>
          <w:szCs w:val="24"/>
          <w:lang w:val="en-US"/>
        </w:rPr>
        <w:t>kepedulian</w:t>
      </w:r>
      <w:proofErr w:type="spellEnd"/>
      <w:r w:rsidR="00CD1E25" w:rsidRPr="007720BC">
        <w:rPr>
          <w:rFonts w:ascii="Times New Roman" w:hAnsi="Times New Roman" w:cs="Times New Roman"/>
          <w:sz w:val="24"/>
          <w:szCs w:val="24"/>
          <w:lang w:val="en-US"/>
        </w:rPr>
        <w:t xml:space="preserve"> dan </w:t>
      </w:r>
      <w:proofErr w:type="spellStart"/>
      <w:r w:rsidR="00CD1E25" w:rsidRPr="007720BC">
        <w:rPr>
          <w:rFonts w:ascii="Times New Roman" w:hAnsi="Times New Roman" w:cs="Times New Roman"/>
          <w:sz w:val="24"/>
          <w:szCs w:val="24"/>
          <w:lang w:val="en-US"/>
        </w:rPr>
        <w:t>kemauan</w:t>
      </w:r>
      <w:proofErr w:type="spellEnd"/>
      <w:r w:rsidR="00CD1E25" w:rsidRPr="007720BC">
        <w:rPr>
          <w:rFonts w:ascii="Times New Roman" w:hAnsi="Times New Roman" w:cs="Times New Roman"/>
          <w:sz w:val="24"/>
          <w:szCs w:val="24"/>
          <w:lang w:val="en-US"/>
        </w:rPr>
        <w:t xml:space="preserve"> yang </w:t>
      </w:r>
      <w:proofErr w:type="spellStart"/>
      <w:r w:rsidR="00CD1E25" w:rsidRPr="007720BC">
        <w:rPr>
          <w:rFonts w:ascii="Times New Roman" w:hAnsi="Times New Roman" w:cs="Times New Roman"/>
          <w:sz w:val="24"/>
          <w:szCs w:val="24"/>
          <w:lang w:val="en-US"/>
        </w:rPr>
        <w:t>tinggi</w:t>
      </w:r>
      <w:proofErr w:type="spellEnd"/>
      <w:r w:rsidR="00CD1E25" w:rsidRPr="007720BC">
        <w:rPr>
          <w:rFonts w:ascii="Times New Roman" w:hAnsi="Times New Roman" w:cs="Times New Roman"/>
          <w:sz w:val="24"/>
          <w:szCs w:val="24"/>
        </w:rPr>
        <w:t xml:space="preserve"> </w:t>
      </w:r>
      <w:r w:rsidR="00CD1E25" w:rsidRPr="007720BC">
        <w:rPr>
          <w:rFonts w:ascii="Times New Roman" w:hAnsi="Times New Roman" w:cs="Times New Roman"/>
          <w:sz w:val="24"/>
          <w:szCs w:val="24"/>
          <w:lang w:val="en-US"/>
        </w:rPr>
        <w:t>K</w:t>
      </w:r>
      <w:proofErr w:type="spellStart"/>
      <w:r w:rsidR="00CD1E25" w:rsidRPr="007720BC">
        <w:rPr>
          <w:rFonts w:ascii="Times New Roman" w:hAnsi="Times New Roman" w:cs="Times New Roman"/>
          <w:sz w:val="24"/>
          <w:szCs w:val="24"/>
        </w:rPr>
        <w:t>epala</w:t>
      </w:r>
      <w:proofErr w:type="spellEnd"/>
      <w:r w:rsidR="00CD1E25" w:rsidRPr="007720BC">
        <w:rPr>
          <w:rFonts w:ascii="Times New Roman" w:hAnsi="Times New Roman" w:cs="Times New Roman"/>
          <w:sz w:val="24"/>
          <w:szCs w:val="24"/>
        </w:rPr>
        <w:t xml:space="preserve"> </w:t>
      </w:r>
      <w:r w:rsidR="00CD1E25" w:rsidRPr="007720BC">
        <w:rPr>
          <w:rFonts w:ascii="Times New Roman" w:hAnsi="Times New Roman" w:cs="Times New Roman"/>
          <w:sz w:val="24"/>
          <w:szCs w:val="24"/>
          <w:lang w:val="en-US"/>
        </w:rPr>
        <w:t>D</w:t>
      </w:r>
      <w:proofErr w:type="spellStart"/>
      <w:r w:rsidR="00CD1E25" w:rsidRPr="007720BC">
        <w:rPr>
          <w:rFonts w:ascii="Times New Roman" w:hAnsi="Times New Roman" w:cs="Times New Roman"/>
          <w:sz w:val="24"/>
          <w:szCs w:val="24"/>
        </w:rPr>
        <w:t>esa</w:t>
      </w:r>
      <w:proofErr w:type="spellEnd"/>
      <w:r w:rsidR="00CD1E25" w:rsidRPr="007720BC">
        <w:rPr>
          <w:rFonts w:ascii="Times New Roman" w:hAnsi="Times New Roman" w:cs="Times New Roman"/>
          <w:sz w:val="24"/>
          <w:szCs w:val="24"/>
          <w:lang w:val="en-US"/>
        </w:rPr>
        <w:t xml:space="preserve"> </w:t>
      </w:r>
      <w:proofErr w:type="spellStart"/>
      <w:r w:rsidR="00CD1E25" w:rsidRPr="007720BC">
        <w:rPr>
          <w:rFonts w:ascii="Times New Roman" w:hAnsi="Times New Roman" w:cs="Times New Roman"/>
          <w:sz w:val="24"/>
          <w:szCs w:val="24"/>
          <w:lang w:val="en-US"/>
        </w:rPr>
        <w:t>Mongpok</w:t>
      </w:r>
      <w:proofErr w:type="spellEnd"/>
      <w:r w:rsidR="00CD1E25" w:rsidRPr="007720BC">
        <w:rPr>
          <w:rFonts w:ascii="Times New Roman" w:hAnsi="Times New Roman" w:cs="Times New Roman"/>
          <w:sz w:val="24"/>
          <w:szCs w:val="24"/>
        </w:rPr>
        <w:t xml:space="preserve"> </w:t>
      </w:r>
      <w:proofErr w:type="spellStart"/>
      <w:r w:rsidR="00CD1E25" w:rsidRPr="007720BC">
        <w:rPr>
          <w:rFonts w:ascii="Times New Roman" w:hAnsi="Times New Roman" w:cs="Times New Roman"/>
          <w:sz w:val="24"/>
          <w:szCs w:val="24"/>
        </w:rPr>
        <w:t>dalam</w:t>
      </w:r>
      <w:proofErr w:type="spellEnd"/>
      <w:r w:rsidR="00CD1E25" w:rsidRPr="007720BC">
        <w:rPr>
          <w:rFonts w:ascii="Times New Roman" w:hAnsi="Times New Roman" w:cs="Times New Roman"/>
          <w:sz w:val="24"/>
          <w:szCs w:val="24"/>
        </w:rPr>
        <w:t xml:space="preserve"> </w:t>
      </w:r>
      <w:proofErr w:type="spellStart"/>
      <w:r w:rsidR="00CD1E25" w:rsidRPr="007720BC">
        <w:rPr>
          <w:rFonts w:ascii="Times New Roman" w:hAnsi="Times New Roman" w:cs="Times New Roman"/>
          <w:sz w:val="24"/>
          <w:szCs w:val="24"/>
          <w:lang w:val="en-US"/>
        </w:rPr>
        <w:t>menangani</w:t>
      </w:r>
      <w:proofErr w:type="spellEnd"/>
      <w:r w:rsidR="00CD1E25" w:rsidRPr="007720BC">
        <w:rPr>
          <w:rFonts w:ascii="Times New Roman" w:hAnsi="Times New Roman" w:cs="Times New Roman"/>
          <w:sz w:val="24"/>
          <w:szCs w:val="24"/>
          <w:lang w:val="en-US"/>
        </w:rPr>
        <w:t xml:space="preserve"> dan </w:t>
      </w:r>
      <w:proofErr w:type="spellStart"/>
      <w:r w:rsidR="00CD1E25" w:rsidRPr="007720BC">
        <w:rPr>
          <w:rFonts w:ascii="Times New Roman" w:hAnsi="Times New Roman" w:cs="Times New Roman"/>
          <w:sz w:val="24"/>
          <w:szCs w:val="24"/>
        </w:rPr>
        <w:t>mencegah</w:t>
      </w:r>
      <w:proofErr w:type="spellEnd"/>
      <w:r w:rsidR="00CD1E25" w:rsidRPr="007720BC">
        <w:rPr>
          <w:rFonts w:ascii="Times New Roman" w:hAnsi="Times New Roman" w:cs="Times New Roman"/>
          <w:sz w:val="24"/>
          <w:szCs w:val="24"/>
        </w:rPr>
        <w:t xml:space="preserve"> stunting</w:t>
      </w:r>
      <w:r w:rsidR="0040400D" w:rsidRPr="007720BC">
        <w:rPr>
          <w:rFonts w:ascii="Times New Roman" w:hAnsi="Times New Roman" w:cs="Times New Roman"/>
          <w:sz w:val="24"/>
          <w:szCs w:val="24"/>
        </w:rPr>
        <w:t xml:space="preserve"> </w:t>
      </w:r>
      <w:proofErr w:type="spellStart"/>
      <w:r w:rsidR="00CD1E25" w:rsidRPr="007720BC">
        <w:rPr>
          <w:rFonts w:ascii="Times New Roman" w:hAnsi="Times New Roman" w:cs="Times New Roman"/>
          <w:sz w:val="24"/>
          <w:szCs w:val="24"/>
        </w:rPr>
        <w:t>dengan</w:t>
      </w:r>
      <w:proofErr w:type="spellEnd"/>
      <w:r w:rsidR="00CD1E25" w:rsidRPr="007720BC">
        <w:rPr>
          <w:rFonts w:ascii="Times New Roman" w:hAnsi="Times New Roman" w:cs="Times New Roman"/>
          <w:sz w:val="24"/>
          <w:szCs w:val="24"/>
        </w:rPr>
        <w:t xml:space="preserve"> </w:t>
      </w:r>
      <w:proofErr w:type="spellStart"/>
      <w:r w:rsidR="00CD1E25" w:rsidRPr="007720BC">
        <w:rPr>
          <w:rFonts w:ascii="Times New Roman" w:hAnsi="Times New Roman" w:cs="Times New Roman"/>
          <w:sz w:val="24"/>
          <w:szCs w:val="24"/>
        </w:rPr>
        <w:t>membentuk</w:t>
      </w:r>
      <w:proofErr w:type="spellEnd"/>
      <w:r w:rsidR="00CD1E25" w:rsidRPr="007720BC">
        <w:rPr>
          <w:rFonts w:ascii="Times New Roman" w:hAnsi="Times New Roman" w:cs="Times New Roman"/>
          <w:sz w:val="24"/>
          <w:szCs w:val="24"/>
        </w:rPr>
        <w:t xml:space="preserve"> </w:t>
      </w:r>
      <w:proofErr w:type="spellStart"/>
      <w:r w:rsidR="00CD1E25" w:rsidRPr="007720BC">
        <w:rPr>
          <w:rFonts w:ascii="Times New Roman" w:hAnsi="Times New Roman" w:cs="Times New Roman"/>
          <w:sz w:val="24"/>
          <w:szCs w:val="24"/>
        </w:rPr>
        <w:t>tim</w:t>
      </w:r>
      <w:proofErr w:type="spellEnd"/>
      <w:r w:rsidR="00CD1E25" w:rsidRPr="007720BC">
        <w:rPr>
          <w:rFonts w:ascii="Times New Roman" w:hAnsi="Times New Roman" w:cs="Times New Roman"/>
          <w:sz w:val="24"/>
          <w:szCs w:val="24"/>
        </w:rPr>
        <w:t xml:space="preserve"> </w:t>
      </w:r>
      <w:proofErr w:type="spellStart"/>
      <w:r w:rsidR="00CD1E25" w:rsidRPr="007720BC">
        <w:rPr>
          <w:rFonts w:ascii="Times New Roman" w:hAnsi="Times New Roman" w:cs="Times New Roman"/>
          <w:sz w:val="24"/>
          <w:szCs w:val="24"/>
        </w:rPr>
        <w:t>percepatan</w:t>
      </w:r>
      <w:proofErr w:type="spellEnd"/>
      <w:r w:rsidR="00CD1E25" w:rsidRPr="007720BC">
        <w:rPr>
          <w:rFonts w:ascii="Times New Roman" w:hAnsi="Times New Roman" w:cs="Times New Roman"/>
          <w:sz w:val="24"/>
          <w:szCs w:val="24"/>
        </w:rPr>
        <w:t xml:space="preserve"> stunting, </w:t>
      </w:r>
      <w:proofErr w:type="spellStart"/>
      <w:r w:rsidR="00CD1E25" w:rsidRPr="007720BC">
        <w:rPr>
          <w:rFonts w:ascii="Times New Roman" w:hAnsi="Times New Roman" w:cs="Times New Roman"/>
          <w:sz w:val="24"/>
          <w:szCs w:val="24"/>
        </w:rPr>
        <w:t>melakukan</w:t>
      </w:r>
      <w:proofErr w:type="spellEnd"/>
      <w:r w:rsidR="00CD1E25" w:rsidRPr="007720BC">
        <w:rPr>
          <w:rFonts w:ascii="Times New Roman" w:hAnsi="Times New Roman" w:cs="Times New Roman"/>
          <w:sz w:val="24"/>
          <w:szCs w:val="24"/>
        </w:rPr>
        <w:t xml:space="preserve"> </w:t>
      </w:r>
      <w:proofErr w:type="spellStart"/>
      <w:r w:rsidR="00CD1E25" w:rsidRPr="007720BC">
        <w:rPr>
          <w:rFonts w:ascii="Times New Roman" w:hAnsi="Times New Roman" w:cs="Times New Roman"/>
          <w:sz w:val="24"/>
          <w:szCs w:val="24"/>
        </w:rPr>
        <w:t>k</w:t>
      </w:r>
      <w:r w:rsidR="006C6E29" w:rsidRPr="007720BC">
        <w:rPr>
          <w:rFonts w:ascii="Times New Roman" w:hAnsi="Times New Roman" w:cs="Times New Roman"/>
          <w:sz w:val="24"/>
          <w:szCs w:val="24"/>
        </w:rPr>
        <w:t>o</w:t>
      </w:r>
      <w:r w:rsidR="00CD1E25" w:rsidRPr="007720BC">
        <w:rPr>
          <w:rFonts w:ascii="Times New Roman" w:hAnsi="Times New Roman" w:cs="Times New Roman"/>
          <w:sz w:val="24"/>
          <w:szCs w:val="24"/>
        </w:rPr>
        <w:t>ordinasi</w:t>
      </w:r>
      <w:proofErr w:type="spellEnd"/>
      <w:r w:rsidR="00CD1E25" w:rsidRPr="007720BC">
        <w:rPr>
          <w:rFonts w:ascii="Times New Roman" w:hAnsi="Times New Roman" w:cs="Times New Roman"/>
          <w:sz w:val="24"/>
          <w:szCs w:val="24"/>
        </w:rPr>
        <w:t xml:space="preserve"> </w:t>
      </w:r>
      <w:proofErr w:type="spellStart"/>
      <w:r w:rsidR="0040400D" w:rsidRPr="007720BC">
        <w:rPr>
          <w:rFonts w:ascii="Times New Roman" w:hAnsi="Times New Roman" w:cs="Times New Roman"/>
          <w:sz w:val="24"/>
          <w:szCs w:val="24"/>
        </w:rPr>
        <w:t>termasuk</w:t>
      </w:r>
      <w:proofErr w:type="spellEnd"/>
      <w:r w:rsidR="0040400D" w:rsidRPr="007720BC">
        <w:rPr>
          <w:rFonts w:ascii="Times New Roman" w:hAnsi="Times New Roman" w:cs="Times New Roman"/>
          <w:sz w:val="24"/>
          <w:szCs w:val="24"/>
        </w:rPr>
        <w:t xml:space="preserve"> </w:t>
      </w:r>
      <w:proofErr w:type="spellStart"/>
      <w:r w:rsidR="00CD1E25" w:rsidRPr="007720BC">
        <w:rPr>
          <w:rFonts w:ascii="Times New Roman" w:hAnsi="Times New Roman" w:cs="Times New Roman"/>
          <w:sz w:val="24"/>
          <w:szCs w:val="24"/>
        </w:rPr>
        <w:t>mencari</w:t>
      </w:r>
      <w:proofErr w:type="spellEnd"/>
      <w:r w:rsidR="00CD1E25" w:rsidRPr="007720BC">
        <w:rPr>
          <w:rFonts w:ascii="Times New Roman" w:hAnsi="Times New Roman" w:cs="Times New Roman"/>
          <w:sz w:val="24"/>
          <w:szCs w:val="24"/>
        </w:rPr>
        <w:t xml:space="preserve"> </w:t>
      </w:r>
      <w:proofErr w:type="spellStart"/>
      <w:r w:rsidR="00CD1E25" w:rsidRPr="007720BC">
        <w:rPr>
          <w:rFonts w:ascii="Times New Roman" w:hAnsi="Times New Roman" w:cs="Times New Roman"/>
          <w:sz w:val="24"/>
          <w:szCs w:val="24"/>
        </w:rPr>
        <w:t>sumber</w:t>
      </w:r>
      <w:proofErr w:type="spellEnd"/>
      <w:r w:rsidR="00CD1E25" w:rsidRPr="007720BC">
        <w:rPr>
          <w:rFonts w:ascii="Times New Roman" w:hAnsi="Times New Roman" w:cs="Times New Roman"/>
          <w:sz w:val="24"/>
          <w:szCs w:val="24"/>
        </w:rPr>
        <w:t xml:space="preserve"> </w:t>
      </w:r>
      <w:proofErr w:type="spellStart"/>
      <w:r w:rsidR="00CD1E25" w:rsidRPr="007720BC">
        <w:rPr>
          <w:rFonts w:ascii="Times New Roman" w:hAnsi="Times New Roman" w:cs="Times New Roman"/>
          <w:sz w:val="24"/>
          <w:szCs w:val="24"/>
        </w:rPr>
        <w:t>daya</w:t>
      </w:r>
      <w:proofErr w:type="spellEnd"/>
      <w:r w:rsidR="00CD1E25" w:rsidRPr="007720BC">
        <w:rPr>
          <w:rFonts w:ascii="Times New Roman" w:hAnsi="Times New Roman" w:cs="Times New Roman"/>
          <w:sz w:val="24"/>
          <w:szCs w:val="24"/>
        </w:rPr>
        <w:t xml:space="preserve"> </w:t>
      </w:r>
      <w:proofErr w:type="spellStart"/>
      <w:r w:rsidR="00CD1E25" w:rsidRPr="007720BC">
        <w:rPr>
          <w:rFonts w:ascii="Times New Roman" w:hAnsi="Times New Roman" w:cs="Times New Roman"/>
          <w:sz w:val="24"/>
          <w:szCs w:val="24"/>
        </w:rPr>
        <w:t>baik</w:t>
      </w:r>
      <w:proofErr w:type="spellEnd"/>
      <w:r w:rsidR="00CD1E25" w:rsidRPr="007720BC">
        <w:rPr>
          <w:rFonts w:ascii="Times New Roman" w:hAnsi="Times New Roman" w:cs="Times New Roman"/>
          <w:sz w:val="24"/>
          <w:szCs w:val="24"/>
        </w:rPr>
        <w:t xml:space="preserve"> material </w:t>
      </w:r>
      <w:proofErr w:type="spellStart"/>
      <w:r w:rsidR="00CD1E25" w:rsidRPr="007720BC">
        <w:rPr>
          <w:rFonts w:ascii="Times New Roman" w:hAnsi="Times New Roman" w:cs="Times New Roman"/>
          <w:sz w:val="24"/>
          <w:szCs w:val="24"/>
        </w:rPr>
        <w:t>maupun</w:t>
      </w:r>
      <w:proofErr w:type="spellEnd"/>
      <w:r w:rsidR="00CD1E25" w:rsidRPr="007720BC">
        <w:rPr>
          <w:rFonts w:ascii="Times New Roman" w:hAnsi="Times New Roman" w:cs="Times New Roman"/>
          <w:sz w:val="24"/>
          <w:szCs w:val="24"/>
        </w:rPr>
        <w:t xml:space="preserve"> non material</w:t>
      </w:r>
      <w:r w:rsidR="006C6E29" w:rsidRPr="007720BC">
        <w:rPr>
          <w:rFonts w:ascii="Times New Roman" w:hAnsi="Times New Roman" w:cs="Times New Roman"/>
          <w:sz w:val="24"/>
          <w:szCs w:val="24"/>
        </w:rPr>
        <w:t xml:space="preserve"> dan </w:t>
      </w:r>
      <w:proofErr w:type="spellStart"/>
      <w:r w:rsidR="006C6E29" w:rsidRPr="007720BC">
        <w:rPr>
          <w:rFonts w:ascii="Times New Roman" w:hAnsi="Times New Roman" w:cs="Times New Roman"/>
          <w:sz w:val="24"/>
          <w:szCs w:val="24"/>
        </w:rPr>
        <w:t>h</w:t>
      </w:r>
      <w:r w:rsidR="00D6195E" w:rsidRPr="007720BC">
        <w:rPr>
          <w:rFonts w:ascii="Times New Roman" w:hAnsi="Times New Roman" w:cs="Times New Roman"/>
          <w:sz w:val="24"/>
          <w:szCs w:val="24"/>
        </w:rPr>
        <w:t>al</w:t>
      </w:r>
      <w:proofErr w:type="spellEnd"/>
      <w:r w:rsidR="00D6195E" w:rsidRPr="007720BC">
        <w:rPr>
          <w:rFonts w:ascii="Times New Roman" w:hAnsi="Times New Roman" w:cs="Times New Roman"/>
          <w:sz w:val="24"/>
          <w:szCs w:val="24"/>
        </w:rPr>
        <w:t xml:space="preserve"> </w:t>
      </w:r>
      <w:proofErr w:type="spellStart"/>
      <w:r w:rsidR="00D6195E" w:rsidRPr="007720BC">
        <w:rPr>
          <w:rFonts w:ascii="Times New Roman" w:hAnsi="Times New Roman" w:cs="Times New Roman"/>
          <w:sz w:val="24"/>
          <w:szCs w:val="24"/>
        </w:rPr>
        <w:t>ini</w:t>
      </w:r>
      <w:proofErr w:type="spellEnd"/>
      <w:r w:rsidR="00D6195E" w:rsidRPr="007720BC">
        <w:rPr>
          <w:rFonts w:ascii="Times New Roman" w:hAnsi="Times New Roman" w:cs="Times New Roman"/>
          <w:sz w:val="24"/>
          <w:szCs w:val="24"/>
        </w:rPr>
        <w:t xml:space="preserve"> </w:t>
      </w:r>
      <w:proofErr w:type="spellStart"/>
      <w:r w:rsidR="00D6195E" w:rsidRPr="007720BC">
        <w:rPr>
          <w:rFonts w:ascii="Times New Roman" w:hAnsi="Times New Roman" w:cs="Times New Roman"/>
          <w:sz w:val="24"/>
          <w:szCs w:val="24"/>
        </w:rPr>
        <w:t>s</w:t>
      </w:r>
      <w:r w:rsidR="006C6E29" w:rsidRPr="007720BC">
        <w:rPr>
          <w:rFonts w:ascii="Times New Roman" w:hAnsi="Times New Roman" w:cs="Times New Roman"/>
          <w:sz w:val="24"/>
          <w:szCs w:val="24"/>
        </w:rPr>
        <w:t>ejalan</w:t>
      </w:r>
      <w:proofErr w:type="spellEnd"/>
      <w:r w:rsidR="00D6195E" w:rsidRPr="007720BC">
        <w:rPr>
          <w:rFonts w:ascii="Times New Roman" w:hAnsi="Times New Roman" w:cs="Times New Roman"/>
          <w:sz w:val="24"/>
          <w:szCs w:val="24"/>
        </w:rPr>
        <w:t xml:space="preserve"> </w:t>
      </w:r>
      <w:proofErr w:type="spellStart"/>
      <w:r w:rsidR="00D6195E" w:rsidRPr="007720BC">
        <w:rPr>
          <w:rFonts w:ascii="Times New Roman" w:hAnsi="Times New Roman" w:cs="Times New Roman"/>
          <w:sz w:val="24"/>
          <w:szCs w:val="24"/>
        </w:rPr>
        <w:t>dengan</w:t>
      </w:r>
      <w:proofErr w:type="spellEnd"/>
      <w:r w:rsidR="00D6195E" w:rsidRPr="007720BC">
        <w:rPr>
          <w:rFonts w:ascii="Times New Roman" w:hAnsi="Times New Roman" w:cs="Times New Roman"/>
          <w:sz w:val="24"/>
          <w:szCs w:val="24"/>
        </w:rPr>
        <w:t xml:space="preserve"> </w:t>
      </w:r>
      <w:proofErr w:type="spellStart"/>
      <w:r w:rsidR="00D6195E" w:rsidRPr="007720BC">
        <w:rPr>
          <w:rFonts w:ascii="Times New Roman" w:hAnsi="Times New Roman" w:cs="Times New Roman"/>
          <w:sz w:val="24"/>
          <w:szCs w:val="24"/>
        </w:rPr>
        <w:t>hasil</w:t>
      </w:r>
      <w:proofErr w:type="spellEnd"/>
      <w:r w:rsidR="00D6195E" w:rsidRPr="007720BC">
        <w:rPr>
          <w:rFonts w:ascii="Times New Roman" w:hAnsi="Times New Roman" w:cs="Times New Roman"/>
          <w:sz w:val="24"/>
          <w:szCs w:val="24"/>
        </w:rPr>
        <w:t xml:space="preserve"> </w:t>
      </w:r>
      <w:proofErr w:type="spellStart"/>
      <w:r w:rsidR="00D6195E" w:rsidRPr="007720BC">
        <w:rPr>
          <w:rFonts w:ascii="Times New Roman" w:hAnsi="Times New Roman" w:cs="Times New Roman"/>
          <w:sz w:val="24"/>
          <w:szCs w:val="24"/>
        </w:rPr>
        <w:t>penelitian</w:t>
      </w:r>
      <w:proofErr w:type="spellEnd"/>
      <w:r w:rsidR="00D6195E" w:rsidRPr="007720BC">
        <w:rPr>
          <w:rFonts w:ascii="Times New Roman" w:hAnsi="Times New Roman" w:cs="Times New Roman"/>
          <w:sz w:val="24"/>
          <w:szCs w:val="24"/>
        </w:rPr>
        <w:t xml:space="preserve"> </w:t>
      </w:r>
      <w:r w:rsidR="00130505" w:rsidRPr="007720BC">
        <w:rPr>
          <w:rStyle w:val="rynqvb"/>
          <w:rFonts w:ascii="Times New Roman" w:hAnsi="Times New Roman" w:cs="Times New Roman"/>
          <w:sz w:val="24"/>
          <w:szCs w:val="24"/>
          <w:lang w:val="en-US"/>
        </w:rPr>
        <w:fldChar w:fldCharType="begin" w:fldLock="1"/>
      </w:r>
      <w:r w:rsidR="0040400D" w:rsidRPr="007720BC">
        <w:rPr>
          <w:rStyle w:val="rynqvb"/>
          <w:rFonts w:ascii="Times New Roman" w:hAnsi="Times New Roman" w:cs="Times New Roman"/>
          <w:sz w:val="24"/>
          <w:szCs w:val="24"/>
          <w:lang w:val="en-US"/>
        </w:rPr>
        <w:instrText>ADDIN CSL_CITATION {"citationItems":[{"id":"ITEM-1","itemData":{"DOI":"10.1093/ajcn/nqaa164","ISSN":"19383207","PMID":"32860403","abstract":"Background: Peru reduced its under-5 child stunting prevalence notably from 31.3% in 2000 to 13.1% in 2016. Objectives: We aimed to study factors and key enablers of child stunting reduction in Peru from 2000–2016. Methods: Demographic and Health Surveys were used to conduct descriptive analyses [height-for-age z scores (HAZ) means and distributions, equity analysis, predicted child growth curves through polynomial regressions] and advanced regression analyses. An ecological (at department level) multilevel regression analysis was conducted to identify the major predictors of stunting decline from 2000 to 2016, and Oaxaca–Blinder decomposition was conducted to identify the relative contribution of each factor to child HAZ change. A systematic literature review, policy and program analysis, and interviews with relevant stakeholders were conducted to understand key drivers of stunting decline in Peru. Results: The distribution of HAZ scores showed a slight rightward shift from 2000 to 2007/2008, and a greater shift from 2007/2008 to 2016. Stunting reduction was higher in the lowest wealth quintile, in rural areas, and among children with the least educated mothers. Decomposing predicted changes showed that the most important factors were increased maternal BMI and maternal height, improved maternal and newborn health care, increased parental education, migration to urban areas, and reduced fertility. Key drivers included the advocacy role of civil society and political leadership around poverty and stunting reduction since the early 2000s. Key enablers included the economic growth and the consolidation of democracy since the early 2000s, and the acknowledgement that stunting reduction needs much more than food supplementation. Conclusions: Peru reduced child stunting owing to improved socioeconomic determinants, sustained implementation of out-of-health-sector and within-health-sector changes, and implementation of health interventions. These efforts were driven through a multisectoral approach, strong civil society advocacy, and keen political leadership. Peru’s experience offers useful lessons on how to tackle the problem of stunting under differing scenarios, with the participation of multiple sectors. Am J Clin Nutr 2020;112(Suppl):816S–829S.","author":[{"dropping-particle":"","family":"Huicho","given":"Luis","non-dropping-particle":"","parse-names":false,"suffix":""},{"dropping-particle":"","family":"Vidal-Cárdenas","given":"Elisa","non-dropping-particle":"","parse-names":false,"suffix":""},{"dropping-particle":"","family":"Akseer","given":"Nadia","non-dropping-particle":"","parse-names":false,"suffix":""},{"dropping-particle":"","family":"Brar","given":"Samanpreet","non-dropping-particle":"","parse-names":false,"suffix":""},{"dropping-particle":"","family":"Conway","given":"Kaitlin","non-dropping-particle":"","parse-names":false,"suffix":""},{"dropping-particle":"","family":"Islam","given":"Muhammad","non-dropping-particle":"","parse-names":false,"suffix":""},{"dropping-particle":"","family":"Juarez","given":"Elisa","non-dropping-particle":"","parse-names":false,"suffix":""},{"dropping-particle":"","family":"Rappaport","given":"Aviva","non-dropping-particle":"","parse-names":false,"suffix":""},{"dropping-particle":"","family":"Tasic","given":"Hana","non-dropping-particle":"","parse-names":false,"suffix":""},{"dropping-particle":"","family":"Vaivada","given":"Tyler","non-dropping-particle":"","parse-names":false,"suffix":""},{"dropping-particle":"","family":"Wigle","given":"Jannah","non-dropping-particle":"","parse-names":false,"suffix":""},{"dropping-particle":"","family":"Bhutta","given":"Zulfiqar A.","non-dropping-particle":"","parse-names":false,"suffix":""}],"container-title":"American Journal of Clinical Nutrition","id":"ITEM-1","issued":{"date-parts":[["2020"]]},"page":"816S-829S","publisher":"American Society for Nutrition.","title":"Drivers of stunting reduction in Peru: A country case study","type":"article-journal","volume":"112"},"uris":["http://www.mendeley.com/documents/?uuid=a3cae4eb-710d-4643-8127-5848192f7479"]}],"mendeley":{"formattedCitation":"(Huicho et al. 2020)","plainTextFormattedCitation":"(Huicho et al. 2020)","previouslyFormattedCitation":"(Huicho et al. 2020)"},"properties":{"noteIndex":0},"schema":"https://github.com/citation-style-language/schema/raw/master/csl-citation.json"}</w:instrText>
      </w:r>
      <w:r w:rsidR="00130505" w:rsidRPr="007720BC">
        <w:rPr>
          <w:rStyle w:val="rynqvb"/>
          <w:rFonts w:ascii="Times New Roman" w:hAnsi="Times New Roman" w:cs="Times New Roman"/>
          <w:sz w:val="24"/>
          <w:szCs w:val="24"/>
          <w:lang w:val="en-US"/>
        </w:rPr>
        <w:fldChar w:fldCharType="separate"/>
      </w:r>
      <w:r w:rsidR="00130505" w:rsidRPr="007720BC">
        <w:rPr>
          <w:rStyle w:val="rynqvb"/>
          <w:rFonts w:ascii="Times New Roman" w:hAnsi="Times New Roman" w:cs="Times New Roman"/>
          <w:noProof/>
          <w:sz w:val="24"/>
          <w:szCs w:val="24"/>
          <w:lang w:val="en-US"/>
        </w:rPr>
        <w:t>(Huicho et al. 2020)</w:t>
      </w:r>
      <w:r w:rsidR="00130505" w:rsidRPr="007720BC">
        <w:rPr>
          <w:rStyle w:val="rynqvb"/>
          <w:rFonts w:ascii="Times New Roman" w:hAnsi="Times New Roman" w:cs="Times New Roman"/>
          <w:sz w:val="24"/>
          <w:szCs w:val="24"/>
          <w:lang w:val="en-US"/>
        </w:rPr>
        <w:fldChar w:fldCharType="end"/>
      </w:r>
      <w:r w:rsidR="00130505" w:rsidRPr="007720BC">
        <w:rPr>
          <w:rStyle w:val="rynqvb"/>
          <w:rFonts w:ascii="Times New Roman" w:hAnsi="Times New Roman" w:cs="Times New Roman"/>
          <w:sz w:val="24"/>
          <w:szCs w:val="24"/>
          <w:lang w:val="en-US"/>
        </w:rPr>
        <w:t xml:space="preserve"> </w:t>
      </w:r>
      <w:r w:rsidR="00D6195E" w:rsidRPr="007720BC">
        <w:rPr>
          <w:rStyle w:val="rynqvb"/>
          <w:rFonts w:ascii="Times New Roman" w:hAnsi="Times New Roman" w:cs="Times New Roman"/>
          <w:sz w:val="24"/>
          <w:szCs w:val="24"/>
          <w:lang w:val="en-US"/>
        </w:rPr>
        <w:t xml:space="preserve">yang </w:t>
      </w:r>
      <w:proofErr w:type="spellStart"/>
      <w:r w:rsidR="00D6195E" w:rsidRPr="007720BC">
        <w:rPr>
          <w:rStyle w:val="rynqvb"/>
          <w:rFonts w:ascii="Times New Roman" w:hAnsi="Times New Roman" w:cs="Times New Roman"/>
          <w:sz w:val="24"/>
          <w:szCs w:val="24"/>
          <w:lang w:val="en-US"/>
        </w:rPr>
        <w:t>mengatakan</w:t>
      </w:r>
      <w:proofErr w:type="spellEnd"/>
      <w:r w:rsidR="00D6195E" w:rsidRPr="007720BC">
        <w:rPr>
          <w:rStyle w:val="rynqvb"/>
          <w:rFonts w:ascii="Times New Roman" w:hAnsi="Times New Roman" w:cs="Times New Roman"/>
          <w:sz w:val="24"/>
          <w:szCs w:val="24"/>
          <w:lang w:val="en-US"/>
        </w:rPr>
        <w:t xml:space="preserve"> </w:t>
      </w:r>
      <w:proofErr w:type="spellStart"/>
      <w:r w:rsidR="00D6195E" w:rsidRPr="007720BC">
        <w:rPr>
          <w:rStyle w:val="rynqvb"/>
          <w:rFonts w:ascii="Times New Roman" w:hAnsi="Times New Roman" w:cs="Times New Roman"/>
          <w:sz w:val="24"/>
          <w:szCs w:val="24"/>
          <w:lang w:val="en-US"/>
        </w:rPr>
        <w:t>faktor</w:t>
      </w:r>
      <w:proofErr w:type="spellEnd"/>
      <w:r w:rsidR="00D6195E" w:rsidRPr="007720BC">
        <w:rPr>
          <w:rStyle w:val="rynqvb"/>
          <w:rFonts w:ascii="Times New Roman" w:hAnsi="Times New Roman" w:cs="Times New Roman"/>
          <w:sz w:val="24"/>
          <w:szCs w:val="24"/>
          <w:lang w:val="en-US"/>
        </w:rPr>
        <w:t xml:space="preserve"> </w:t>
      </w:r>
      <w:r w:rsidR="00130505" w:rsidRPr="007720BC">
        <w:rPr>
          <w:rStyle w:val="rynqvb"/>
          <w:rFonts w:ascii="Times New Roman" w:hAnsi="Times New Roman" w:cs="Times New Roman"/>
          <w:sz w:val="24"/>
          <w:szCs w:val="24"/>
          <w:lang w:val="id-ID"/>
        </w:rPr>
        <w:t>kepemimpinan</w:t>
      </w:r>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merupakan</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faktor</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terpenting</w:t>
      </w:r>
      <w:proofErr w:type="spellEnd"/>
      <w:r w:rsidR="00130505" w:rsidRPr="007720BC">
        <w:rPr>
          <w:rFonts w:ascii="Times New Roman" w:hAnsi="Times New Roman" w:cs="Times New Roman"/>
          <w:sz w:val="24"/>
          <w:szCs w:val="24"/>
          <w:lang w:val="en-US"/>
        </w:rPr>
        <w:t xml:space="preserve"> dan </w:t>
      </w:r>
      <w:proofErr w:type="spellStart"/>
      <w:r w:rsidR="00130505" w:rsidRPr="007720BC">
        <w:rPr>
          <w:rFonts w:ascii="Times New Roman" w:hAnsi="Times New Roman" w:cs="Times New Roman"/>
          <w:sz w:val="24"/>
          <w:szCs w:val="24"/>
          <w:lang w:val="en-US"/>
        </w:rPr>
        <w:t>berguna</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dalam</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mengatasi</w:t>
      </w:r>
      <w:proofErr w:type="spellEnd"/>
      <w:r w:rsidR="00130505" w:rsidRPr="007720BC">
        <w:rPr>
          <w:rFonts w:ascii="Times New Roman" w:hAnsi="Times New Roman" w:cs="Times New Roman"/>
          <w:sz w:val="24"/>
          <w:szCs w:val="24"/>
          <w:lang w:val="en-US"/>
        </w:rPr>
        <w:t xml:space="preserve"> </w:t>
      </w:r>
      <w:proofErr w:type="spellStart"/>
      <w:r w:rsidR="00130505" w:rsidRPr="007720BC">
        <w:rPr>
          <w:rFonts w:ascii="Times New Roman" w:hAnsi="Times New Roman" w:cs="Times New Roman"/>
          <w:sz w:val="24"/>
          <w:szCs w:val="24"/>
          <w:lang w:val="en-US"/>
        </w:rPr>
        <w:t>masalah</w:t>
      </w:r>
      <w:proofErr w:type="spellEnd"/>
      <w:r w:rsidR="00130505" w:rsidRPr="007720BC">
        <w:rPr>
          <w:rFonts w:ascii="Times New Roman" w:hAnsi="Times New Roman" w:cs="Times New Roman"/>
          <w:sz w:val="24"/>
          <w:szCs w:val="24"/>
          <w:lang w:val="en-US"/>
        </w:rPr>
        <w:t xml:space="preserve"> stunting.</w:t>
      </w:r>
      <w:r w:rsidR="00F31301" w:rsidRPr="007720BC">
        <w:rPr>
          <w:rFonts w:ascii="Times New Roman" w:hAnsi="Times New Roman" w:cs="Times New Roman"/>
          <w:sz w:val="24"/>
          <w:szCs w:val="24"/>
          <w:lang w:val="en-US"/>
        </w:rPr>
        <w:t xml:space="preserve"> </w:t>
      </w:r>
    </w:p>
    <w:p w14:paraId="7A92D118" w14:textId="29ED8F8D" w:rsidR="00E149C0" w:rsidRPr="007720BC" w:rsidRDefault="00E149C0" w:rsidP="00E149C0">
      <w:pPr>
        <w:shd w:val="clear" w:color="auto" w:fill="FFFFFF"/>
        <w:spacing w:after="0" w:line="240" w:lineRule="auto"/>
        <w:ind w:right="-1" w:firstLine="720"/>
        <w:contextualSpacing/>
        <w:jc w:val="both"/>
        <w:textAlignment w:val="baseline"/>
        <w:rPr>
          <w:rFonts w:ascii="Times New Roman" w:hAnsi="Times New Roman" w:cs="Times New Roman"/>
          <w:sz w:val="24"/>
          <w:szCs w:val="24"/>
          <w:lang w:val="en-US"/>
        </w:rPr>
      </w:pPr>
      <w:r w:rsidRPr="007720BC">
        <w:rPr>
          <w:rStyle w:val="rynqvb"/>
          <w:rFonts w:ascii="Times New Roman" w:hAnsi="Times New Roman" w:cs="Times New Roman"/>
          <w:sz w:val="24"/>
          <w:szCs w:val="24"/>
          <w:lang w:val="id-ID"/>
        </w:rPr>
        <w:t xml:space="preserve">Beberapa kondisi yang </w:t>
      </w:r>
      <w:proofErr w:type="spellStart"/>
      <w:r w:rsidRPr="007720BC">
        <w:rPr>
          <w:rStyle w:val="rynqvb"/>
          <w:rFonts w:ascii="Times New Roman" w:hAnsi="Times New Roman" w:cs="Times New Roman"/>
          <w:sz w:val="24"/>
          <w:szCs w:val="24"/>
          <w:lang w:val="en-US"/>
        </w:rPr>
        <w:t>dapat</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memberikan</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manfaat</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dalam</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konteks</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penanganan</w:t>
      </w:r>
      <w:proofErr w:type="spellEnd"/>
      <w:r w:rsidRPr="007720BC">
        <w:rPr>
          <w:rStyle w:val="rynqvb"/>
          <w:rFonts w:ascii="Times New Roman" w:hAnsi="Times New Roman" w:cs="Times New Roman"/>
          <w:sz w:val="24"/>
          <w:szCs w:val="24"/>
          <w:lang w:val="en-US"/>
        </w:rPr>
        <w:t xml:space="preserve"> dan </w:t>
      </w:r>
      <w:proofErr w:type="spellStart"/>
      <w:r w:rsidRPr="007720BC">
        <w:rPr>
          <w:rStyle w:val="rynqvb"/>
          <w:rFonts w:ascii="Times New Roman" w:hAnsi="Times New Roman" w:cs="Times New Roman"/>
          <w:sz w:val="24"/>
          <w:szCs w:val="24"/>
          <w:lang w:val="en-US"/>
        </w:rPr>
        <w:t>pencegahan</w:t>
      </w:r>
      <w:proofErr w:type="spellEnd"/>
      <w:r w:rsidRPr="007720BC">
        <w:rPr>
          <w:rStyle w:val="rynqvb"/>
          <w:rFonts w:ascii="Times New Roman" w:hAnsi="Times New Roman" w:cs="Times New Roman"/>
          <w:sz w:val="24"/>
          <w:szCs w:val="24"/>
          <w:lang w:val="en-US"/>
        </w:rPr>
        <w:t xml:space="preserve"> stunting </w:t>
      </w:r>
      <w:proofErr w:type="spellStart"/>
      <w:r w:rsidRPr="007720BC">
        <w:rPr>
          <w:rStyle w:val="rynqvb"/>
          <w:rFonts w:ascii="Times New Roman" w:hAnsi="Times New Roman" w:cs="Times New Roman"/>
          <w:sz w:val="24"/>
          <w:szCs w:val="24"/>
          <w:lang w:val="en-US"/>
        </w:rPr>
        <w:t>melalui</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terintegrasinya</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kebijakan</w:t>
      </w:r>
      <w:proofErr w:type="spellEnd"/>
      <w:r w:rsidRPr="007720BC">
        <w:rPr>
          <w:rStyle w:val="rynqvb"/>
          <w:rFonts w:ascii="Times New Roman" w:hAnsi="Times New Roman" w:cs="Times New Roman"/>
          <w:sz w:val="24"/>
          <w:szCs w:val="24"/>
          <w:lang w:val="en-US"/>
        </w:rPr>
        <w:t xml:space="preserve"> dan </w:t>
      </w:r>
      <w:proofErr w:type="spellStart"/>
      <w:r w:rsidRPr="007720BC">
        <w:rPr>
          <w:rStyle w:val="rynqvb"/>
          <w:rFonts w:ascii="Times New Roman" w:hAnsi="Times New Roman" w:cs="Times New Roman"/>
          <w:sz w:val="24"/>
          <w:szCs w:val="24"/>
          <w:lang w:val="en-US"/>
        </w:rPr>
        <w:t>kepemimpinan</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lokal</w:t>
      </w:r>
      <w:proofErr w:type="spellEnd"/>
      <w:r w:rsidRPr="007720BC">
        <w:rPr>
          <w:rStyle w:val="rynqvb"/>
          <w:rFonts w:ascii="Times New Roman" w:hAnsi="Times New Roman" w:cs="Times New Roman"/>
          <w:sz w:val="24"/>
          <w:szCs w:val="24"/>
          <w:lang w:val="en-US"/>
        </w:rPr>
        <w:t xml:space="preserve"> </w:t>
      </w:r>
      <w:r w:rsidRPr="007720BC">
        <w:rPr>
          <w:rStyle w:val="rynqvb"/>
          <w:rFonts w:ascii="Times New Roman" w:hAnsi="Times New Roman" w:cs="Times New Roman"/>
          <w:sz w:val="24"/>
          <w:szCs w:val="24"/>
          <w:lang w:val="id-ID"/>
        </w:rPr>
        <w:fldChar w:fldCharType="begin" w:fldLock="1"/>
      </w:r>
      <w:r w:rsidRPr="007720BC">
        <w:rPr>
          <w:rStyle w:val="rynqvb"/>
          <w:rFonts w:ascii="Times New Roman" w:hAnsi="Times New Roman" w:cs="Times New Roman"/>
          <w:sz w:val="24"/>
          <w:szCs w:val="24"/>
          <w:lang w:val="id-ID"/>
        </w:rPr>
        <w:instrText>ADDIN CSL_CITATION {"citationItems":[{"id":"ITEM-1","itemData":{"DOI":"10.1007/s12571-018-0851-y","ISSN":"18764525","abstract":"Despite recent improvements in the national average, stunting levels in Afghanistan exceed 70% in some Provinces. Agriculture serves as the main source of livelihood for over half of the population and has the potential to be a strong driver of a reduction in under-nutrition. This article reports research conducted through interviews with stakeholders in agriculture and nutrition in the capital, Kabul, and four provinces of Afghanistan, to gain a better understanding of the institutional and political factors surrounding policy making and the nutrition-sensitivity of agriculture. Semi-structured interviews were conducted with a total of 46 stakeholders from central government and four provinces, including staff from international organizations, NGOs and universities. We found evidence of interdisciplinary communication at the central level and within Provinces, but little evidence of vertical coordination in policy formulation and implementation between the centre and Provinces. Policy formulation and decision making were largely sectoral, top-down, and poorly contextualised. The weaknesses identified in policy formulation, focus, knowledge management, and human and financial resources inhibit the orientation of national agricultural development strategies towards nutrition-sensitivity. Integrating agriculture and nutrition policies requires explicit leadership from the centre. However, effectiveness of a food-based approach to reducing nutrition insecurity will depend on decentralising policy ownership to the regions and provinces through stronger subnational governance. Security and humanitarian considerations point to the need to manage and integrate in a deliberate way the acute humanitarian care and long-term development needs, of which malnutrition is just one element.","author":[{"dropping-particle":"","family":"Poole","given":"Nigel","non-dropping-particle":"","parse-names":false,"suffix":""},{"dropping-particle":"","family":"Echavez","given":"Chona","non-dropping-particle":"","parse-names":false,"suffix":""},{"dropping-particle":"","family":"Rowland","given":"Dominic","non-dropping-particle":"","parse-names":false,"suffix":""}],"container-title":"Food Security","id":"ITEM-1","issue":"6","issued":{"date-parts":[["2018"]]},"page":"1577-1601","publisher":"Food Security","title":"Are agriculture and nutrition policies and practice coherent? Stakeholder evidence from Afghanistan","type":"article-journal","volume":"10"},"uris":["http://www.mendeley.com/documents/?uuid=dc914e21-9d74-45e4-82de-30f74b4a6f10"]}],"mendeley":{"formattedCitation":"(Poole, Echavez, dan Rowland 2018)","plainTextFormattedCitation":"(Poole, Echavez, dan Rowland 2018)","previouslyFormattedCitation":"(Poole, Echavez, dan Rowland 2018)"},"properties":{"noteIndex":0},"schema":"https://github.com/citation-style-language/schema/raw/master/csl-citation.json"}</w:instrText>
      </w:r>
      <w:r w:rsidRPr="007720BC">
        <w:rPr>
          <w:rStyle w:val="rynqvb"/>
          <w:rFonts w:ascii="Times New Roman" w:hAnsi="Times New Roman" w:cs="Times New Roman"/>
          <w:sz w:val="24"/>
          <w:szCs w:val="24"/>
          <w:lang w:val="id-ID"/>
        </w:rPr>
        <w:fldChar w:fldCharType="separate"/>
      </w:r>
      <w:r w:rsidRPr="007720BC">
        <w:rPr>
          <w:rStyle w:val="rynqvb"/>
          <w:rFonts w:ascii="Times New Roman" w:hAnsi="Times New Roman" w:cs="Times New Roman"/>
          <w:noProof/>
          <w:sz w:val="24"/>
          <w:szCs w:val="24"/>
          <w:lang w:val="id-ID"/>
        </w:rPr>
        <w:t>(Poole, Echavez, dan Rowland 2018)</w:t>
      </w:r>
      <w:r w:rsidRPr="007720BC">
        <w:rPr>
          <w:rStyle w:val="rynqvb"/>
          <w:rFonts w:ascii="Times New Roman" w:hAnsi="Times New Roman" w:cs="Times New Roman"/>
          <w:sz w:val="24"/>
          <w:szCs w:val="24"/>
          <w:lang w:val="id-ID"/>
        </w:rPr>
        <w:fldChar w:fldCharType="end"/>
      </w:r>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yaitu</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meningkatnya</w:t>
      </w:r>
      <w:proofErr w:type="spellEnd"/>
      <w:r w:rsidRPr="007720BC">
        <w:rPr>
          <w:rStyle w:val="rynqvb"/>
          <w:rFonts w:ascii="Times New Roman" w:hAnsi="Times New Roman" w:cs="Times New Roman"/>
          <w:sz w:val="24"/>
          <w:szCs w:val="24"/>
          <w:lang w:val="en-US"/>
        </w:rPr>
        <w:t xml:space="preserve"> </w:t>
      </w:r>
      <w:r w:rsidRPr="007720BC">
        <w:rPr>
          <w:rStyle w:val="rynqvb"/>
          <w:rFonts w:ascii="Times New Roman" w:hAnsi="Times New Roman" w:cs="Times New Roman"/>
          <w:sz w:val="24"/>
          <w:szCs w:val="24"/>
          <w:lang w:val="id-ID"/>
        </w:rPr>
        <w:t>keterampilan profesional dan budaya,</w:t>
      </w:r>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kemampuan</w:t>
      </w:r>
      <w:proofErr w:type="spellEnd"/>
      <w:r w:rsidRPr="007720BC">
        <w:rPr>
          <w:rStyle w:val="rynqvb"/>
          <w:rFonts w:ascii="Times New Roman" w:hAnsi="Times New Roman" w:cs="Times New Roman"/>
          <w:sz w:val="24"/>
          <w:szCs w:val="24"/>
          <w:lang w:val="en-US"/>
        </w:rPr>
        <w:t xml:space="preserve"> dan </w:t>
      </w:r>
      <w:proofErr w:type="spellStart"/>
      <w:r w:rsidRPr="007720BC">
        <w:rPr>
          <w:rStyle w:val="rynqvb"/>
          <w:rFonts w:ascii="Times New Roman" w:hAnsi="Times New Roman" w:cs="Times New Roman"/>
          <w:sz w:val="24"/>
          <w:szCs w:val="24"/>
          <w:lang w:val="en-US"/>
        </w:rPr>
        <w:t>komitmen</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dukungan</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kesejahteraan</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dari</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faktor</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kepemimpinan</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komunikasi</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terbuka</w:t>
      </w:r>
      <w:proofErr w:type="spellEnd"/>
      <w:r w:rsidRPr="007720BC">
        <w:rPr>
          <w:rStyle w:val="rynqvb"/>
          <w:rFonts w:ascii="Times New Roman" w:hAnsi="Times New Roman" w:cs="Times New Roman"/>
          <w:sz w:val="24"/>
          <w:szCs w:val="24"/>
          <w:lang w:val="en-US"/>
        </w:rPr>
        <w:t xml:space="preserve"> dan </w:t>
      </w:r>
      <w:proofErr w:type="spellStart"/>
      <w:r w:rsidRPr="007720BC">
        <w:rPr>
          <w:rStyle w:val="rynqvb"/>
          <w:rFonts w:ascii="Times New Roman" w:hAnsi="Times New Roman" w:cs="Times New Roman"/>
          <w:sz w:val="24"/>
          <w:szCs w:val="24"/>
          <w:lang w:val="en-US"/>
        </w:rPr>
        <w:t>tindakan</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pengambilan</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keputusan</w:t>
      </w:r>
      <w:proofErr w:type="spellEnd"/>
      <w:r w:rsidRPr="007720BC">
        <w:rPr>
          <w:rStyle w:val="rynqvb"/>
          <w:rFonts w:ascii="Times New Roman" w:hAnsi="Times New Roman" w:cs="Times New Roman"/>
          <w:sz w:val="24"/>
          <w:szCs w:val="24"/>
          <w:lang w:val="en-US"/>
        </w:rPr>
        <w:t xml:space="preserve"> yang </w:t>
      </w:r>
      <w:proofErr w:type="spellStart"/>
      <w:r w:rsidRPr="007720BC">
        <w:rPr>
          <w:rStyle w:val="rynqvb"/>
          <w:rFonts w:ascii="Times New Roman" w:hAnsi="Times New Roman" w:cs="Times New Roman"/>
          <w:sz w:val="24"/>
          <w:szCs w:val="24"/>
          <w:lang w:val="en-US"/>
        </w:rPr>
        <w:t>tepat</w:t>
      </w:r>
      <w:proofErr w:type="spellEnd"/>
      <w:r w:rsidRPr="007720BC">
        <w:rPr>
          <w:rStyle w:val="rynqvb"/>
          <w:rFonts w:ascii="Times New Roman" w:hAnsi="Times New Roman" w:cs="Times New Roman"/>
          <w:sz w:val="24"/>
          <w:szCs w:val="24"/>
          <w:lang w:val="en-US"/>
        </w:rPr>
        <w:t xml:space="preserve"> di </w:t>
      </w:r>
      <w:proofErr w:type="spellStart"/>
      <w:r w:rsidRPr="007720BC">
        <w:rPr>
          <w:rStyle w:val="rynqvb"/>
          <w:rFonts w:ascii="Times New Roman" w:hAnsi="Times New Roman" w:cs="Times New Roman"/>
          <w:sz w:val="24"/>
          <w:szCs w:val="24"/>
          <w:lang w:val="en-US"/>
        </w:rPr>
        <w:t>lapangan</w:t>
      </w:r>
      <w:proofErr w:type="spellEnd"/>
      <w:r w:rsidRPr="007720BC">
        <w:rPr>
          <w:rStyle w:val="rynqvb"/>
          <w:rFonts w:ascii="Times New Roman" w:hAnsi="Times New Roman" w:cs="Times New Roman"/>
          <w:sz w:val="24"/>
          <w:szCs w:val="24"/>
          <w:lang w:val="en-US"/>
        </w:rPr>
        <w:t xml:space="preserve"> </w:t>
      </w:r>
      <w:r w:rsidRPr="007720BC">
        <w:rPr>
          <w:rStyle w:val="rynqvb"/>
          <w:rFonts w:ascii="Times New Roman" w:hAnsi="Times New Roman" w:cs="Times New Roman"/>
          <w:sz w:val="24"/>
          <w:szCs w:val="24"/>
          <w:lang w:val="id-ID"/>
        </w:rPr>
        <w:fldChar w:fldCharType="begin" w:fldLock="1"/>
      </w:r>
      <w:r w:rsidRPr="007720BC">
        <w:rPr>
          <w:rStyle w:val="rynqvb"/>
          <w:rFonts w:ascii="Times New Roman" w:hAnsi="Times New Roman" w:cs="Times New Roman"/>
          <w:sz w:val="24"/>
          <w:szCs w:val="24"/>
          <w:lang w:val="id-ID"/>
        </w:rPr>
        <w:instrText>ADDIN CSL_CITATION {"citationItems":[{"id":"ITEM-1","itemData":{"DOI":"10.1016/j.childyouth.2020.104954","ISSN":"01907409","abstract":"Introduction: In recent years, Australian government policies have promoted access to secondary education through boarding schools for Aboriginal and Torres Strait Islander (hereafter respectfully termed Indigenous) students from remote communities. These students experience the poorest health of any Australian adolescent group. This exploratory study examines how boarding schools across Queensland promote and manage healthcare and wellbeing support for Indigenous students. Methods: Qualitative grounded theory methods were used to sample and collect data from the healthcare and wellbeing support staff of eight Queensland boarding schools using semi-structured interviews. Data were coded using NVIVO software and compared to identify the context, conditions, core process, strategies and outcomes of boarding schools’ healthcare and wellbeing support. Preliminary findings were fed back to school staff and students’ family members for discussion and response at an annual Schools and Communities meeting. Results: Boarding school health staff support Indigenous student-centred healthcare and wellbeing by weaving a relational network with students, families, school staff and external healthcare providers. Either through on-site or school-linked centres, they provide students with access to healthcare services, support wellbeing, and offer health education. Through these strategies, they enable students’ participation in education and learning, receive quality healthcare improvement, “move to a better head space”, and become responsible for their own healthcare. Enabling conditions are the professional and cultural capabilities of school staff, school leadership and commitment, compatibility of intersectoral systems and resourcing of healthcare and wellbeing support. Conclusions: Boarding schools are doing considerable work to improve the promotion and management of healthcare and wellbeing support for Indigenous students, but there is considerable variation across schools, impacts are not formally monitored or reported, and there are many opportunities for improvement. Working towards a best practice framework, school staff identified a need for a multi-levelled relational model of healthcare and wellbeing support to be iteratively embedded at each stage of the school cycle: at intake; enrolment; term one; and throughout the school year (including in emergencies/crises).","author":[{"dropping-particle":"","family":"McCalman","given":"Janya","non-dropping-particle":"","parse-names":false,"suffix":""},{"dropping-particle":"","family":"Benveniste","given":"Tessa","non-dropping-particle":"","parse-names":false,"suffix":""},{"dropping-particle":"","family":"Wenitong","given":"Mark","non-dropping-particle":"","parse-names":false,"suffix":""},{"dropping-particle":"","family":"Saunders","given":"Vicki","non-dropping-particle":"","parse-names":false,"suffix":""},{"dropping-particle":"","family":"Hunter","given":"Ernest","non-dropping-particle":"","parse-names":false,"suffix":""}],"container-title":"Children and Youth Services Review","id":"ITEM-1","issue":"April","issued":{"date-parts":[["2020"]]},"page":"104954","publisher":"Elsevier","title":"“It's all about relationships”: The place of boarding schools in promoting and managing health and wellbeing of Aboriginal and Torres Strait Islander secondary school students","type":"article-journal","volume":"113"},"uris":["http://www.mendeley.com/documents/?uuid=334f95ba-1aa7-49f1-9c7c-23461eb9b92c"]}],"mendeley":{"formattedCitation":"(McCalman et al. 2020)","plainTextFormattedCitation":"(McCalman et al. 2020)","previouslyFormattedCitation":"(McCalman et al. 2020)"},"properties":{"noteIndex":0},"schema":"https://github.com/citation-style-language/schema/raw/master/csl-citation.json"}</w:instrText>
      </w:r>
      <w:r w:rsidRPr="007720BC">
        <w:rPr>
          <w:rStyle w:val="rynqvb"/>
          <w:rFonts w:ascii="Times New Roman" w:hAnsi="Times New Roman" w:cs="Times New Roman"/>
          <w:sz w:val="24"/>
          <w:szCs w:val="24"/>
          <w:lang w:val="id-ID"/>
        </w:rPr>
        <w:fldChar w:fldCharType="separate"/>
      </w:r>
      <w:r w:rsidRPr="007720BC">
        <w:rPr>
          <w:rStyle w:val="rynqvb"/>
          <w:rFonts w:ascii="Times New Roman" w:hAnsi="Times New Roman" w:cs="Times New Roman"/>
          <w:noProof/>
          <w:sz w:val="24"/>
          <w:szCs w:val="24"/>
          <w:lang w:val="id-ID"/>
        </w:rPr>
        <w:t>(McCalman et al. 2020)</w:t>
      </w:r>
      <w:r w:rsidRPr="007720BC">
        <w:rPr>
          <w:rStyle w:val="rynqvb"/>
          <w:rFonts w:ascii="Times New Roman" w:hAnsi="Times New Roman" w:cs="Times New Roman"/>
          <w:sz w:val="24"/>
          <w:szCs w:val="24"/>
          <w:lang w:val="id-ID"/>
        </w:rPr>
        <w:fldChar w:fldCharType="end"/>
      </w:r>
      <w:r w:rsidRPr="007720BC">
        <w:rPr>
          <w:rStyle w:val="rynqvb"/>
          <w:rFonts w:ascii="Times New Roman" w:hAnsi="Times New Roman" w:cs="Times New Roman"/>
          <w:sz w:val="24"/>
          <w:szCs w:val="24"/>
          <w:lang w:val="en-US"/>
        </w:rPr>
        <w:t xml:space="preserve"> </w:t>
      </w:r>
      <w:r w:rsidRPr="007720BC">
        <w:rPr>
          <w:rStyle w:val="rynqvb"/>
          <w:rFonts w:ascii="Times New Roman" w:hAnsi="Times New Roman" w:cs="Times New Roman"/>
          <w:sz w:val="24"/>
          <w:szCs w:val="24"/>
          <w:lang w:val="id-ID"/>
        </w:rPr>
        <w:fldChar w:fldCharType="begin" w:fldLock="1"/>
      </w:r>
      <w:r w:rsidRPr="007720BC">
        <w:rPr>
          <w:rStyle w:val="rynqvb"/>
          <w:rFonts w:ascii="Times New Roman" w:hAnsi="Times New Roman" w:cs="Times New Roman"/>
          <w:sz w:val="24"/>
          <w:szCs w:val="24"/>
          <w:lang w:val="id-ID"/>
        </w:rPr>
        <w:instrText>ADDIN CSL_CITATION {"citationItems":[{"id":"ITEM-1","itemData":{"DOI":"10.3390/su142114243","ISSN":"20711050","abstract":"The reference to the success factors of incubators and startups in running their business so far has been ambiguous. The purpose of this study is to analyze the critical factors that can affect the success of incubators and startups. The quantitative research method describes the research results. The study locus is in East Java Province, Indonesia with primary data from respondents in five regions: Banyuwangi, Jember, Madiun, Malang, and Surabaya. The number of respondents was 41 from incubators and 59 from startups with identification of domicile, type of business, and business turnover. Data was collected using surveys and interviews with 100 respondents. The analysis in this study uses eleven factors that are assumed to be factors of business success that have been tested with Kaiser Meyer Olkin Measure (KMO), Measure of Sampling Adequacy (MSA), Bartlett’s test, and Cronbach Alpha. The critical point used for the KMO value is between 0.5 and 1, the MSA test critical point is 0.5, Bartlett’s test is less than the significance level (α = 0.05), and α cronbach ≥ 0.60. The analyzed factors are as follows: synergy products; processes; innovation management; communication; culture; experience; information technology; innovation skills; functional skills; and implementation skills. As a result, incubators and startups agree on eleven critical factors to building their business success, but there are differences in the priority scale between incubators and startups on these eleven factors.","author":[{"dropping-particle":"","family":"Habiburrahman","given":"","non-dropping-particle":"","parse-names":false,"suffix":""},{"dropping-particle":"","family":"Prasetyo","given":"Andjar","non-dropping-particle":"","parse-names":false,"suffix":""},{"dropping-particle":"","family":"Raharjo","given":"Tri Wedha","non-dropping-particle":"","parse-names":false,"suffix":""},{"dropping-particle":"","family":"Rinawati","given":"Herrukmi Septa","non-dropping-particle":"","parse-names":false,"suffix":""},{"dropping-particle":"","family":"Trisnani","given":"","non-dropping-particle":"","parse-names":false,"suffix":""},{"dropping-particle":"","family":"Eko","given":"Bambang Riawan","non-dropping-particle":"","parse-names":false,"suffix":""},{"dropping-particle":"","family":"Wahyudiyono","given":"","non-dropping-particle":"","parse-names":false,"suffix":""},{"dropping-particle":"","family":"Wulandari","given":"Sekar Nur","non-dropping-particle":"","parse-names":false,"suffix":""},{"dropping-particle":"","family":"Fahlevi","given":"Mochammad","non-dropping-particle":"","parse-names":false,"suffix":""},{"dropping-particle":"","family":"Aljuaid","given":"Mohammed","non-dropping-particle":"","parse-names":false,"suffix":""},{"dropping-particle":"","family":"Heidler","given":"Petra","non-dropping-particle":"","parse-names":false,"suffix":""}],"container-title":"Sustainability (Switzerland)","id":"ITEM-1","issue":"21","issued":{"date-parts":[["2022"]]},"page":"1-17","title":"Determination of Critical Factors for Success in Business Incubators and Startups in East Java","type":"article-journal","volume":"14"},"uris":["http://www.mendeley.com/documents/?uuid=942a8220-e704-443d-8ea3-b801e3db8c5c"]}],"mendeley":{"formattedCitation":"(Habiburrahman et al. 2022)","plainTextFormattedCitation":"(Habiburrahman et al. 2022)","previouslyFormattedCitation":"(Habiburrahman et al. 2022)"},"properties":{"noteIndex":0},"schema":"https://github.com/citation-style-language/schema/raw/master/csl-citation.json"}</w:instrText>
      </w:r>
      <w:r w:rsidRPr="007720BC">
        <w:rPr>
          <w:rStyle w:val="rynqvb"/>
          <w:rFonts w:ascii="Times New Roman" w:hAnsi="Times New Roman" w:cs="Times New Roman"/>
          <w:sz w:val="24"/>
          <w:szCs w:val="24"/>
          <w:lang w:val="id-ID"/>
        </w:rPr>
        <w:fldChar w:fldCharType="separate"/>
      </w:r>
      <w:r w:rsidRPr="007720BC">
        <w:rPr>
          <w:rStyle w:val="rynqvb"/>
          <w:rFonts w:ascii="Times New Roman" w:hAnsi="Times New Roman" w:cs="Times New Roman"/>
          <w:noProof/>
          <w:sz w:val="24"/>
          <w:szCs w:val="24"/>
          <w:lang w:val="id-ID"/>
        </w:rPr>
        <w:t>(Habiburrahman et al. 2022)</w:t>
      </w:r>
      <w:r w:rsidRPr="007720BC">
        <w:rPr>
          <w:rStyle w:val="rynqvb"/>
          <w:rFonts w:ascii="Times New Roman" w:hAnsi="Times New Roman" w:cs="Times New Roman"/>
          <w:sz w:val="24"/>
          <w:szCs w:val="24"/>
          <w:lang w:val="id-ID"/>
        </w:rPr>
        <w:fldChar w:fldCharType="end"/>
      </w:r>
      <w:r w:rsidRPr="007720BC">
        <w:rPr>
          <w:rStyle w:val="rynqvb"/>
          <w:rFonts w:ascii="Times New Roman" w:hAnsi="Times New Roman" w:cs="Times New Roman"/>
          <w:sz w:val="24"/>
          <w:szCs w:val="24"/>
          <w:lang w:val="en-US"/>
        </w:rPr>
        <w:t xml:space="preserve">  </w:t>
      </w:r>
      <w:r w:rsidRPr="007720BC">
        <w:rPr>
          <w:rStyle w:val="rynqvb"/>
          <w:rFonts w:ascii="Times New Roman" w:hAnsi="Times New Roman" w:cs="Times New Roman"/>
          <w:sz w:val="24"/>
          <w:szCs w:val="24"/>
          <w:lang w:val="id-ID"/>
        </w:rPr>
        <w:fldChar w:fldCharType="begin" w:fldLock="1"/>
      </w:r>
      <w:r w:rsidRPr="007720BC">
        <w:rPr>
          <w:rStyle w:val="rynqvb"/>
          <w:rFonts w:ascii="Times New Roman" w:hAnsi="Times New Roman" w:cs="Times New Roman"/>
          <w:sz w:val="24"/>
          <w:szCs w:val="24"/>
          <w:lang w:val="id-ID"/>
        </w:rPr>
        <w:instrText>ADDIN CSL_CITATION {"citationItems":[{"id":"ITEM-1","itemData":{"DOI":"10.1136/bmjoq-2019-000753","ISSN":"23996641","PMID":"32098776","abstract":"BACKGROUND: Open communication between leadership and frontline staff at the unit level is vital in promoting safe hospital culture. Our hospital staff culture survey identified the failure to address safety issues as one of the areas where staff felt unable to express their concerns openly. Thus, this improvement project using the daily safety huddle tool has been developed to enhance teamwork communication and respond effectively to patient safety issues identified in a paediatric intensive care unit. METHODS: We used the TeamSTEPPS quality approach. TeamSTEPPS is an evidence-based set of teamwork tools developed by the US Agency of Healthcare Research and Quality to enhance teamwork and communication. We applied TeamSTEPPS using a tool called the Daily Safety Huddle, aiming at improving communication and interaction between healthcare workers and building trust by acting immediately when there is any patient safety issue or concern at the unit level. RESULTS: During the period from April to December 2017, the interaction between frontline staff and unit leadership increased through compliance with the daily safety huddle. Initially, compliance was at 73%, but it increased to 97%, with a total of 340 safety issues addressed. The majority of these safety issues pertained to infection control and medication errors (109; 32.05%), followed by communication (83; 24.41%), documentation (59; 17.35%), other issues (37; 10.88%), procedure (20; 5.88%), patient flow (16; 4.7%) and equipment and supplies (16; 4.7%). CONCLUSIONS: Systematic use of daily safety huddle is a powerful tool to create an equitable environment where frontline staff can speak up freely about daily patient safety concerns. The huddle leads to a more open and active discussion with unit leadership and to the ability to perform the right action at the right time.","author":[{"dropping-particle":"","family":"Aldawood","given":"Fatima","non-dropping-particle":"","parse-names":false,"suffix":""},{"dropping-particle":"","family":"Kazzaz","given":"Yasser","non-dropping-particle":"","parse-names":false,"suffix":""},{"dropping-particle":"","family":"AlShehri","given":"Ali","non-dropping-particle":"","parse-names":false,"suffix":""},{"dropping-particle":"","family":"Alali","given":"Hamza","non-dropping-particle":"","parse-names":false,"suffix":""},{"dropping-particle":"","family":"Al-Surimi","given":"Khaled","non-dropping-particle":"","parse-names":false,"suffix":""}],"container-title":"BMJ open quality","id":"ITEM-1","issue":"1","issued":{"date-parts":[["2020"]]},"page":"1-5","title":"Enhancing teamwork communication and patient safety responsiveness in a paediatric intensive care unit using the daily safety huddle tool","type":"article-journal","volume":"9"},"uris":["http://www.mendeley.com/documents/?uuid=c3614aea-0502-4755-b8ac-174486dec5fe"]}],"mendeley":{"formattedCitation":"(Aldawood et al. 2020)","plainTextFormattedCitation":"(Aldawood et al. 2020)","previouslyFormattedCitation":"(Aldawood et al. 2020)"},"properties":{"noteIndex":0},"schema":"https://github.com/citation-style-language/schema/raw/master/csl-citation.json"}</w:instrText>
      </w:r>
      <w:r w:rsidRPr="007720BC">
        <w:rPr>
          <w:rStyle w:val="rynqvb"/>
          <w:rFonts w:ascii="Times New Roman" w:hAnsi="Times New Roman" w:cs="Times New Roman"/>
          <w:sz w:val="24"/>
          <w:szCs w:val="24"/>
          <w:lang w:val="id-ID"/>
        </w:rPr>
        <w:fldChar w:fldCharType="separate"/>
      </w:r>
      <w:r w:rsidRPr="007720BC">
        <w:rPr>
          <w:rStyle w:val="rynqvb"/>
          <w:rFonts w:ascii="Times New Roman" w:hAnsi="Times New Roman" w:cs="Times New Roman"/>
          <w:noProof/>
          <w:sz w:val="24"/>
          <w:szCs w:val="24"/>
          <w:lang w:val="id-ID"/>
        </w:rPr>
        <w:t>(Aldawood et al. 2020)</w:t>
      </w:r>
      <w:r w:rsidRPr="007720BC">
        <w:rPr>
          <w:rStyle w:val="rynqvb"/>
          <w:rFonts w:ascii="Times New Roman" w:hAnsi="Times New Roman" w:cs="Times New Roman"/>
          <w:sz w:val="24"/>
          <w:szCs w:val="24"/>
          <w:lang w:val="id-ID"/>
        </w:rPr>
        <w:fldChar w:fldCharType="end"/>
      </w:r>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Disisi</w:t>
      </w:r>
      <w:proofErr w:type="spellEnd"/>
      <w:r w:rsidRPr="007720BC">
        <w:rPr>
          <w:rStyle w:val="rynqvb"/>
          <w:rFonts w:ascii="Times New Roman" w:hAnsi="Times New Roman" w:cs="Times New Roman"/>
          <w:sz w:val="24"/>
          <w:szCs w:val="24"/>
          <w:lang w:val="en-US"/>
        </w:rPr>
        <w:t xml:space="preserve"> lain </w:t>
      </w:r>
      <w:proofErr w:type="spellStart"/>
      <w:r w:rsidRPr="007720BC">
        <w:rPr>
          <w:rStyle w:val="rynqvb"/>
          <w:rFonts w:ascii="Times New Roman" w:hAnsi="Times New Roman" w:cs="Times New Roman"/>
          <w:sz w:val="24"/>
          <w:szCs w:val="24"/>
          <w:lang w:val="en-US"/>
        </w:rPr>
        <w:t>dalam</w:t>
      </w:r>
      <w:proofErr w:type="spellEnd"/>
      <w:r w:rsidRPr="007720BC">
        <w:rPr>
          <w:rStyle w:val="rynqvb"/>
          <w:rFonts w:ascii="Times New Roman" w:hAnsi="Times New Roman" w:cs="Times New Roman"/>
          <w:sz w:val="24"/>
          <w:szCs w:val="24"/>
          <w:lang w:val="en-US"/>
        </w:rPr>
        <w:t xml:space="preserve"> </w:t>
      </w:r>
      <w:proofErr w:type="spellStart"/>
      <w:r w:rsidR="003F577A" w:rsidRPr="007720BC">
        <w:rPr>
          <w:rStyle w:val="rynqvb"/>
          <w:rFonts w:ascii="Times New Roman" w:hAnsi="Times New Roman" w:cs="Times New Roman"/>
          <w:sz w:val="24"/>
          <w:szCs w:val="24"/>
          <w:lang w:val="en-US"/>
        </w:rPr>
        <w:t>u</w:t>
      </w:r>
      <w:r w:rsidRPr="007720BC">
        <w:rPr>
          <w:rStyle w:val="rynqvb"/>
          <w:rFonts w:ascii="Times New Roman" w:hAnsi="Times New Roman" w:cs="Times New Roman"/>
          <w:sz w:val="24"/>
          <w:szCs w:val="24"/>
          <w:lang w:val="en-US"/>
        </w:rPr>
        <w:t>paya</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meningkatkan</w:t>
      </w:r>
      <w:proofErr w:type="spellEnd"/>
      <w:r w:rsidRPr="007720BC">
        <w:rPr>
          <w:rStyle w:val="rynqvb"/>
          <w:rFonts w:ascii="Times New Roman" w:hAnsi="Times New Roman" w:cs="Times New Roman"/>
          <w:sz w:val="24"/>
          <w:szCs w:val="24"/>
          <w:lang w:val="en-US"/>
        </w:rPr>
        <w:t xml:space="preserve"> indicator </w:t>
      </w:r>
      <w:proofErr w:type="spellStart"/>
      <w:r w:rsidR="005464D1" w:rsidRPr="007720BC">
        <w:rPr>
          <w:rStyle w:val="rynqvb"/>
          <w:rFonts w:ascii="Times New Roman" w:hAnsi="Times New Roman" w:cs="Times New Roman"/>
          <w:sz w:val="24"/>
          <w:szCs w:val="24"/>
          <w:lang w:val="en-US"/>
        </w:rPr>
        <w:t>k</w:t>
      </w:r>
      <w:r w:rsidRPr="007720BC">
        <w:rPr>
          <w:rStyle w:val="rynqvb"/>
          <w:rFonts w:ascii="Times New Roman" w:hAnsi="Times New Roman" w:cs="Times New Roman"/>
          <w:sz w:val="24"/>
          <w:szCs w:val="24"/>
          <w:lang w:val="en-US"/>
        </w:rPr>
        <w:t>esehatan</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faktor</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pengetahuan</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kepemimpinan</w:t>
      </w:r>
      <w:proofErr w:type="spellEnd"/>
      <w:r w:rsidRPr="007720BC">
        <w:rPr>
          <w:rStyle w:val="rynqvb"/>
          <w:rFonts w:ascii="Times New Roman" w:hAnsi="Times New Roman" w:cs="Times New Roman"/>
          <w:sz w:val="24"/>
          <w:szCs w:val="24"/>
          <w:lang w:val="en-US"/>
        </w:rPr>
        <w:t xml:space="preserve"> </w:t>
      </w:r>
      <w:r w:rsidRPr="007720BC">
        <w:rPr>
          <w:rStyle w:val="rynqvb"/>
          <w:rFonts w:ascii="Times New Roman" w:hAnsi="Times New Roman" w:cs="Times New Roman"/>
          <w:sz w:val="24"/>
          <w:szCs w:val="24"/>
          <w:lang w:val="en-US"/>
        </w:rPr>
        <w:fldChar w:fldCharType="begin" w:fldLock="1"/>
      </w:r>
      <w:r w:rsidRPr="007720BC">
        <w:rPr>
          <w:rStyle w:val="rynqvb"/>
          <w:rFonts w:ascii="Times New Roman" w:hAnsi="Times New Roman" w:cs="Times New Roman"/>
          <w:sz w:val="24"/>
          <w:szCs w:val="24"/>
          <w:lang w:val="en-US"/>
        </w:rPr>
        <w:instrText>ADDIN CSL_CITATION {"citationItems":[{"id":"ITEM-1","itemData":{"ISSN":"16604601","PMID":"33562016","abstract":"Healthcare organisations are social systems in which human resources are the most important factor. Leadership plays a key role, affecting outcomes for professionals, patients and work environment. The aim of this research was to identify and analyse the knowledge present to date concerning the correlation between leadership styles and nurses’ job satisfaction. A systematic review was carried out on PubMed, CINAHL and Embase using the following inclusion criteria: impact of different leadership styles on nurses’ job satisfaction; secondary care; nursing setting; full-text available; English or Italian language. From 11,813 initial titles, 12 studies were selected. Of these, 88% showed a significant correlation between leadership style and nurses’ job satisfaction. Transformational style had the highest number of positive correlations followed by authentic, resonant and servant styles. Passive-avoidant and laissez-faire styles, instead, showed a negative correlation with job satisfaction in all cases. Only the transactional style showed both positive and negative correlation. In this challenging environment, leaders need to promote technical and professional competencies, but also act to improve staff satisfaction and morale. It is necessary to identify and fill the gaps in leadership knowledge as a future objective to positively affect health professionals’ job satisfaction and therefore healthcare quality indicators.","author":[{"dropping-particle":"","family":"Specchia","given":"Maria Lucia","non-dropping-particle":"","parse-names":false,"suffix":""},{"dropping-particle":"","family":"Cozzolino","given":"Maria Rosaria","non-dropping-particle":"","parse-names":false,"suffix":""},{"dropping-particle":"","family":"Carini","given":"Elettra","non-dropping-particle":"","parse-names":false,"suffix":""},{"dropping-particle":"","family":"Pilla","given":"Andrea","non-dropping-particle":"Di","parse-names":false,"suffix":""},{"dropping-particle":"","family":"Galletti","given":"Caterina","non-dropping-particle":"","parse-names":false,"suffix":""},{"dropping-particle":"","family":"Ricciardi","given":"Walter","non-dropping-particle":"","parse-names":false,"suffix":""},{"dropping-particle":"","family":"Damiani","given":"Gianfranco","non-dropping-particle":"","parse-names":false,"suffix":""}],"id":"ITEM-1","issued":{"date-parts":[["2021"]]},"title":"Leadership styles and nurses’ job satisfaction. Results of a systematic review. Int J Environ Res Public Health. [revista en Internet] 2021 [acceso 22 de junio de 2022]; 18(4): 1552","type":"article-journal"},"uris":["http://www.mendeley.com/documents/?uuid=9976e593-0661-41b2-8e1e-aa567a567449"]}],"mendeley":{"formattedCitation":"(Specchia et al. 2021)","plainTextFormattedCitation":"(Specchia et al. 2021)","previouslyFormattedCitation":"(Specchia et al. 2021)"},"properties":{"noteIndex":0},"schema":"https://github.com/citation-style-language/schema/raw/master/csl-citation.json"}</w:instrText>
      </w:r>
      <w:r w:rsidRPr="007720BC">
        <w:rPr>
          <w:rStyle w:val="rynqvb"/>
          <w:rFonts w:ascii="Times New Roman" w:hAnsi="Times New Roman" w:cs="Times New Roman"/>
          <w:sz w:val="24"/>
          <w:szCs w:val="24"/>
          <w:lang w:val="en-US"/>
        </w:rPr>
        <w:fldChar w:fldCharType="separate"/>
      </w:r>
      <w:r w:rsidRPr="007720BC">
        <w:rPr>
          <w:rStyle w:val="rynqvb"/>
          <w:rFonts w:ascii="Times New Roman" w:hAnsi="Times New Roman" w:cs="Times New Roman"/>
          <w:noProof/>
          <w:sz w:val="24"/>
          <w:szCs w:val="24"/>
          <w:lang w:val="en-US"/>
        </w:rPr>
        <w:t>(Specchia et al. 2021)</w:t>
      </w:r>
      <w:r w:rsidRPr="007720BC">
        <w:rPr>
          <w:rStyle w:val="rynqvb"/>
          <w:rFonts w:ascii="Times New Roman" w:hAnsi="Times New Roman" w:cs="Times New Roman"/>
          <w:sz w:val="24"/>
          <w:szCs w:val="24"/>
          <w:lang w:val="en-US"/>
        </w:rPr>
        <w:fldChar w:fldCharType="end"/>
      </w:r>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akan</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berdampak</w:t>
      </w:r>
      <w:proofErr w:type="spellEnd"/>
      <w:r w:rsidRPr="007720BC">
        <w:rPr>
          <w:rStyle w:val="rynqvb"/>
          <w:rFonts w:ascii="Times New Roman" w:hAnsi="Times New Roman" w:cs="Times New Roman"/>
          <w:sz w:val="24"/>
          <w:szCs w:val="24"/>
          <w:lang w:val="en-US"/>
        </w:rPr>
        <w:t xml:space="preserve"> pada</w:t>
      </w:r>
      <w:r w:rsidR="005464D1" w:rsidRPr="007720BC">
        <w:rPr>
          <w:rStyle w:val="rynqvb"/>
          <w:rFonts w:ascii="Times New Roman" w:hAnsi="Times New Roman" w:cs="Times New Roman"/>
          <w:sz w:val="24"/>
          <w:szCs w:val="24"/>
          <w:lang w:val="en-US"/>
        </w:rPr>
        <w:t xml:space="preserve"> </w:t>
      </w:r>
      <w:proofErr w:type="spellStart"/>
      <w:r w:rsidR="003F577A" w:rsidRPr="007720BC">
        <w:rPr>
          <w:rStyle w:val="rynqvb"/>
          <w:rFonts w:ascii="Times New Roman" w:hAnsi="Times New Roman" w:cs="Times New Roman"/>
          <w:sz w:val="24"/>
          <w:szCs w:val="24"/>
          <w:lang w:val="en-US"/>
        </w:rPr>
        <w:t>i</w:t>
      </w:r>
      <w:proofErr w:type="spellEnd"/>
      <w:r w:rsidR="005464D1" w:rsidRPr="007720BC">
        <w:rPr>
          <w:rStyle w:val="rynqvb"/>
          <w:rFonts w:ascii="Times New Roman" w:hAnsi="Times New Roman" w:cs="Times New Roman"/>
          <w:sz w:val="24"/>
          <w:szCs w:val="24"/>
          <w:lang w:val="id-ID"/>
        </w:rPr>
        <w:t>ntervensi komunikasi budaya</w:t>
      </w:r>
      <w:r w:rsidR="003F577A" w:rsidRPr="007720BC">
        <w:rPr>
          <w:rStyle w:val="rynqvb"/>
          <w:rFonts w:ascii="Times New Roman" w:hAnsi="Times New Roman" w:cs="Times New Roman"/>
          <w:sz w:val="24"/>
          <w:szCs w:val="24"/>
          <w:lang w:val="en-US"/>
        </w:rPr>
        <w:t xml:space="preserve"> </w:t>
      </w:r>
      <w:r w:rsidR="003F577A" w:rsidRPr="007720BC">
        <w:rPr>
          <w:rStyle w:val="rynqvb"/>
          <w:rFonts w:ascii="Times New Roman" w:hAnsi="Times New Roman" w:cs="Times New Roman"/>
          <w:sz w:val="24"/>
          <w:szCs w:val="24"/>
          <w:lang w:val="id-ID"/>
        </w:rPr>
        <w:t xml:space="preserve">para pemimpin agama </w:t>
      </w:r>
      <w:r w:rsidR="003F577A" w:rsidRPr="007720BC">
        <w:rPr>
          <w:rStyle w:val="rynqvb"/>
          <w:rFonts w:ascii="Times New Roman" w:hAnsi="Times New Roman" w:cs="Times New Roman"/>
          <w:sz w:val="24"/>
          <w:szCs w:val="24"/>
          <w:lang w:val="en-US"/>
        </w:rPr>
        <w:t xml:space="preserve">yang </w:t>
      </w:r>
      <w:r w:rsidR="003F577A" w:rsidRPr="007720BC">
        <w:rPr>
          <w:rStyle w:val="rynqvb"/>
          <w:rFonts w:ascii="Times New Roman" w:hAnsi="Times New Roman" w:cs="Times New Roman"/>
          <w:sz w:val="24"/>
          <w:szCs w:val="24"/>
          <w:lang w:val="id-ID"/>
        </w:rPr>
        <w:t>berbicara tentang gizi</w:t>
      </w:r>
      <w:r w:rsidR="005464D1" w:rsidRPr="007720BC">
        <w:rPr>
          <w:rStyle w:val="rynqvb"/>
          <w:rFonts w:ascii="Times New Roman" w:hAnsi="Times New Roman" w:cs="Times New Roman"/>
          <w:sz w:val="24"/>
          <w:szCs w:val="24"/>
          <w:lang w:val="id-ID"/>
        </w:rPr>
        <w:t xml:space="preserve"> dapat membantu </w:t>
      </w:r>
      <w:proofErr w:type="spellStart"/>
      <w:r w:rsidR="003F577A" w:rsidRPr="007720BC">
        <w:rPr>
          <w:rStyle w:val="rynqvb"/>
          <w:rFonts w:ascii="Times New Roman" w:hAnsi="Times New Roman" w:cs="Times New Roman"/>
          <w:sz w:val="24"/>
          <w:szCs w:val="24"/>
          <w:lang w:val="en-US"/>
        </w:rPr>
        <w:t>menurunkan</w:t>
      </w:r>
      <w:proofErr w:type="spellEnd"/>
      <w:r w:rsidR="003F577A" w:rsidRPr="007720BC">
        <w:rPr>
          <w:rStyle w:val="rynqvb"/>
          <w:rFonts w:ascii="Times New Roman" w:hAnsi="Times New Roman" w:cs="Times New Roman"/>
          <w:sz w:val="24"/>
          <w:szCs w:val="24"/>
          <w:lang w:val="en-US"/>
        </w:rPr>
        <w:t xml:space="preserve"> </w:t>
      </w:r>
      <w:proofErr w:type="spellStart"/>
      <w:r w:rsidR="003F577A" w:rsidRPr="007720BC">
        <w:rPr>
          <w:rStyle w:val="rynqvb"/>
          <w:rFonts w:ascii="Times New Roman" w:hAnsi="Times New Roman" w:cs="Times New Roman"/>
          <w:sz w:val="24"/>
          <w:szCs w:val="24"/>
          <w:lang w:val="en-US"/>
        </w:rPr>
        <w:t>tingkat</w:t>
      </w:r>
      <w:proofErr w:type="spellEnd"/>
      <w:r w:rsidR="005464D1" w:rsidRPr="007720BC">
        <w:rPr>
          <w:rStyle w:val="rynqvb"/>
          <w:rFonts w:ascii="Times New Roman" w:hAnsi="Times New Roman" w:cs="Times New Roman"/>
          <w:sz w:val="24"/>
          <w:szCs w:val="24"/>
          <w:lang w:val="id-ID"/>
        </w:rPr>
        <w:t xml:space="preserve"> </w:t>
      </w:r>
      <w:r w:rsidR="005464D1" w:rsidRPr="007720BC">
        <w:rPr>
          <w:rStyle w:val="rynqvb"/>
          <w:rFonts w:ascii="Times New Roman" w:hAnsi="Times New Roman" w:cs="Times New Roman"/>
          <w:sz w:val="24"/>
          <w:szCs w:val="24"/>
          <w:lang w:val="en-US"/>
        </w:rPr>
        <w:fldChar w:fldCharType="begin" w:fldLock="1"/>
      </w:r>
      <w:r w:rsidR="005464D1" w:rsidRPr="007720BC">
        <w:rPr>
          <w:rStyle w:val="rynqvb"/>
          <w:rFonts w:ascii="Times New Roman" w:hAnsi="Times New Roman" w:cs="Times New Roman"/>
          <w:sz w:val="24"/>
          <w:szCs w:val="24"/>
          <w:lang w:val="en-US"/>
        </w:rPr>
        <w:instrText>ADDIN CSL_CITATION {"citationItems":[{"id":"ITEM-1","itemData":{"DOI":"10.3390/su15031821","ISSN":"20711050","abstract":"The acceleration of stunting reduction in Indonesia is one of the priority agendas in the health sector, its implementation being through various regional and tiered approaches. This paper aims to manage management using an integrated system framework approach at the regional level and to support the acceleration of stunting reduction nationally. It takes a quantitative description approach that uses secondary data sourced from the Directorate General of Regional Development, Ministry of Home Affairs, the Republic of Indonesia in 2019–2021. The locus of papers is in five provinces, North Kalimantan, South Kalimantan, Central Kalimantan, West Kalimantan, and East Kalimantan, Indonesia. The data collection and processing consisted of twenty stunting convergence coverage referring to regulations in Indonesia. The analysis used is an integrated framework based on five dimensions. Management based on an integrated framework in a regional-based system for stunting convergence can be a solution to accelerating stunting reduction. This paper provides an option to accelerate the handling of stunting through the Integration of Service Governance-Based Systems in Districts/Cities, considering the achievements in the last three years that have not been maximally carried out in every district/city in five provinces in Kalimantan, Indonesia. This study explains that the local government needs to socialize and disseminate the commitment to stunting reduction results to reaffirm commitment and encourage all parties to actively contribute to integrated stunting reduction efforts. This paper has limitations in the implementation of dimensions that can develop in a context that is correlated with several perspectives, such as regional planning, budgetary capacity, and regional capacity.","author":[{"dropping-particle":"","family":"Prasetyo","given":"Andjar","non-dropping-particle":"","parse-names":false,"suffix":""},{"dropping-particle":"","family":"Noviana","given":"Nana","non-dropping-particle":"","parse-names":false,"suffix":""},{"dropping-particle":"","family":"Rosdiana","given":"Weni","non-dropping-particle":"","parse-names":false,"suffix":""},{"dropping-particle":"","family":"Anwar","given":"M. Arief","non-dropping-particle":"","parse-names":false,"suffix":""},{"dropping-particle":"","family":"Hartiningsih","given":"","non-dropping-particle":"","parse-names":false,"suffix":""},{"dropping-particle":"","family":"Hendrixon","given":"","non-dropping-particle":"","parse-names":false,"suffix":""},{"dropping-particle":"","family":"Harwijayanti","given":"Bekti Putri","non-dropping-particle":"","parse-names":false,"suffix":""},{"dropping-particle":"","family":"Fahlevi","given":"Mochammad","non-dropping-particle":"","parse-names":false,"suffix":""}],"container-title":"Sustainability (Switzerland)","id":"ITEM-1","issue":"3","issued":{"date-parts":[["2023"]]},"title":"Stunting Convergence Management Framework through System Integration Based on Regional Service Governance","type":"article-journal","volume":"15"},"uris":["http://www.mendeley.com/documents/?uuid=a4947150-bccb-4523-89b1-3bc63a77d75f"]}],"mendeley":{"formattedCitation":"(Prasetyo et al. 2023)","plainTextFormattedCitation":"(Prasetyo et al. 2023)","previouslyFormattedCitation":"(Prasetyo et al. 2023)"},"properties":{"noteIndex":0},"schema":"https://github.com/citation-style-language/schema/raw/master/csl-citation.json"}</w:instrText>
      </w:r>
      <w:r w:rsidR="005464D1" w:rsidRPr="007720BC">
        <w:rPr>
          <w:rStyle w:val="rynqvb"/>
          <w:rFonts w:ascii="Times New Roman" w:hAnsi="Times New Roman" w:cs="Times New Roman"/>
          <w:sz w:val="24"/>
          <w:szCs w:val="24"/>
          <w:lang w:val="en-US"/>
        </w:rPr>
        <w:fldChar w:fldCharType="separate"/>
      </w:r>
      <w:r w:rsidR="005464D1" w:rsidRPr="007720BC">
        <w:rPr>
          <w:rStyle w:val="rynqvb"/>
          <w:rFonts w:ascii="Times New Roman" w:hAnsi="Times New Roman" w:cs="Times New Roman"/>
          <w:noProof/>
          <w:sz w:val="24"/>
          <w:szCs w:val="24"/>
          <w:lang w:val="en-US"/>
        </w:rPr>
        <w:t>(Prasetyo et al. 2023)</w:t>
      </w:r>
      <w:r w:rsidR="005464D1" w:rsidRPr="007720BC">
        <w:rPr>
          <w:rStyle w:val="rynqvb"/>
          <w:rFonts w:ascii="Times New Roman" w:hAnsi="Times New Roman" w:cs="Times New Roman"/>
          <w:sz w:val="24"/>
          <w:szCs w:val="24"/>
          <w:lang w:val="en-US"/>
        </w:rPr>
        <w:fldChar w:fldCharType="end"/>
      </w:r>
      <w:r w:rsidR="003F577A"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kinerja</w:t>
      </w:r>
      <w:proofErr w:type="spellEnd"/>
      <w:r w:rsidRPr="007720BC">
        <w:rPr>
          <w:rStyle w:val="rynqvb"/>
          <w:rFonts w:ascii="Times New Roman" w:hAnsi="Times New Roman" w:cs="Times New Roman"/>
          <w:sz w:val="24"/>
          <w:szCs w:val="24"/>
          <w:lang w:val="en-US"/>
        </w:rPr>
        <w:t xml:space="preserve"> k</w:t>
      </w:r>
      <w:r w:rsidRPr="007720BC">
        <w:rPr>
          <w:rStyle w:val="rynqvb"/>
          <w:rFonts w:ascii="Times New Roman" w:hAnsi="Times New Roman" w:cs="Times New Roman"/>
          <w:sz w:val="24"/>
          <w:szCs w:val="24"/>
          <w:lang w:val="id-ID"/>
        </w:rPr>
        <w:t xml:space="preserve">epemimpinan </w:t>
      </w:r>
      <w:r w:rsidRPr="007720BC">
        <w:rPr>
          <w:rStyle w:val="rynqvb"/>
          <w:rFonts w:ascii="Times New Roman" w:hAnsi="Times New Roman" w:cs="Times New Roman"/>
          <w:sz w:val="24"/>
          <w:szCs w:val="24"/>
          <w:lang w:val="en-US"/>
        </w:rPr>
        <w:t xml:space="preserve">yang </w:t>
      </w:r>
      <w:proofErr w:type="spellStart"/>
      <w:r w:rsidRPr="007720BC">
        <w:rPr>
          <w:rStyle w:val="rynqvb"/>
          <w:rFonts w:ascii="Times New Roman" w:hAnsi="Times New Roman" w:cs="Times New Roman"/>
          <w:sz w:val="24"/>
          <w:szCs w:val="24"/>
          <w:lang w:val="en-US"/>
        </w:rPr>
        <w:t>sesuai</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dengan</w:t>
      </w:r>
      <w:proofErr w:type="spellEnd"/>
      <w:r w:rsidRPr="007720BC">
        <w:rPr>
          <w:rStyle w:val="rynqvb"/>
          <w:rFonts w:ascii="Times New Roman" w:hAnsi="Times New Roman" w:cs="Times New Roman"/>
          <w:sz w:val="24"/>
          <w:szCs w:val="24"/>
          <w:lang w:val="en-US"/>
        </w:rPr>
        <w:t xml:space="preserve"> </w:t>
      </w:r>
      <w:r w:rsidRPr="007720BC">
        <w:rPr>
          <w:rStyle w:val="rynqvb"/>
          <w:rFonts w:ascii="Times New Roman" w:hAnsi="Times New Roman" w:cs="Times New Roman"/>
          <w:sz w:val="24"/>
          <w:szCs w:val="24"/>
          <w:lang w:val="id-ID"/>
        </w:rPr>
        <w:t xml:space="preserve">reformasi </w:t>
      </w:r>
      <w:r w:rsidRPr="007720BC">
        <w:rPr>
          <w:rStyle w:val="rynqvb"/>
          <w:rFonts w:ascii="Times New Roman" w:hAnsi="Times New Roman" w:cs="Times New Roman"/>
          <w:sz w:val="24"/>
          <w:szCs w:val="24"/>
          <w:lang w:val="en-US"/>
        </w:rPr>
        <w:t xml:space="preserve">dan </w:t>
      </w:r>
      <w:r w:rsidRPr="007720BC">
        <w:rPr>
          <w:rStyle w:val="rynqvb"/>
          <w:rFonts w:ascii="Times New Roman" w:hAnsi="Times New Roman" w:cs="Times New Roman"/>
          <w:sz w:val="24"/>
          <w:szCs w:val="24"/>
          <w:lang w:val="id-ID"/>
        </w:rPr>
        <w:t xml:space="preserve">strategi reformasi </w:t>
      </w:r>
      <w:proofErr w:type="spellStart"/>
      <w:r w:rsidR="0063652F" w:rsidRPr="007720BC">
        <w:rPr>
          <w:rStyle w:val="rynqvb"/>
          <w:rFonts w:ascii="Times New Roman" w:hAnsi="Times New Roman" w:cs="Times New Roman"/>
          <w:sz w:val="24"/>
          <w:szCs w:val="24"/>
          <w:lang w:val="en-US"/>
        </w:rPr>
        <w:t>k</w:t>
      </w:r>
      <w:r w:rsidRPr="007720BC">
        <w:rPr>
          <w:rStyle w:val="rynqvb"/>
          <w:rFonts w:ascii="Times New Roman" w:hAnsi="Times New Roman" w:cs="Times New Roman"/>
          <w:sz w:val="24"/>
          <w:szCs w:val="24"/>
          <w:lang w:val="en-US"/>
        </w:rPr>
        <w:t>esehatan</w:t>
      </w:r>
      <w:proofErr w:type="spellEnd"/>
      <w:r w:rsidRPr="007720BC">
        <w:rPr>
          <w:rStyle w:val="rynqvb"/>
          <w:rFonts w:ascii="Times New Roman" w:hAnsi="Times New Roman" w:cs="Times New Roman"/>
          <w:sz w:val="24"/>
          <w:szCs w:val="24"/>
          <w:lang w:val="en-US"/>
        </w:rPr>
        <w:t xml:space="preserve"> yang </w:t>
      </w:r>
      <w:proofErr w:type="spellStart"/>
      <w:r w:rsidRPr="007720BC">
        <w:rPr>
          <w:rStyle w:val="rynqvb"/>
          <w:rFonts w:ascii="Times New Roman" w:hAnsi="Times New Roman" w:cs="Times New Roman"/>
          <w:sz w:val="24"/>
          <w:szCs w:val="24"/>
          <w:lang w:val="en-US"/>
        </w:rPr>
        <w:t>mengedepankan</w:t>
      </w:r>
      <w:proofErr w:type="spellEnd"/>
      <w:r w:rsidRPr="007720BC">
        <w:rPr>
          <w:rStyle w:val="rynqvb"/>
          <w:rFonts w:ascii="Times New Roman" w:hAnsi="Times New Roman" w:cs="Times New Roman"/>
          <w:sz w:val="24"/>
          <w:szCs w:val="24"/>
          <w:lang w:val="en-US"/>
        </w:rPr>
        <w:t xml:space="preserve"> </w:t>
      </w:r>
      <w:r w:rsidRPr="007720BC">
        <w:rPr>
          <w:rStyle w:val="rynqvb"/>
          <w:rFonts w:ascii="Times New Roman" w:hAnsi="Times New Roman" w:cs="Times New Roman"/>
          <w:sz w:val="24"/>
          <w:szCs w:val="24"/>
          <w:lang w:val="id-ID"/>
        </w:rPr>
        <w:t xml:space="preserve">kolaborasi, fleksibilitas, dan dukungan untuk ide-ide baru </w:t>
      </w:r>
      <w:r w:rsidRPr="007720BC">
        <w:rPr>
          <w:rStyle w:val="rynqvb"/>
          <w:rFonts w:ascii="Times New Roman" w:hAnsi="Times New Roman" w:cs="Times New Roman"/>
          <w:sz w:val="24"/>
          <w:szCs w:val="24"/>
          <w:lang w:val="id-ID"/>
        </w:rPr>
        <w:fldChar w:fldCharType="begin" w:fldLock="1"/>
      </w:r>
      <w:r w:rsidR="0085242A" w:rsidRPr="007720BC">
        <w:rPr>
          <w:rStyle w:val="rynqvb"/>
          <w:rFonts w:ascii="Times New Roman" w:hAnsi="Times New Roman" w:cs="Times New Roman"/>
          <w:sz w:val="24"/>
          <w:szCs w:val="24"/>
          <w:lang w:val="id-ID"/>
        </w:rPr>
        <w:instrText>ADDIN CSL_CITATION {"citationItems":[{"id":"ITEM-1","itemData":{"DOI":"10.1108/LHS-01-2021-0007","ISSN":"17511879","PMID":"34346663","abstract":"Purpose: The Health Service Executive in Ireland seeks to further develop healthcare in the community. It has identified that this reform requires developing leadership amongst the staff. This study aims to identify what kind of leadership staff in community healthcare observe in practice and their leadership preferences. The core objective has been to identify the readiness of the organisation to implement the adopted national policy of integrated community care reform in terms of leadership development. Design/methodology/approach: An online cross-sectional survey was conducted using the Organisational Cultural Assessment Instrument, based on the Competing Values Framework. This tool identifies four overarching leadership types: Clan (Collaborative), Adhocracy (Creative), Market (Competitive) and Hierarchy (Controlling). Participants (n = 445) were a representative sample of regional community health care employees. They were asked to identify presently observed leadership and preferred leadership in practice. The statistical analysis emphasised a comparison of observed and preferred leadership types. Findings: Participants reported the current prevailing leadership type as Market (M = 34.38, SD = 6.22) and Hierarchical (M = 34.38, SD = 22.62), whilst the preferred or future style was overwhelmingly Clan (M = 40.38, SD = 18.08). Differences were significant (all p’s &lt; 0.001). The overall outcome indicates a predominance of controlling and competitive leadership and a lack of collaborative leadership to implement the planned reform. Originality/value: During reform in healthcare, leadership in practice must be aligned to the reform strategy, demonstrating collaboration, flexibility and support for innovation. This unique study demonstrates the importance of examining leadership type and competencies to indicate readiness to deliver national community health care reform.","author":[{"dropping-particle":"","family":"O’Neill","given":"Debra","non-dropping-particle":"","parse-names":false,"suffix":""},{"dropping-particle":"","family":"Vries","given":"Jan","non-dropping-particle":"De","parse-names":false,"suffix":""},{"dropping-particle":"","family":"Comiskey","given":"Catherine M.","non-dropping-particle":"","parse-names":false,"suffix":""}],"container-title":"Leadership in Health Services","id":"ITEM-1","issue":"4","issued":{"date-parts":[["2021"]]},"page":"485-498","title":"Leadership and community healthcare reform: a study using the Competing Values Framework (CVF)","type":"article-journal","volume":"34"},"uris":["http://www.mendeley.com/documents/?uuid=8d2c6393-759a-4a1d-9f41-15fd82e44488"]}],"mendeley":{"formattedCitation":"(O’Neill, De Vries, dan Comiskey 2021)","plainTextFormattedCitation":"(O’Neill, De Vries, dan Comiskey 2021)","previouslyFormattedCitation":"(O’Neill, De Vries, dan Comiskey 2021)"},"properties":{"noteIndex":0},"schema":"https://github.com/citation-style-language/schema/raw/master/csl-citation.json"}</w:instrText>
      </w:r>
      <w:r w:rsidRPr="007720BC">
        <w:rPr>
          <w:rStyle w:val="rynqvb"/>
          <w:rFonts w:ascii="Times New Roman" w:hAnsi="Times New Roman" w:cs="Times New Roman"/>
          <w:sz w:val="24"/>
          <w:szCs w:val="24"/>
          <w:lang w:val="id-ID"/>
        </w:rPr>
        <w:fldChar w:fldCharType="separate"/>
      </w:r>
      <w:r w:rsidRPr="007720BC">
        <w:rPr>
          <w:rStyle w:val="rynqvb"/>
          <w:rFonts w:ascii="Times New Roman" w:hAnsi="Times New Roman" w:cs="Times New Roman"/>
          <w:noProof/>
          <w:sz w:val="24"/>
          <w:szCs w:val="24"/>
          <w:lang w:val="id-ID"/>
        </w:rPr>
        <w:t>(O’Neill, De Vries, dan Comiskey 2021)</w:t>
      </w:r>
      <w:r w:rsidRPr="007720BC">
        <w:rPr>
          <w:rStyle w:val="rynqvb"/>
          <w:rFonts w:ascii="Times New Roman" w:hAnsi="Times New Roman" w:cs="Times New Roman"/>
          <w:sz w:val="24"/>
          <w:szCs w:val="24"/>
          <w:lang w:val="id-ID"/>
        </w:rPr>
        <w:fldChar w:fldCharType="end"/>
      </w:r>
    </w:p>
    <w:p w14:paraId="7A6D9BAA" w14:textId="6D6C6DA4" w:rsidR="00F31301" w:rsidRPr="007720BC" w:rsidRDefault="00F31301" w:rsidP="00E149C0">
      <w:pPr>
        <w:shd w:val="clear" w:color="auto" w:fill="FFFFFF"/>
        <w:spacing w:after="0" w:line="240" w:lineRule="auto"/>
        <w:ind w:right="-1" w:firstLine="720"/>
        <w:contextualSpacing/>
        <w:jc w:val="both"/>
        <w:textAlignment w:val="baseline"/>
        <w:rPr>
          <w:rFonts w:ascii="Times New Roman" w:hAnsi="Times New Roman" w:cs="Times New Roman"/>
          <w:sz w:val="24"/>
          <w:szCs w:val="24"/>
          <w:lang w:val="en-US"/>
        </w:rPr>
      </w:pPr>
    </w:p>
    <w:p w14:paraId="7E4F87E1" w14:textId="67854791" w:rsidR="00A638A7" w:rsidRPr="007720BC" w:rsidRDefault="00A638A7" w:rsidP="00CB2900">
      <w:pPr>
        <w:shd w:val="clear" w:color="auto" w:fill="FFFFFF"/>
        <w:spacing w:after="0" w:line="240" w:lineRule="auto"/>
        <w:contextualSpacing/>
        <w:jc w:val="both"/>
        <w:textAlignment w:val="baseline"/>
        <w:rPr>
          <w:rFonts w:ascii="Times New Roman" w:hAnsi="Times New Roman" w:cs="Times New Roman"/>
          <w:b/>
          <w:bCs/>
          <w:sz w:val="24"/>
          <w:szCs w:val="24"/>
          <w:lang w:val="en-US"/>
        </w:rPr>
      </w:pPr>
      <w:proofErr w:type="spellStart"/>
      <w:r w:rsidRPr="007720BC">
        <w:rPr>
          <w:rFonts w:ascii="Times New Roman" w:hAnsi="Times New Roman" w:cs="Times New Roman"/>
          <w:b/>
          <w:bCs/>
          <w:sz w:val="24"/>
          <w:szCs w:val="24"/>
          <w:lang w:val="en-US"/>
        </w:rPr>
        <w:t>Inovasi</w:t>
      </w:r>
      <w:proofErr w:type="spellEnd"/>
      <w:r w:rsidR="00034792" w:rsidRPr="007720BC">
        <w:rPr>
          <w:rFonts w:ascii="Times New Roman" w:hAnsi="Times New Roman" w:cs="Times New Roman"/>
          <w:b/>
          <w:bCs/>
          <w:sz w:val="24"/>
          <w:szCs w:val="24"/>
          <w:lang w:val="en-US"/>
        </w:rPr>
        <w:t xml:space="preserve"> </w:t>
      </w:r>
      <w:r w:rsidR="000D08B3" w:rsidRPr="007720BC">
        <w:rPr>
          <w:rFonts w:ascii="Times New Roman" w:hAnsi="Times New Roman" w:cs="Times New Roman"/>
          <w:b/>
          <w:bCs/>
          <w:sz w:val="24"/>
          <w:szCs w:val="24"/>
          <w:lang w:val="en-US"/>
        </w:rPr>
        <w:t xml:space="preserve">dan </w:t>
      </w:r>
      <w:proofErr w:type="spellStart"/>
      <w:r w:rsidR="000D08B3" w:rsidRPr="007720BC">
        <w:rPr>
          <w:rFonts w:ascii="Times New Roman" w:hAnsi="Times New Roman" w:cs="Times New Roman"/>
          <w:b/>
          <w:bCs/>
          <w:sz w:val="24"/>
          <w:szCs w:val="24"/>
          <w:lang w:val="en-US"/>
        </w:rPr>
        <w:t>Kolaborasi</w:t>
      </w:r>
      <w:proofErr w:type="spellEnd"/>
      <w:r w:rsidR="000D08B3" w:rsidRPr="007720BC">
        <w:rPr>
          <w:rFonts w:ascii="Times New Roman" w:hAnsi="Times New Roman" w:cs="Times New Roman"/>
          <w:b/>
          <w:bCs/>
          <w:sz w:val="24"/>
          <w:szCs w:val="24"/>
          <w:lang w:val="en-US"/>
        </w:rPr>
        <w:t xml:space="preserve"> </w:t>
      </w:r>
      <w:proofErr w:type="spellStart"/>
      <w:r w:rsidR="000D08B3" w:rsidRPr="007720BC">
        <w:rPr>
          <w:rFonts w:ascii="Times New Roman" w:hAnsi="Times New Roman" w:cs="Times New Roman"/>
          <w:b/>
          <w:bCs/>
          <w:sz w:val="24"/>
          <w:szCs w:val="24"/>
          <w:lang w:val="en-US"/>
        </w:rPr>
        <w:t>dalam</w:t>
      </w:r>
      <w:proofErr w:type="spellEnd"/>
      <w:r w:rsidR="000D08B3" w:rsidRPr="007720BC">
        <w:rPr>
          <w:rFonts w:ascii="Times New Roman" w:hAnsi="Times New Roman" w:cs="Times New Roman"/>
          <w:b/>
          <w:bCs/>
          <w:sz w:val="24"/>
          <w:szCs w:val="24"/>
          <w:lang w:val="en-US"/>
        </w:rPr>
        <w:t xml:space="preserve"> </w:t>
      </w:r>
      <w:proofErr w:type="spellStart"/>
      <w:r w:rsidR="00034792" w:rsidRPr="007720BC">
        <w:rPr>
          <w:rFonts w:ascii="Times New Roman" w:hAnsi="Times New Roman" w:cs="Times New Roman"/>
          <w:b/>
          <w:bCs/>
          <w:sz w:val="24"/>
          <w:szCs w:val="24"/>
          <w:lang w:val="en-US"/>
        </w:rPr>
        <w:t>Implementasi</w:t>
      </w:r>
      <w:proofErr w:type="spellEnd"/>
      <w:r w:rsidR="00034792" w:rsidRPr="007720BC">
        <w:rPr>
          <w:rFonts w:ascii="Times New Roman" w:hAnsi="Times New Roman" w:cs="Times New Roman"/>
          <w:b/>
          <w:bCs/>
          <w:sz w:val="24"/>
          <w:szCs w:val="24"/>
          <w:lang w:val="en-US"/>
        </w:rPr>
        <w:t xml:space="preserve"> </w:t>
      </w:r>
      <w:r w:rsidRPr="007720BC">
        <w:rPr>
          <w:rFonts w:ascii="Times New Roman" w:hAnsi="Times New Roman" w:cs="Times New Roman"/>
          <w:b/>
          <w:bCs/>
          <w:sz w:val="24"/>
          <w:szCs w:val="24"/>
          <w:lang w:val="en-US"/>
        </w:rPr>
        <w:t>Kampung KB</w:t>
      </w:r>
    </w:p>
    <w:p w14:paraId="2311FBCF" w14:textId="60273199" w:rsidR="007E71DF" w:rsidRPr="007720BC" w:rsidRDefault="007E71DF" w:rsidP="007E71DF">
      <w:pPr>
        <w:shd w:val="clear" w:color="auto" w:fill="FFFFFF"/>
        <w:spacing w:after="0" w:line="240" w:lineRule="auto"/>
        <w:ind w:firstLine="567"/>
        <w:contextualSpacing/>
        <w:jc w:val="both"/>
        <w:textAlignment w:val="baseline"/>
        <w:rPr>
          <w:rFonts w:ascii="Times New Roman" w:hAnsi="Times New Roman" w:cs="Times New Roman"/>
          <w:sz w:val="24"/>
          <w:szCs w:val="24"/>
          <w:lang w:val="en-US"/>
        </w:rPr>
      </w:pPr>
      <w:proofErr w:type="spellStart"/>
      <w:r w:rsidRPr="007720BC">
        <w:rPr>
          <w:rFonts w:ascii="Times New Roman" w:hAnsi="Times New Roman" w:cs="Times New Roman"/>
          <w:iCs/>
          <w:sz w:val="24"/>
          <w:szCs w:val="24"/>
          <w:lang w:val="en-US"/>
        </w:rPr>
        <w:t>B</w:t>
      </w:r>
      <w:r w:rsidR="00233CC8" w:rsidRPr="007720BC">
        <w:rPr>
          <w:rFonts w:ascii="Times New Roman" w:hAnsi="Times New Roman" w:cs="Times New Roman"/>
          <w:iCs/>
          <w:sz w:val="24"/>
          <w:szCs w:val="24"/>
          <w:lang w:val="en-US"/>
        </w:rPr>
        <w:t>eberapa</w:t>
      </w:r>
      <w:proofErr w:type="spellEnd"/>
      <w:r w:rsidR="00233CC8" w:rsidRPr="007720BC">
        <w:rPr>
          <w:rFonts w:ascii="Times New Roman" w:hAnsi="Times New Roman" w:cs="Times New Roman"/>
          <w:iCs/>
          <w:sz w:val="24"/>
          <w:szCs w:val="24"/>
          <w:lang w:val="en-US"/>
        </w:rPr>
        <w:t xml:space="preserve"> </w:t>
      </w:r>
      <w:proofErr w:type="spellStart"/>
      <w:r w:rsidR="00233CC8" w:rsidRPr="007720BC">
        <w:rPr>
          <w:rFonts w:ascii="Times New Roman" w:hAnsi="Times New Roman" w:cs="Times New Roman"/>
          <w:iCs/>
          <w:sz w:val="24"/>
          <w:szCs w:val="24"/>
          <w:lang w:val="en-US"/>
        </w:rPr>
        <w:t>inovasi</w:t>
      </w:r>
      <w:proofErr w:type="spellEnd"/>
      <w:r w:rsidR="00233CC8" w:rsidRPr="007720BC">
        <w:rPr>
          <w:rFonts w:ascii="Times New Roman" w:hAnsi="Times New Roman" w:cs="Times New Roman"/>
          <w:iCs/>
          <w:sz w:val="24"/>
          <w:szCs w:val="24"/>
          <w:lang w:val="en-US"/>
        </w:rPr>
        <w:t xml:space="preserve"> </w:t>
      </w:r>
      <w:r w:rsidR="001B7826" w:rsidRPr="007720BC">
        <w:rPr>
          <w:rFonts w:ascii="Times New Roman" w:hAnsi="Times New Roman" w:cs="Times New Roman"/>
          <w:iCs/>
          <w:sz w:val="24"/>
          <w:szCs w:val="24"/>
          <w:lang w:val="en-US"/>
        </w:rPr>
        <w:t xml:space="preserve">local </w:t>
      </w:r>
      <w:r w:rsidR="00233CC8" w:rsidRPr="007720BC">
        <w:rPr>
          <w:rFonts w:ascii="Times New Roman" w:hAnsi="Times New Roman" w:cs="Times New Roman"/>
          <w:iCs/>
          <w:sz w:val="24"/>
          <w:szCs w:val="24"/>
          <w:lang w:val="en-US"/>
        </w:rPr>
        <w:t xml:space="preserve">Kampung KB Desa </w:t>
      </w:r>
      <w:proofErr w:type="spellStart"/>
      <w:r w:rsidR="00233CC8" w:rsidRPr="007720BC">
        <w:rPr>
          <w:rFonts w:ascii="Times New Roman" w:hAnsi="Times New Roman" w:cs="Times New Roman"/>
          <w:iCs/>
          <w:sz w:val="24"/>
          <w:szCs w:val="24"/>
          <w:lang w:val="en-US"/>
        </w:rPr>
        <w:t>Mongpok</w:t>
      </w:r>
      <w:proofErr w:type="spellEnd"/>
      <w:r w:rsidR="00233CC8" w:rsidRPr="007720BC">
        <w:rPr>
          <w:rFonts w:ascii="Times New Roman" w:hAnsi="Times New Roman" w:cs="Times New Roman"/>
          <w:iCs/>
          <w:sz w:val="24"/>
          <w:szCs w:val="24"/>
          <w:lang w:val="en-US"/>
        </w:rPr>
        <w:t xml:space="preserve"> </w:t>
      </w:r>
      <w:proofErr w:type="spellStart"/>
      <w:r w:rsidR="00233CC8" w:rsidRPr="007720BC">
        <w:rPr>
          <w:rFonts w:ascii="Times New Roman" w:hAnsi="Times New Roman" w:cs="Times New Roman"/>
          <w:iCs/>
          <w:sz w:val="24"/>
          <w:szCs w:val="24"/>
          <w:lang w:val="en-US"/>
        </w:rPr>
        <w:t>yaitu</w:t>
      </w:r>
      <w:proofErr w:type="spellEnd"/>
      <w:r w:rsidR="00233CC8" w:rsidRPr="007720BC">
        <w:rPr>
          <w:rFonts w:ascii="Times New Roman" w:hAnsi="Times New Roman" w:cs="Times New Roman"/>
          <w:iCs/>
          <w:sz w:val="24"/>
          <w:szCs w:val="24"/>
          <w:lang w:val="en-US"/>
        </w:rPr>
        <w:t xml:space="preserve"> </w:t>
      </w:r>
      <w:proofErr w:type="spellStart"/>
      <w:r w:rsidRPr="007720BC">
        <w:rPr>
          <w:rFonts w:ascii="Times New Roman" w:hAnsi="Times New Roman" w:cs="Times New Roman"/>
          <w:iCs/>
          <w:sz w:val="24"/>
          <w:szCs w:val="24"/>
          <w:lang w:val="en-US"/>
        </w:rPr>
        <w:t>i</w:t>
      </w:r>
      <w:r w:rsidR="00A638A7" w:rsidRPr="007720BC">
        <w:rPr>
          <w:rFonts w:ascii="Times New Roman" w:hAnsi="Times New Roman" w:cs="Times New Roman"/>
          <w:sz w:val="24"/>
          <w:szCs w:val="24"/>
          <w:lang w:val="en-US"/>
        </w:rPr>
        <w:t>novasi</w:t>
      </w:r>
      <w:proofErr w:type="spellEnd"/>
      <w:r w:rsidR="00A638A7" w:rsidRPr="007720BC">
        <w:rPr>
          <w:rFonts w:ascii="Times New Roman" w:hAnsi="Times New Roman" w:cs="Times New Roman"/>
          <w:sz w:val="24"/>
          <w:szCs w:val="24"/>
          <w:lang w:val="en-US"/>
        </w:rPr>
        <w:t xml:space="preserve"> </w:t>
      </w:r>
      <w:proofErr w:type="spellStart"/>
      <w:r w:rsidR="00A638A7" w:rsidRPr="007720BC">
        <w:rPr>
          <w:rFonts w:ascii="Times New Roman" w:hAnsi="Times New Roman" w:cs="Times New Roman"/>
          <w:sz w:val="24"/>
          <w:szCs w:val="24"/>
          <w:lang w:val="en-US"/>
        </w:rPr>
        <w:t>Sekolah</w:t>
      </w:r>
      <w:proofErr w:type="spellEnd"/>
      <w:r w:rsidR="00A638A7" w:rsidRPr="007720BC">
        <w:rPr>
          <w:rFonts w:ascii="Times New Roman" w:hAnsi="Times New Roman" w:cs="Times New Roman"/>
          <w:sz w:val="24"/>
          <w:szCs w:val="24"/>
          <w:lang w:val="en-US"/>
        </w:rPr>
        <w:t xml:space="preserve"> Gratis</w:t>
      </w:r>
      <w:r w:rsidRPr="007720BC">
        <w:rPr>
          <w:rFonts w:ascii="Times New Roman" w:hAnsi="Times New Roman" w:cs="Times New Roman"/>
          <w:sz w:val="24"/>
          <w:szCs w:val="24"/>
          <w:lang w:val="en-US"/>
        </w:rPr>
        <w:t xml:space="preserve"> </w:t>
      </w:r>
      <w:r w:rsidR="00A638A7" w:rsidRPr="007720BC">
        <w:rPr>
          <w:rFonts w:ascii="Times New Roman" w:hAnsi="Times New Roman" w:cs="Times New Roman"/>
          <w:sz w:val="24"/>
          <w:szCs w:val="24"/>
        </w:rPr>
        <w:t xml:space="preserve">yang di </w:t>
      </w:r>
      <w:proofErr w:type="spellStart"/>
      <w:r w:rsidR="00A638A7" w:rsidRPr="007720BC">
        <w:rPr>
          <w:rFonts w:ascii="Times New Roman" w:hAnsi="Times New Roman" w:cs="Times New Roman"/>
          <w:sz w:val="24"/>
          <w:szCs w:val="24"/>
        </w:rPr>
        <w:t>rancang</w:t>
      </w:r>
      <w:proofErr w:type="spellEnd"/>
      <w:r w:rsidR="00A638A7" w:rsidRPr="007720BC">
        <w:rPr>
          <w:rFonts w:ascii="Times New Roman" w:hAnsi="Times New Roman" w:cs="Times New Roman"/>
          <w:sz w:val="24"/>
          <w:szCs w:val="24"/>
        </w:rPr>
        <w:t xml:space="preserve"> oleh </w:t>
      </w:r>
      <w:proofErr w:type="spellStart"/>
      <w:r w:rsidR="00A638A7" w:rsidRPr="007720BC">
        <w:rPr>
          <w:rFonts w:ascii="Times New Roman" w:hAnsi="Times New Roman" w:cs="Times New Roman"/>
          <w:sz w:val="24"/>
          <w:szCs w:val="24"/>
        </w:rPr>
        <w:t>seksi</w:t>
      </w:r>
      <w:proofErr w:type="spellEnd"/>
      <w:r w:rsidR="00A638A7" w:rsidRPr="007720BC">
        <w:rPr>
          <w:rFonts w:ascii="Times New Roman" w:hAnsi="Times New Roman" w:cs="Times New Roman"/>
          <w:sz w:val="24"/>
          <w:szCs w:val="24"/>
        </w:rPr>
        <w:t xml:space="preserve"> Pend</w:t>
      </w:r>
      <w:proofErr w:type="spellStart"/>
      <w:r w:rsidR="00A638A7" w:rsidRPr="007720BC">
        <w:rPr>
          <w:rFonts w:ascii="Times New Roman" w:hAnsi="Times New Roman" w:cs="Times New Roman"/>
          <w:sz w:val="24"/>
          <w:szCs w:val="24"/>
          <w:lang w:val="en-US"/>
        </w:rPr>
        <w:t>i</w:t>
      </w:r>
      <w:r w:rsidR="00A638A7" w:rsidRPr="007720BC">
        <w:rPr>
          <w:rFonts w:ascii="Times New Roman" w:hAnsi="Times New Roman" w:cs="Times New Roman"/>
          <w:sz w:val="24"/>
          <w:szCs w:val="24"/>
        </w:rPr>
        <w:t>dikan</w:t>
      </w:r>
      <w:proofErr w:type="spellEnd"/>
      <w:r w:rsidR="00A638A7" w:rsidRPr="007720BC">
        <w:rPr>
          <w:rFonts w:ascii="Times New Roman" w:hAnsi="Times New Roman" w:cs="Times New Roman"/>
          <w:sz w:val="24"/>
          <w:szCs w:val="24"/>
        </w:rPr>
        <w:t xml:space="preserve"> Kampung K</w:t>
      </w:r>
      <w:r w:rsidR="00EF1834" w:rsidRPr="007720BC">
        <w:rPr>
          <w:rFonts w:ascii="Times New Roman" w:hAnsi="Times New Roman" w:cs="Times New Roman"/>
          <w:sz w:val="24"/>
          <w:szCs w:val="24"/>
        </w:rPr>
        <w:t xml:space="preserve">B </w:t>
      </w:r>
      <w:proofErr w:type="spellStart"/>
      <w:r w:rsidR="00A638A7" w:rsidRPr="007720BC">
        <w:rPr>
          <w:rFonts w:ascii="Times New Roman" w:hAnsi="Times New Roman" w:cs="Times New Roman"/>
          <w:sz w:val="24"/>
          <w:szCs w:val="24"/>
        </w:rPr>
        <w:t>untuk</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anak-anak</w:t>
      </w:r>
      <w:proofErr w:type="spellEnd"/>
      <w:r w:rsidR="00A638A7" w:rsidRPr="007720BC">
        <w:rPr>
          <w:rFonts w:ascii="Times New Roman" w:hAnsi="Times New Roman" w:cs="Times New Roman"/>
          <w:sz w:val="24"/>
          <w:szCs w:val="24"/>
        </w:rPr>
        <w:t xml:space="preserve"> yang </w:t>
      </w:r>
      <w:proofErr w:type="spellStart"/>
      <w:r w:rsidR="00A638A7" w:rsidRPr="007720BC">
        <w:rPr>
          <w:rFonts w:ascii="Times New Roman" w:hAnsi="Times New Roman" w:cs="Times New Roman"/>
          <w:sz w:val="24"/>
          <w:szCs w:val="24"/>
        </w:rPr>
        <w:t>ingin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melanjutkan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sekolah</w:t>
      </w:r>
      <w:proofErr w:type="spellEnd"/>
      <w:r w:rsidR="00B81D8A" w:rsidRPr="007720BC">
        <w:rPr>
          <w:rFonts w:ascii="Times New Roman" w:hAnsi="Times New Roman" w:cs="Times New Roman"/>
          <w:sz w:val="24"/>
          <w:szCs w:val="24"/>
        </w:rPr>
        <w:t xml:space="preserve">. </w:t>
      </w:r>
      <w:r w:rsidR="00A638A7" w:rsidRPr="007720BC">
        <w:rPr>
          <w:rFonts w:ascii="Times New Roman" w:hAnsi="Times New Roman" w:cs="Times New Roman"/>
          <w:sz w:val="24"/>
          <w:szCs w:val="24"/>
        </w:rPr>
        <w:t xml:space="preserve">Dalam </w:t>
      </w:r>
      <w:proofErr w:type="spellStart"/>
      <w:r w:rsidR="00A638A7" w:rsidRPr="007720BC">
        <w:rPr>
          <w:rFonts w:ascii="Times New Roman" w:hAnsi="Times New Roman" w:cs="Times New Roman"/>
          <w:sz w:val="24"/>
          <w:szCs w:val="24"/>
        </w:rPr>
        <w:t>hal</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ini</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terdapat</w:t>
      </w:r>
      <w:proofErr w:type="spellEnd"/>
      <w:r w:rsidR="00A638A7" w:rsidRPr="007720BC">
        <w:rPr>
          <w:rFonts w:ascii="Times New Roman" w:hAnsi="Times New Roman" w:cs="Times New Roman"/>
          <w:sz w:val="24"/>
          <w:szCs w:val="24"/>
        </w:rPr>
        <w:t xml:space="preserve"> 1 (</w:t>
      </w:r>
      <w:proofErr w:type="spellStart"/>
      <w:r w:rsidR="00A638A7" w:rsidRPr="007720BC">
        <w:rPr>
          <w:rFonts w:ascii="Times New Roman" w:hAnsi="Times New Roman" w:cs="Times New Roman"/>
          <w:sz w:val="24"/>
          <w:szCs w:val="24"/>
        </w:rPr>
        <w:t>satu</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anak</w:t>
      </w:r>
      <w:proofErr w:type="spellEnd"/>
      <w:r w:rsidR="00A638A7" w:rsidRPr="007720BC">
        <w:rPr>
          <w:rFonts w:ascii="Times New Roman" w:hAnsi="Times New Roman" w:cs="Times New Roman"/>
          <w:sz w:val="24"/>
          <w:szCs w:val="24"/>
        </w:rPr>
        <w:t xml:space="preserve"> yang </w:t>
      </w:r>
      <w:proofErr w:type="spellStart"/>
      <w:r w:rsidR="00A638A7" w:rsidRPr="007720BC">
        <w:rPr>
          <w:rFonts w:ascii="Times New Roman" w:hAnsi="Times New Roman" w:cs="Times New Roman"/>
          <w:sz w:val="24"/>
          <w:szCs w:val="24"/>
        </w:rPr>
        <w:t>menerima</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beasiswa</w:t>
      </w:r>
      <w:proofErr w:type="spellEnd"/>
      <w:r w:rsidR="00A638A7" w:rsidRPr="007720BC">
        <w:rPr>
          <w:rFonts w:ascii="Times New Roman" w:hAnsi="Times New Roman" w:cs="Times New Roman"/>
          <w:sz w:val="24"/>
          <w:szCs w:val="24"/>
        </w:rPr>
        <w:t xml:space="preserve"> d</w:t>
      </w:r>
      <w:r w:rsidR="00B81D8A" w:rsidRPr="007720BC">
        <w:rPr>
          <w:rFonts w:ascii="Times New Roman" w:hAnsi="Times New Roman" w:cs="Times New Roman"/>
          <w:sz w:val="24"/>
          <w:szCs w:val="24"/>
        </w:rPr>
        <w:t xml:space="preserve">an </w:t>
      </w:r>
      <w:proofErr w:type="spellStart"/>
      <w:r w:rsidR="00B81D8A" w:rsidRPr="007720BC">
        <w:rPr>
          <w:rFonts w:ascii="Times New Roman" w:hAnsi="Times New Roman" w:cs="Times New Roman"/>
          <w:sz w:val="24"/>
          <w:szCs w:val="24"/>
        </w:rPr>
        <w:t>di</w:t>
      </w:r>
      <w:r w:rsidR="00A638A7" w:rsidRPr="007720BC">
        <w:rPr>
          <w:rFonts w:ascii="Times New Roman" w:hAnsi="Times New Roman" w:cs="Times New Roman"/>
          <w:sz w:val="24"/>
          <w:szCs w:val="24"/>
        </w:rPr>
        <w:t>biaya</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penuh</w:t>
      </w:r>
      <w:proofErr w:type="spellEnd"/>
      <w:r w:rsidR="00A638A7" w:rsidRPr="007720BC">
        <w:rPr>
          <w:rFonts w:ascii="Times New Roman" w:hAnsi="Times New Roman" w:cs="Times New Roman"/>
          <w:sz w:val="24"/>
          <w:szCs w:val="24"/>
        </w:rPr>
        <w:t xml:space="preserve"> oleh BPD Desa M</w:t>
      </w:r>
      <w:r w:rsidR="00A638A7" w:rsidRPr="007720BC">
        <w:rPr>
          <w:rFonts w:ascii="Times New Roman" w:hAnsi="Times New Roman" w:cs="Times New Roman"/>
          <w:sz w:val="24"/>
          <w:szCs w:val="24"/>
          <w:lang w:val="en-US"/>
        </w:rPr>
        <w:t>o</w:t>
      </w:r>
      <w:proofErr w:type="spellStart"/>
      <w:r w:rsidR="00A638A7" w:rsidRPr="007720BC">
        <w:rPr>
          <w:rFonts w:ascii="Times New Roman" w:hAnsi="Times New Roman" w:cs="Times New Roman"/>
          <w:sz w:val="24"/>
          <w:szCs w:val="24"/>
        </w:rPr>
        <w:t>ngpok</w:t>
      </w:r>
      <w:proofErr w:type="spellEnd"/>
      <w:r w:rsidR="00B81D8A"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termasuk</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anak</w:t>
      </w:r>
      <w:proofErr w:type="spellEnd"/>
      <w:r w:rsidR="00A638A7" w:rsidRPr="007720BC">
        <w:rPr>
          <w:rFonts w:ascii="Times New Roman" w:hAnsi="Times New Roman" w:cs="Times New Roman"/>
          <w:sz w:val="24"/>
          <w:szCs w:val="24"/>
        </w:rPr>
        <w:t xml:space="preserve"> yang </w:t>
      </w:r>
      <w:proofErr w:type="spellStart"/>
      <w:r w:rsidR="00A638A7" w:rsidRPr="007720BC">
        <w:rPr>
          <w:rFonts w:ascii="Times New Roman" w:hAnsi="Times New Roman" w:cs="Times New Roman"/>
          <w:sz w:val="24"/>
          <w:szCs w:val="24"/>
        </w:rPr>
        <w:t>mengalami</w:t>
      </w:r>
      <w:proofErr w:type="spellEnd"/>
      <w:r w:rsidR="00A638A7" w:rsidRPr="007720BC">
        <w:rPr>
          <w:rFonts w:ascii="Times New Roman" w:hAnsi="Times New Roman" w:cs="Times New Roman"/>
          <w:sz w:val="24"/>
          <w:szCs w:val="24"/>
        </w:rPr>
        <w:t xml:space="preserve"> stunting</w:t>
      </w:r>
      <w:r w:rsidR="00B81D8A" w:rsidRPr="007720BC">
        <w:rPr>
          <w:rFonts w:ascii="Times New Roman" w:hAnsi="Times New Roman" w:cs="Times New Roman"/>
          <w:sz w:val="24"/>
          <w:szCs w:val="24"/>
        </w:rPr>
        <w:t xml:space="preserve"> </w:t>
      </w:r>
      <w:proofErr w:type="spellStart"/>
      <w:r w:rsidR="00B81D8A" w:rsidRPr="007720BC">
        <w:rPr>
          <w:rFonts w:ascii="Times New Roman" w:hAnsi="Times New Roman" w:cs="Times New Roman"/>
          <w:sz w:val="24"/>
          <w:szCs w:val="24"/>
        </w:rPr>
        <w:t>sehingga</w:t>
      </w:r>
      <w:proofErr w:type="spellEnd"/>
      <w:r w:rsidR="00B81D8A" w:rsidRPr="007720BC">
        <w:rPr>
          <w:rFonts w:ascii="Times New Roman" w:hAnsi="Times New Roman" w:cs="Times New Roman"/>
          <w:sz w:val="24"/>
          <w:szCs w:val="24"/>
        </w:rPr>
        <w:t xml:space="preserve"> </w:t>
      </w:r>
      <w:proofErr w:type="spellStart"/>
      <w:r w:rsidR="00B81D8A" w:rsidRPr="007720BC">
        <w:rPr>
          <w:rFonts w:ascii="Times New Roman" w:hAnsi="Times New Roman" w:cs="Times New Roman"/>
          <w:sz w:val="24"/>
          <w:szCs w:val="24"/>
        </w:rPr>
        <w:t>tingkat</w:t>
      </w:r>
      <w:proofErr w:type="spellEnd"/>
      <w:r w:rsidR="00B81D8A" w:rsidRPr="007720BC">
        <w:rPr>
          <w:rFonts w:ascii="Times New Roman" w:hAnsi="Times New Roman" w:cs="Times New Roman"/>
          <w:sz w:val="24"/>
          <w:szCs w:val="24"/>
        </w:rPr>
        <w:t xml:space="preserve"> </w:t>
      </w:r>
      <w:proofErr w:type="spellStart"/>
      <w:r w:rsidR="00B81D8A" w:rsidRPr="007720BC">
        <w:rPr>
          <w:rFonts w:ascii="Times New Roman" w:hAnsi="Times New Roman" w:cs="Times New Roman"/>
          <w:sz w:val="24"/>
          <w:szCs w:val="24"/>
        </w:rPr>
        <w:t>perkembangan</w:t>
      </w:r>
      <w:proofErr w:type="spellEnd"/>
      <w:r w:rsidR="00B81D8A" w:rsidRPr="007720BC">
        <w:rPr>
          <w:rFonts w:ascii="Times New Roman" w:hAnsi="Times New Roman" w:cs="Times New Roman"/>
          <w:sz w:val="24"/>
          <w:szCs w:val="24"/>
        </w:rPr>
        <w:t xml:space="preserve"> </w:t>
      </w:r>
      <w:proofErr w:type="spellStart"/>
      <w:r w:rsidR="00B81D8A" w:rsidRPr="007720BC">
        <w:rPr>
          <w:rFonts w:ascii="Times New Roman" w:hAnsi="Times New Roman" w:cs="Times New Roman"/>
          <w:sz w:val="24"/>
          <w:szCs w:val="24"/>
        </w:rPr>
        <w:t>anak</w:t>
      </w:r>
      <w:proofErr w:type="spellEnd"/>
      <w:r w:rsidR="00B81D8A" w:rsidRPr="007720BC">
        <w:rPr>
          <w:rFonts w:ascii="Times New Roman" w:hAnsi="Times New Roman" w:cs="Times New Roman"/>
          <w:sz w:val="24"/>
          <w:szCs w:val="24"/>
        </w:rPr>
        <w:t xml:space="preserve"> </w:t>
      </w:r>
      <w:proofErr w:type="spellStart"/>
      <w:r w:rsidR="00B81D8A" w:rsidRPr="007720BC">
        <w:rPr>
          <w:rFonts w:ascii="Times New Roman" w:hAnsi="Times New Roman" w:cs="Times New Roman"/>
          <w:sz w:val="24"/>
          <w:szCs w:val="24"/>
        </w:rPr>
        <w:t>dapat</w:t>
      </w:r>
      <w:proofErr w:type="spellEnd"/>
      <w:r w:rsidR="00B81D8A"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dipantau</w:t>
      </w:r>
      <w:proofErr w:type="spellEnd"/>
      <w:r w:rsidR="00A638A7" w:rsidRPr="007720BC">
        <w:rPr>
          <w:rFonts w:ascii="Times New Roman" w:hAnsi="Times New Roman" w:cs="Times New Roman"/>
          <w:sz w:val="24"/>
          <w:szCs w:val="24"/>
        </w:rPr>
        <w:t xml:space="preserve"> oleh </w:t>
      </w:r>
      <w:proofErr w:type="spellStart"/>
      <w:r w:rsidR="00A638A7" w:rsidRPr="007720BC">
        <w:rPr>
          <w:rFonts w:ascii="Times New Roman" w:hAnsi="Times New Roman" w:cs="Times New Roman"/>
          <w:sz w:val="24"/>
          <w:szCs w:val="24"/>
        </w:rPr>
        <w:t>seksi</w:t>
      </w:r>
      <w:proofErr w:type="spellEnd"/>
      <w:r w:rsidR="00A638A7" w:rsidRPr="007720BC">
        <w:rPr>
          <w:rFonts w:ascii="Times New Roman" w:hAnsi="Times New Roman" w:cs="Times New Roman"/>
          <w:sz w:val="24"/>
          <w:szCs w:val="24"/>
        </w:rPr>
        <w:t xml:space="preserve"> Pendidikan yang </w:t>
      </w:r>
      <w:proofErr w:type="spellStart"/>
      <w:r w:rsidR="00A638A7" w:rsidRPr="007720BC">
        <w:rPr>
          <w:rFonts w:ascii="Times New Roman" w:hAnsi="Times New Roman" w:cs="Times New Roman"/>
          <w:sz w:val="24"/>
          <w:szCs w:val="24"/>
        </w:rPr>
        <w:t>ada</w:t>
      </w:r>
      <w:proofErr w:type="spellEnd"/>
      <w:r w:rsidR="00A638A7" w:rsidRPr="007720BC">
        <w:rPr>
          <w:rFonts w:ascii="Times New Roman" w:hAnsi="Times New Roman" w:cs="Times New Roman"/>
          <w:sz w:val="24"/>
          <w:szCs w:val="24"/>
        </w:rPr>
        <w:t xml:space="preserve"> di Desa </w:t>
      </w:r>
      <w:proofErr w:type="spellStart"/>
      <w:r w:rsidR="00A638A7" w:rsidRPr="007720BC">
        <w:rPr>
          <w:rFonts w:ascii="Times New Roman" w:hAnsi="Times New Roman" w:cs="Times New Roman"/>
          <w:sz w:val="24"/>
          <w:szCs w:val="24"/>
        </w:rPr>
        <w:t>Mongpok</w:t>
      </w:r>
      <w:proofErr w:type="spellEnd"/>
      <w:r w:rsidR="00A638A7" w:rsidRPr="007720BC">
        <w:rPr>
          <w:rFonts w:ascii="Times New Roman" w:hAnsi="Times New Roman" w:cs="Times New Roman"/>
          <w:sz w:val="24"/>
          <w:szCs w:val="24"/>
        </w:rPr>
        <w:t>.</w:t>
      </w:r>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Kemudian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i</w:t>
      </w:r>
      <w:r w:rsidRPr="007720BC">
        <w:rPr>
          <w:rFonts w:ascii="Times New Roman" w:hAnsi="Times New Roman" w:cs="Times New Roman"/>
          <w:sz w:val="24"/>
          <w:szCs w:val="24"/>
          <w:lang w:val="en-US"/>
        </w:rPr>
        <w:t>novasi</w:t>
      </w:r>
      <w:proofErr w:type="spellEnd"/>
      <w:r w:rsidRPr="007720BC">
        <w:rPr>
          <w:rFonts w:ascii="Times New Roman" w:hAnsi="Times New Roman" w:cs="Times New Roman"/>
          <w:sz w:val="24"/>
          <w:szCs w:val="24"/>
          <w:lang w:val="en-US"/>
        </w:rPr>
        <w:t xml:space="preserve"> Gerakan </w:t>
      </w:r>
      <w:proofErr w:type="spellStart"/>
      <w:r w:rsidRPr="007720BC">
        <w:rPr>
          <w:rFonts w:ascii="Times New Roman" w:hAnsi="Times New Roman" w:cs="Times New Roman"/>
          <w:sz w:val="24"/>
          <w:szCs w:val="24"/>
          <w:lang w:val="en-US"/>
        </w:rPr>
        <w:t>Bangun</w:t>
      </w:r>
      <w:proofErr w:type="spellEnd"/>
      <w:r w:rsidRPr="007720BC">
        <w:rPr>
          <w:rFonts w:ascii="Times New Roman" w:hAnsi="Times New Roman" w:cs="Times New Roman"/>
          <w:sz w:val="24"/>
          <w:szCs w:val="24"/>
          <w:lang w:val="en-US"/>
        </w:rPr>
        <w:t xml:space="preserve"> UMKM</w:t>
      </w:r>
      <w:r w:rsidRPr="007720BC">
        <w:rPr>
          <w:rFonts w:ascii="Times New Roman" w:hAnsi="Times New Roman" w:cs="Times New Roman"/>
          <w:sz w:val="24"/>
          <w:szCs w:val="24"/>
        </w:rPr>
        <w:t xml:space="preserve"> yang </w:t>
      </w:r>
      <w:proofErr w:type="spellStart"/>
      <w:r w:rsidRPr="007720BC">
        <w:rPr>
          <w:rFonts w:ascii="Times New Roman" w:hAnsi="Times New Roman" w:cs="Times New Roman"/>
          <w:sz w:val="24"/>
          <w:szCs w:val="24"/>
        </w:rPr>
        <w:t>bertujuan</w:t>
      </w:r>
      <w:proofErr w:type="spellEnd"/>
      <w:r w:rsidRPr="007720BC">
        <w:rPr>
          <w:rFonts w:ascii="Times New Roman" w:hAnsi="Times New Roman" w:cs="Times New Roman"/>
          <w:sz w:val="24"/>
          <w:szCs w:val="24"/>
        </w:rPr>
        <w:t xml:space="preserve"> u</w:t>
      </w:r>
      <w:proofErr w:type="spellStart"/>
      <w:r w:rsidRPr="007720BC">
        <w:rPr>
          <w:rFonts w:ascii="Times New Roman" w:hAnsi="Times New Roman" w:cs="Times New Roman"/>
          <w:sz w:val="24"/>
          <w:szCs w:val="24"/>
          <w:lang w:val="en-US"/>
        </w:rPr>
        <w:t>ntuk</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meningkatkan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perekonomian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warga</w:t>
      </w:r>
      <w:proofErr w:type="spellEnd"/>
      <w:r w:rsidRPr="007720BC">
        <w:rPr>
          <w:rFonts w:ascii="Times New Roman" w:hAnsi="Times New Roman" w:cs="Times New Roman"/>
          <w:sz w:val="24"/>
          <w:szCs w:val="24"/>
          <w:lang w:val="en-US"/>
        </w:rPr>
        <w:t xml:space="preserve"> Kampung KB Desa </w:t>
      </w:r>
      <w:proofErr w:type="spellStart"/>
      <w:r w:rsidRPr="007720BC">
        <w:rPr>
          <w:rFonts w:ascii="Times New Roman" w:hAnsi="Times New Roman" w:cs="Times New Roman"/>
          <w:sz w:val="24"/>
          <w:szCs w:val="24"/>
          <w:lang w:val="en-US"/>
        </w:rPr>
        <w:t>Mongpok</w:t>
      </w:r>
      <w:proofErr w:type="spellEnd"/>
      <w:r w:rsidRPr="007720BC">
        <w:rPr>
          <w:rFonts w:ascii="Times New Roman" w:hAnsi="Times New Roman" w:cs="Times New Roman"/>
          <w:sz w:val="24"/>
          <w:szCs w:val="24"/>
          <w:lang w:val="en-US"/>
        </w:rPr>
        <w:t xml:space="preserve"> dan </w:t>
      </w:r>
      <w:proofErr w:type="spellStart"/>
      <w:r w:rsidRPr="007720BC">
        <w:rPr>
          <w:rFonts w:ascii="Times New Roman" w:hAnsi="Times New Roman" w:cs="Times New Roman"/>
          <w:sz w:val="24"/>
          <w:szCs w:val="24"/>
          <w:lang w:val="en-US"/>
        </w:rPr>
        <w:t>sampai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dengan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tahun</w:t>
      </w:r>
      <w:proofErr w:type="spellEnd"/>
      <w:r w:rsidRPr="007720BC">
        <w:rPr>
          <w:rFonts w:ascii="Times New Roman" w:hAnsi="Times New Roman" w:cs="Times New Roman"/>
          <w:sz w:val="24"/>
          <w:szCs w:val="24"/>
          <w:lang w:val="en-US"/>
        </w:rPr>
        <w:t xml:space="preserve"> 2023 </w:t>
      </w:r>
      <w:proofErr w:type="spellStart"/>
      <w:r w:rsidRPr="007720BC">
        <w:rPr>
          <w:rFonts w:ascii="Times New Roman" w:hAnsi="Times New Roman" w:cs="Times New Roman"/>
          <w:sz w:val="24"/>
          <w:szCs w:val="24"/>
          <w:lang w:val="en-US"/>
        </w:rPr>
        <w:t>telah</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dibentuk</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beberapa</w:t>
      </w:r>
      <w:proofErr w:type="spellEnd"/>
      <w:r w:rsidRPr="007720BC">
        <w:rPr>
          <w:rFonts w:ascii="Times New Roman" w:hAnsi="Times New Roman" w:cs="Times New Roman"/>
          <w:sz w:val="24"/>
          <w:szCs w:val="24"/>
          <w:lang w:val="en-US"/>
        </w:rPr>
        <w:t xml:space="preserve"> UMKM yang </w:t>
      </w:r>
      <w:proofErr w:type="spellStart"/>
      <w:r w:rsidRPr="007720BC">
        <w:rPr>
          <w:rFonts w:ascii="Times New Roman" w:hAnsi="Times New Roman" w:cs="Times New Roman"/>
          <w:sz w:val="24"/>
          <w:szCs w:val="24"/>
          <w:lang w:val="en-US"/>
        </w:rPr>
        <w:t>dibantu</w:t>
      </w:r>
      <w:proofErr w:type="spellEnd"/>
      <w:r w:rsidRPr="007720BC">
        <w:rPr>
          <w:rFonts w:ascii="Times New Roman" w:hAnsi="Times New Roman" w:cs="Times New Roman"/>
          <w:sz w:val="24"/>
          <w:szCs w:val="24"/>
          <w:lang w:val="en-US"/>
        </w:rPr>
        <w:t xml:space="preserve"> oleh </w:t>
      </w:r>
      <w:proofErr w:type="spellStart"/>
      <w:r w:rsidRPr="007720BC">
        <w:rPr>
          <w:rFonts w:ascii="Times New Roman" w:hAnsi="Times New Roman" w:cs="Times New Roman"/>
          <w:sz w:val="24"/>
          <w:szCs w:val="24"/>
          <w:lang w:val="en-US"/>
        </w:rPr>
        <w:t>Pemerintahan</w:t>
      </w:r>
      <w:proofErr w:type="spellEnd"/>
      <w:r w:rsidRPr="007720BC">
        <w:rPr>
          <w:rFonts w:ascii="Times New Roman" w:hAnsi="Times New Roman" w:cs="Times New Roman"/>
          <w:sz w:val="24"/>
          <w:szCs w:val="24"/>
          <w:lang w:val="en-US"/>
        </w:rPr>
        <w:t xml:space="preserve"> Desa </w:t>
      </w:r>
      <w:proofErr w:type="spellStart"/>
      <w:r w:rsidRPr="007720BC">
        <w:rPr>
          <w:rFonts w:ascii="Times New Roman" w:hAnsi="Times New Roman" w:cs="Times New Roman"/>
          <w:sz w:val="24"/>
          <w:szCs w:val="24"/>
          <w:lang w:val="en-US"/>
        </w:rPr>
        <w:t>Mongpok</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dengan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menyediakan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gerai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untuk</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usaha</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mikro</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koperasi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maupun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kelompok</w:t>
      </w:r>
      <w:proofErr w:type="spellEnd"/>
      <w:r w:rsidRPr="007720BC">
        <w:rPr>
          <w:rFonts w:ascii="Times New Roman" w:hAnsi="Times New Roman" w:cs="Times New Roman"/>
          <w:sz w:val="24"/>
          <w:szCs w:val="24"/>
          <w:lang w:val="en-US"/>
        </w:rPr>
        <w:t xml:space="preserve"> </w:t>
      </w:r>
      <w:proofErr w:type="spellStart"/>
      <w:r w:rsidR="009836F6" w:rsidRPr="007720BC">
        <w:rPr>
          <w:rFonts w:ascii="Times New Roman" w:hAnsi="Times New Roman" w:cs="Times New Roman"/>
          <w:sz w:val="24"/>
          <w:szCs w:val="24"/>
          <w:lang w:val="en-US"/>
        </w:rPr>
        <w:t>m</w:t>
      </w:r>
      <w:r w:rsidRPr="007720BC">
        <w:rPr>
          <w:rFonts w:ascii="Times New Roman" w:hAnsi="Times New Roman" w:cs="Times New Roman"/>
          <w:sz w:val="24"/>
          <w:szCs w:val="24"/>
          <w:lang w:val="en-US"/>
        </w:rPr>
        <w:t>asyarakat</w:t>
      </w:r>
      <w:proofErr w:type="spellEnd"/>
      <w:r w:rsidRPr="007720BC">
        <w:rPr>
          <w:rFonts w:ascii="Times New Roman" w:hAnsi="Times New Roman" w:cs="Times New Roman"/>
          <w:sz w:val="24"/>
          <w:szCs w:val="24"/>
          <w:lang w:val="en-US"/>
        </w:rPr>
        <w:t xml:space="preserve"> yang </w:t>
      </w:r>
      <w:proofErr w:type="spellStart"/>
      <w:r w:rsidRPr="007720BC">
        <w:rPr>
          <w:rFonts w:ascii="Times New Roman" w:hAnsi="Times New Roman" w:cs="Times New Roman"/>
          <w:sz w:val="24"/>
          <w:szCs w:val="24"/>
          <w:lang w:val="en-US"/>
        </w:rPr>
        <w:t>menjual</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produk</w:t>
      </w:r>
      <w:proofErr w:type="spellEnd"/>
      <w:r w:rsidR="009836F6" w:rsidRPr="007720BC">
        <w:rPr>
          <w:rFonts w:ascii="Times New Roman" w:hAnsi="Times New Roman" w:cs="Times New Roman"/>
          <w:sz w:val="24"/>
          <w:szCs w:val="24"/>
          <w:lang w:val="en-US"/>
        </w:rPr>
        <w:t xml:space="preserve"> </w:t>
      </w:r>
      <w:proofErr w:type="spellStart"/>
      <w:r w:rsidR="009836F6" w:rsidRPr="007720BC">
        <w:rPr>
          <w:rFonts w:ascii="Times New Roman" w:hAnsi="Times New Roman" w:cs="Times New Roman"/>
          <w:sz w:val="24"/>
          <w:szCs w:val="24"/>
          <w:lang w:val="en-US"/>
        </w:rPr>
        <w:t>lokal</w:t>
      </w:r>
      <w:proofErr w:type="spellEnd"/>
      <w:r w:rsidRPr="007720BC">
        <w:rPr>
          <w:rFonts w:ascii="Times New Roman" w:hAnsi="Times New Roman" w:cs="Times New Roman"/>
          <w:sz w:val="24"/>
          <w:szCs w:val="24"/>
          <w:lang w:val="en-US"/>
        </w:rPr>
        <w:t xml:space="preserve">. Salah </w:t>
      </w:r>
      <w:proofErr w:type="spellStart"/>
      <w:r w:rsidRPr="007720BC">
        <w:rPr>
          <w:rFonts w:ascii="Times New Roman" w:hAnsi="Times New Roman" w:cs="Times New Roman"/>
          <w:sz w:val="24"/>
          <w:szCs w:val="24"/>
          <w:lang w:val="en-US"/>
        </w:rPr>
        <w:t>satu</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produk</w:t>
      </w:r>
      <w:proofErr w:type="spellEnd"/>
      <w:r w:rsidRPr="007720BC">
        <w:rPr>
          <w:rFonts w:ascii="Times New Roman" w:hAnsi="Times New Roman" w:cs="Times New Roman"/>
          <w:sz w:val="24"/>
          <w:szCs w:val="24"/>
          <w:lang w:val="en-US"/>
        </w:rPr>
        <w:t xml:space="preserve"> UMKM di Desa </w:t>
      </w:r>
      <w:proofErr w:type="spellStart"/>
      <w:r w:rsidRPr="007720BC">
        <w:rPr>
          <w:rFonts w:ascii="Times New Roman" w:hAnsi="Times New Roman" w:cs="Times New Roman"/>
          <w:sz w:val="24"/>
          <w:szCs w:val="24"/>
          <w:lang w:val="en-US"/>
        </w:rPr>
        <w:t>Mongpok</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yaitu</w:t>
      </w:r>
      <w:proofErr w:type="spellEnd"/>
      <w:r w:rsidRPr="007720BC">
        <w:rPr>
          <w:rFonts w:ascii="Times New Roman" w:hAnsi="Times New Roman" w:cs="Times New Roman"/>
          <w:sz w:val="24"/>
          <w:szCs w:val="24"/>
          <w:lang w:val="en-US"/>
        </w:rPr>
        <w:t xml:space="preserve"> liquid </w:t>
      </w:r>
      <w:proofErr w:type="spellStart"/>
      <w:r w:rsidRPr="007720BC">
        <w:rPr>
          <w:rFonts w:ascii="Times New Roman" w:hAnsi="Times New Roman" w:cs="Times New Roman"/>
          <w:sz w:val="24"/>
          <w:szCs w:val="24"/>
          <w:lang w:val="en-US"/>
        </w:rPr>
        <w:t>pembersih</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lantai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makanan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emping</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rempeyek</w:t>
      </w:r>
      <w:proofErr w:type="spellEnd"/>
      <w:r w:rsidRPr="007720BC">
        <w:rPr>
          <w:rFonts w:ascii="Times New Roman" w:hAnsi="Times New Roman" w:cs="Times New Roman"/>
          <w:sz w:val="24"/>
          <w:szCs w:val="24"/>
          <w:lang w:val="en-US"/>
        </w:rPr>
        <w:t xml:space="preserve"> dan </w:t>
      </w:r>
      <w:proofErr w:type="spellStart"/>
      <w:r w:rsidRPr="007720BC">
        <w:rPr>
          <w:rFonts w:ascii="Times New Roman" w:hAnsi="Times New Roman" w:cs="Times New Roman"/>
          <w:sz w:val="24"/>
          <w:szCs w:val="24"/>
          <w:lang w:val="en-US"/>
        </w:rPr>
        <w:t>dapros</w:t>
      </w:r>
      <w:proofErr w:type="spellEnd"/>
      <w:r w:rsidRPr="007720BC">
        <w:rPr>
          <w:rFonts w:ascii="Times New Roman" w:hAnsi="Times New Roman" w:cs="Times New Roman"/>
          <w:sz w:val="24"/>
          <w:szCs w:val="24"/>
          <w:lang w:val="en-US"/>
        </w:rPr>
        <w:t xml:space="preserve"> yang </w:t>
      </w:r>
      <w:proofErr w:type="spellStart"/>
      <w:r w:rsidRPr="007720BC">
        <w:rPr>
          <w:rFonts w:ascii="Times New Roman" w:hAnsi="Times New Roman" w:cs="Times New Roman"/>
          <w:sz w:val="24"/>
          <w:szCs w:val="24"/>
          <w:lang w:val="en-US"/>
        </w:rPr>
        <w:t>dipasarkan</w:t>
      </w:r>
      <w:proofErr w:type="spellEnd"/>
      <w:r w:rsidRPr="007720BC">
        <w:rPr>
          <w:rFonts w:ascii="Times New Roman" w:hAnsi="Times New Roman" w:cs="Times New Roman"/>
          <w:sz w:val="24"/>
          <w:szCs w:val="24"/>
          <w:lang w:val="en-US"/>
        </w:rPr>
        <w:t xml:space="preserve"> dan </w:t>
      </w:r>
      <w:proofErr w:type="spellStart"/>
      <w:r w:rsidRPr="007720BC">
        <w:rPr>
          <w:rFonts w:ascii="Times New Roman" w:hAnsi="Times New Roman" w:cs="Times New Roman"/>
          <w:sz w:val="24"/>
          <w:szCs w:val="24"/>
          <w:lang w:val="en-US"/>
        </w:rPr>
        <w:t>dijual</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untuk</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meningkatkan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pereknomian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keluarga</w:t>
      </w:r>
      <w:proofErr w:type="spellEnd"/>
      <w:r w:rsidRPr="007720BC">
        <w:rPr>
          <w:rFonts w:ascii="Times New Roman" w:hAnsi="Times New Roman" w:cs="Times New Roman"/>
          <w:sz w:val="24"/>
          <w:szCs w:val="24"/>
          <w:lang w:val="en-US"/>
        </w:rPr>
        <w:t xml:space="preserve"> dan </w:t>
      </w:r>
      <w:proofErr w:type="spellStart"/>
      <w:r w:rsidR="009836F6" w:rsidRPr="007720BC">
        <w:rPr>
          <w:rFonts w:ascii="Times New Roman" w:hAnsi="Times New Roman" w:cs="Times New Roman"/>
          <w:sz w:val="24"/>
          <w:szCs w:val="24"/>
          <w:lang w:val="en-US"/>
        </w:rPr>
        <w:t>m</w:t>
      </w:r>
      <w:r w:rsidRPr="007720BC">
        <w:rPr>
          <w:rFonts w:ascii="Times New Roman" w:hAnsi="Times New Roman" w:cs="Times New Roman"/>
          <w:sz w:val="24"/>
          <w:szCs w:val="24"/>
          <w:lang w:val="en-US"/>
        </w:rPr>
        <w:t>asyarakat</w:t>
      </w:r>
      <w:proofErr w:type="spellEnd"/>
      <w:r w:rsidRPr="007720BC">
        <w:rPr>
          <w:rFonts w:ascii="Times New Roman" w:hAnsi="Times New Roman" w:cs="Times New Roman"/>
          <w:sz w:val="24"/>
          <w:szCs w:val="24"/>
          <w:lang w:val="en-US"/>
        </w:rPr>
        <w:t xml:space="preserve">. </w:t>
      </w:r>
    </w:p>
    <w:p w14:paraId="326C2010" w14:textId="434C5221" w:rsidR="008761BB" w:rsidRPr="007720BC" w:rsidRDefault="007E71DF" w:rsidP="008761BB">
      <w:pPr>
        <w:shd w:val="clear" w:color="auto" w:fill="FFFFFF"/>
        <w:spacing w:after="0" w:line="240" w:lineRule="auto"/>
        <w:ind w:firstLine="567"/>
        <w:contextualSpacing/>
        <w:jc w:val="both"/>
        <w:textAlignment w:val="baseline"/>
        <w:rPr>
          <w:rFonts w:ascii="Times New Roman" w:hAnsi="Times New Roman" w:cs="Times New Roman"/>
          <w:sz w:val="24"/>
          <w:szCs w:val="24"/>
          <w:lang w:val="en-US"/>
        </w:rPr>
      </w:pPr>
      <w:r w:rsidRPr="007720BC">
        <w:rPr>
          <w:rFonts w:ascii="Times New Roman" w:hAnsi="Times New Roman" w:cs="Times New Roman"/>
          <w:sz w:val="24"/>
          <w:szCs w:val="24"/>
          <w:lang w:val="en-US"/>
        </w:rPr>
        <w:t xml:space="preserve">Jenis </w:t>
      </w:r>
      <w:proofErr w:type="spellStart"/>
      <w:r w:rsidRPr="007720BC">
        <w:rPr>
          <w:rFonts w:ascii="Times New Roman" w:hAnsi="Times New Roman" w:cs="Times New Roman"/>
          <w:sz w:val="24"/>
          <w:szCs w:val="24"/>
          <w:lang w:val="en-US"/>
        </w:rPr>
        <w:t>inovasi</w:t>
      </w:r>
      <w:proofErr w:type="spellEnd"/>
      <w:r w:rsidRPr="007720BC">
        <w:rPr>
          <w:rFonts w:ascii="Times New Roman" w:hAnsi="Times New Roman" w:cs="Times New Roman"/>
          <w:sz w:val="24"/>
          <w:szCs w:val="24"/>
          <w:lang w:val="en-US"/>
        </w:rPr>
        <w:t xml:space="preserve"> yang </w:t>
      </w:r>
      <w:proofErr w:type="spellStart"/>
      <w:r w:rsidRPr="007720BC">
        <w:rPr>
          <w:rFonts w:ascii="Times New Roman" w:hAnsi="Times New Roman" w:cs="Times New Roman"/>
          <w:sz w:val="24"/>
          <w:szCs w:val="24"/>
          <w:lang w:val="en-US"/>
        </w:rPr>
        <w:t>masih</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terus</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dikembangkan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yaitu</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penanaman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bibit</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pohon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seluas</w:t>
      </w:r>
      <w:proofErr w:type="spellEnd"/>
      <w:r w:rsidRPr="007720BC">
        <w:rPr>
          <w:rFonts w:ascii="Times New Roman" w:hAnsi="Times New Roman" w:cs="Times New Roman"/>
          <w:sz w:val="24"/>
          <w:szCs w:val="24"/>
          <w:lang w:val="en-US"/>
        </w:rPr>
        <w:t xml:space="preserve"> 1 </w:t>
      </w:r>
      <w:proofErr w:type="spellStart"/>
      <w:r w:rsidRPr="007720BC">
        <w:rPr>
          <w:rFonts w:ascii="Times New Roman" w:hAnsi="Times New Roman" w:cs="Times New Roman"/>
          <w:sz w:val="24"/>
          <w:szCs w:val="24"/>
          <w:lang w:val="en-US"/>
        </w:rPr>
        <w:t>hektar</w:t>
      </w:r>
      <w:proofErr w:type="spellEnd"/>
      <w:r w:rsidRPr="007720BC">
        <w:rPr>
          <w:rFonts w:ascii="Times New Roman" w:hAnsi="Times New Roman" w:cs="Times New Roman"/>
          <w:sz w:val="24"/>
          <w:szCs w:val="24"/>
          <w:lang w:val="en-US"/>
        </w:rPr>
        <w:t xml:space="preserve"> yang </w:t>
      </w:r>
      <w:proofErr w:type="spellStart"/>
      <w:r w:rsidRPr="007720BC">
        <w:rPr>
          <w:rFonts w:ascii="Times New Roman" w:hAnsi="Times New Roman" w:cs="Times New Roman"/>
          <w:sz w:val="24"/>
          <w:szCs w:val="24"/>
          <w:lang w:val="en-US"/>
        </w:rPr>
        <w:t>diolah</w:t>
      </w:r>
      <w:proofErr w:type="spellEnd"/>
      <w:r w:rsidRPr="007720BC">
        <w:rPr>
          <w:rFonts w:ascii="Times New Roman" w:hAnsi="Times New Roman" w:cs="Times New Roman"/>
          <w:sz w:val="24"/>
          <w:szCs w:val="24"/>
          <w:lang w:val="en-US"/>
        </w:rPr>
        <w:t xml:space="preserve"> dan </w:t>
      </w:r>
      <w:proofErr w:type="spellStart"/>
      <w:r w:rsidRPr="007720BC">
        <w:rPr>
          <w:rFonts w:ascii="Times New Roman" w:hAnsi="Times New Roman" w:cs="Times New Roman"/>
          <w:sz w:val="24"/>
          <w:szCs w:val="24"/>
          <w:lang w:val="en-US"/>
        </w:rPr>
        <w:t>dibudidayakan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secara</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mandiri</w:t>
      </w:r>
      <w:proofErr w:type="spellEnd"/>
      <w:r w:rsidRPr="007720BC">
        <w:rPr>
          <w:rFonts w:ascii="Times New Roman" w:hAnsi="Times New Roman" w:cs="Times New Roman"/>
          <w:sz w:val="24"/>
          <w:szCs w:val="24"/>
          <w:lang w:val="en-US"/>
        </w:rPr>
        <w:t xml:space="preserve"> oleh </w:t>
      </w:r>
      <w:proofErr w:type="spellStart"/>
      <w:r w:rsidR="009836F6" w:rsidRPr="007720BC">
        <w:rPr>
          <w:rFonts w:ascii="Times New Roman" w:hAnsi="Times New Roman" w:cs="Times New Roman"/>
          <w:sz w:val="24"/>
          <w:szCs w:val="24"/>
          <w:lang w:val="en-US"/>
        </w:rPr>
        <w:t>m</w:t>
      </w:r>
      <w:r w:rsidRPr="007720BC">
        <w:rPr>
          <w:rFonts w:ascii="Times New Roman" w:hAnsi="Times New Roman" w:cs="Times New Roman"/>
          <w:sz w:val="24"/>
          <w:szCs w:val="24"/>
          <w:lang w:val="en-US"/>
        </w:rPr>
        <w:t>asyarakat</w:t>
      </w:r>
      <w:proofErr w:type="spellEnd"/>
      <w:r w:rsidRPr="007720BC">
        <w:rPr>
          <w:rFonts w:ascii="Times New Roman" w:hAnsi="Times New Roman" w:cs="Times New Roman"/>
          <w:sz w:val="24"/>
          <w:szCs w:val="24"/>
          <w:lang w:val="en-US"/>
        </w:rPr>
        <w:t xml:space="preserve">. Hasil </w:t>
      </w:r>
      <w:proofErr w:type="spellStart"/>
      <w:r w:rsidRPr="007720BC">
        <w:rPr>
          <w:rFonts w:ascii="Times New Roman" w:hAnsi="Times New Roman" w:cs="Times New Roman"/>
          <w:sz w:val="24"/>
          <w:szCs w:val="24"/>
          <w:lang w:val="en-US"/>
        </w:rPr>
        <w:t>dari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budidaya</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tersebut</w:t>
      </w:r>
      <w:proofErr w:type="spellEnd"/>
      <w:r w:rsidRPr="007720BC">
        <w:rPr>
          <w:rFonts w:ascii="Times New Roman" w:hAnsi="Times New Roman" w:cs="Times New Roman"/>
          <w:sz w:val="24"/>
          <w:szCs w:val="24"/>
          <w:lang w:val="en-US"/>
        </w:rPr>
        <w:t xml:space="preserve"> di </w:t>
      </w:r>
      <w:proofErr w:type="spellStart"/>
      <w:r w:rsidRPr="007720BC">
        <w:rPr>
          <w:rFonts w:ascii="Times New Roman" w:hAnsi="Times New Roman" w:cs="Times New Roman"/>
          <w:sz w:val="24"/>
          <w:szCs w:val="24"/>
          <w:lang w:val="en-US"/>
        </w:rPr>
        <w:t>konsumsi</w:t>
      </w:r>
      <w:proofErr w:type="spellEnd"/>
      <w:r w:rsidRPr="007720BC">
        <w:rPr>
          <w:rFonts w:ascii="Times New Roman" w:hAnsi="Times New Roman" w:cs="Times New Roman"/>
          <w:sz w:val="24"/>
          <w:szCs w:val="24"/>
          <w:lang w:val="en-US"/>
        </w:rPr>
        <w:t xml:space="preserve"> oleh </w:t>
      </w:r>
      <w:proofErr w:type="spellStart"/>
      <w:r w:rsidRPr="007720BC">
        <w:rPr>
          <w:rFonts w:ascii="Times New Roman" w:hAnsi="Times New Roman" w:cs="Times New Roman"/>
          <w:sz w:val="24"/>
          <w:szCs w:val="24"/>
          <w:lang w:val="en-US"/>
        </w:rPr>
        <w:t>masyarakat</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sekitar</w:t>
      </w:r>
      <w:proofErr w:type="spellEnd"/>
      <w:r w:rsidRPr="007720BC">
        <w:rPr>
          <w:rFonts w:ascii="Times New Roman" w:hAnsi="Times New Roman" w:cs="Times New Roman"/>
          <w:sz w:val="24"/>
          <w:szCs w:val="24"/>
          <w:lang w:val="en-US"/>
        </w:rPr>
        <w:t xml:space="preserve"> dan </w:t>
      </w:r>
      <w:proofErr w:type="spellStart"/>
      <w:r w:rsidRPr="007720BC">
        <w:rPr>
          <w:rFonts w:ascii="Times New Roman" w:hAnsi="Times New Roman" w:cs="Times New Roman"/>
          <w:sz w:val="24"/>
          <w:szCs w:val="24"/>
          <w:lang w:val="en-US"/>
        </w:rPr>
        <w:t>bisa</w:t>
      </w:r>
      <w:proofErr w:type="spellEnd"/>
      <w:r w:rsidRPr="007720BC">
        <w:rPr>
          <w:rFonts w:ascii="Times New Roman" w:hAnsi="Times New Roman" w:cs="Times New Roman"/>
          <w:sz w:val="24"/>
          <w:szCs w:val="24"/>
          <w:lang w:val="en-US"/>
        </w:rPr>
        <w:t xml:space="preserve"> juga di </w:t>
      </w:r>
      <w:proofErr w:type="spellStart"/>
      <w:r w:rsidRPr="007720BC">
        <w:rPr>
          <w:rFonts w:ascii="Times New Roman" w:hAnsi="Times New Roman" w:cs="Times New Roman"/>
          <w:sz w:val="24"/>
          <w:szCs w:val="24"/>
          <w:lang w:val="en-US"/>
        </w:rPr>
        <w:t>distribusikan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ke</w:t>
      </w:r>
      <w:proofErr w:type="spellEnd"/>
      <w:r w:rsidRPr="007720BC">
        <w:rPr>
          <w:rFonts w:ascii="Times New Roman" w:hAnsi="Times New Roman" w:cs="Times New Roman"/>
          <w:sz w:val="24"/>
          <w:szCs w:val="24"/>
          <w:lang w:val="en-US"/>
        </w:rPr>
        <w:t xml:space="preserve"> pasar</w:t>
      </w:r>
      <w:r w:rsidR="00D431E6" w:rsidRPr="007720BC">
        <w:rPr>
          <w:rFonts w:ascii="Times New Roman" w:hAnsi="Times New Roman" w:cs="Times New Roman"/>
          <w:sz w:val="24"/>
          <w:szCs w:val="24"/>
          <w:lang w:val="en-US"/>
        </w:rPr>
        <w:t>-</w:t>
      </w:r>
      <w:r w:rsidRPr="007720BC">
        <w:rPr>
          <w:rFonts w:ascii="Times New Roman" w:hAnsi="Times New Roman" w:cs="Times New Roman"/>
          <w:sz w:val="24"/>
          <w:szCs w:val="24"/>
          <w:lang w:val="en-US"/>
        </w:rPr>
        <w:t xml:space="preserve">pasar </w:t>
      </w:r>
      <w:proofErr w:type="spellStart"/>
      <w:r w:rsidRPr="007720BC">
        <w:rPr>
          <w:rFonts w:ascii="Times New Roman" w:hAnsi="Times New Roman" w:cs="Times New Roman"/>
          <w:sz w:val="24"/>
          <w:szCs w:val="24"/>
          <w:lang w:val="en-US"/>
        </w:rPr>
        <w:t>terdekat</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sehingga</w:t>
      </w:r>
      <w:proofErr w:type="spellEnd"/>
      <w:r w:rsidRPr="007720BC">
        <w:rPr>
          <w:rFonts w:ascii="Times New Roman" w:hAnsi="Times New Roman" w:cs="Times New Roman"/>
          <w:sz w:val="24"/>
          <w:szCs w:val="24"/>
          <w:lang w:val="en-US"/>
        </w:rPr>
        <w:t xml:space="preserve"> </w:t>
      </w:r>
      <w:proofErr w:type="spellStart"/>
      <w:r w:rsidR="00D431E6" w:rsidRPr="007720BC">
        <w:rPr>
          <w:rFonts w:ascii="Times New Roman" w:hAnsi="Times New Roman" w:cs="Times New Roman"/>
          <w:sz w:val="24"/>
          <w:szCs w:val="24"/>
          <w:lang w:val="en-US"/>
        </w:rPr>
        <w:t>dapat</w:t>
      </w:r>
      <w:proofErr w:type="spellEnd"/>
      <w:r w:rsidR="00D431E6"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meningkatkan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taraf</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ekonomi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masyarakat</w:t>
      </w:r>
      <w:proofErr w:type="spellEnd"/>
      <w:r w:rsidRPr="007720BC">
        <w:rPr>
          <w:rFonts w:ascii="Times New Roman" w:hAnsi="Times New Roman" w:cs="Times New Roman"/>
          <w:sz w:val="24"/>
          <w:szCs w:val="24"/>
          <w:lang w:val="en-US"/>
        </w:rPr>
        <w:t xml:space="preserve"> di Desa </w:t>
      </w:r>
      <w:proofErr w:type="spellStart"/>
      <w:r w:rsidRPr="007720BC">
        <w:rPr>
          <w:rFonts w:ascii="Times New Roman" w:hAnsi="Times New Roman" w:cs="Times New Roman"/>
          <w:sz w:val="24"/>
          <w:szCs w:val="24"/>
          <w:lang w:val="en-US"/>
        </w:rPr>
        <w:t>Mongpok</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Selanjutnya</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i</w:t>
      </w:r>
      <w:r w:rsidR="00A638A7" w:rsidRPr="007720BC">
        <w:rPr>
          <w:rFonts w:ascii="Times New Roman" w:hAnsi="Times New Roman" w:cs="Times New Roman"/>
          <w:sz w:val="24"/>
          <w:szCs w:val="24"/>
        </w:rPr>
        <w:t>novasi</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Bibit</w:t>
      </w:r>
      <w:proofErr w:type="spellEnd"/>
      <w:r w:rsidR="00A638A7" w:rsidRPr="007720BC">
        <w:rPr>
          <w:rFonts w:ascii="Times New Roman" w:hAnsi="Times New Roman" w:cs="Times New Roman"/>
          <w:sz w:val="24"/>
          <w:szCs w:val="24"/>
        </w:rPr>
        <w:t xml:space="preserve"> Lele</w:t>
      </w:r>
      <w:r w:rsidR="00B81D8A" w:rsidRPr="007720BC">
        <w:rPr>
          <w:rFonts w:ascii="Times New Roman" w:hAnsi="Times New Roman" w:cs="Times New Roman"/>
          <w:sz w:val="24"/>
          <w:szCs w:val="24"/>
          <w:lang w:val="en-US"/>
        </w:rPr>
        <w:t xml:space="preserve"> </w:t>
      </w:r>
      <w:proofErr w:type="spellStart"/>
      <w:r w:rsidR="00B81D8A" w:rsidRPr="007720BC">
        <w:rPr>
          <w:rFonts w:ascii="Times New Roman" w:hAnsi="Times New Roman" w:cs="Times New Roman"/>
          <w:sz w:val="24"/>
          <w:szCs w:val="24"/>
          <w:lang w:val="en-US"/>
        </w:rPr>
        <w:t>yaitu</w:t>
      </w:r>
      <w:proofErr w:type="spellEnd"/>
      <w:r w:rsidR="00B81D8A" w:rsidRPr="007720BC">
        <w:rPr>
          <w:rFonts w:ascii="Times New Roman" w:hAnsi="Times New Roman" w:cs="Times New Roman"/>
          <w:sz w:val="24"/>
          <w:szCs w:val="24"/>
          <w:lang w:val="en-US"/>
        </w:rPr>
        <w:t xml:space="preserve"> </w:t>
      </w:r>
      <w:proofErr w:type="spellStart"/>
      <w:r w:rsidR="00B81D8A" w:rsidRPr="007720BC">
        <w:rPr>
          <w:rFonts w:ascii="Times New Roman" w:hAnsi="Times New Roman" w:cs="Times New Roman"/>
          <w:sz w:val="24"/>
          <w:szCs w:val="24"/>
          <w:lang w:val="en-US"/>
        </w:rPr>
        <w:t>kegiatan</w:t>
      </w:r>
      <w:proofErr w:type="spellEnd"/>
      <w:r w:rsidR="00B81D8A" w:rsidRPr="007720BC">
        <w:rPr>
          <w:rFonts w:ascii="Times New Roman" w:hAnsi="Times New Roman" w:cs="Times New Roman"/>
          <w:sz w:val="24"/>
          <w:szCs w:val="24"/>
          <w:lang w:val="en-US"/>
        </w:rPr>
        <w:t xml:space="preserve"> p</w:t>
      </w:r>
      <w:proofErr w:type="spellStart"/>
      <w:r w:rsidR="00A638A7" w:rsidRPr="007720BC">
        <w:rPr>
          <w:rFonts w:ascii="Times New Roman" w:hAnsi="Times New Roman" w:cs="Times New Roman"/>
          <w:sz w:val="24"/>
          <w:szCs w:val="24"/>
        </w:rPr>
        <w:t>emberian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bibit</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lele</w:t>
      </w:r>
      <w:proofErr w:type="spellEnd"/>
      <w:r w:rsidR="00A638A7" w:rsidRPr="007720BC">
        <w:rPr>
          <w:rFonts w:ascii="Times New Roman" w:hAnsi="Times New Roman" w:cs="Times New Roman"/>
          <w:sz w:val="24"/>
          <w:szCs w:val="24"/>
        </w:rPr>
        <w:t xml:space="preserve"> </w:t>
      </w:r>
      <w:proofErr w:type="spellStart"/>
      <w:r w:rsidR="00B81D8A" w:rsidRPr="007720BC">
        <w:rPr>
          <w:rFonts w:ascii="Times New Roman" w:hAnsi="Times New Roman" w:cs="Times New Roman"/>
          <w:sz w:val="24"/>
          <w:szCs w:val="24"/>
        </w:rPr>
        <w:t>dari</w:t>
      </w:r>
      <w:proofErr w:type="spellEnd"/>
      <w:r w:rsidR="00B81D8A"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Kementrian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Kelautan</w:t>
      </w:r>
      <w:proofErr w:type="spellEnd"/>
      <w:r w:rsidR="00A638A7" w:rsidRPr="007720BC">
        <w:rPr>
          <w:rFonts w:ascii="Times New Roman" w:hAnsi="Times New Roman" w:cs="Times New Roman"/>
          <w:sz w:val="24"/>
          <w:szCs w:val="24"/>
        </w:rPr>
        <w:t xml:space="preserve"> dan </w:t>
      </w:r>
      <w:proofErr w:type="spellStart"/>
      <w:r w:rsidR="00A638A7" w:rsidRPr="007720BC">
        <w:rPr>
          <w:rFonts w:ascii="Times New Roman" w:hAnsi="Times New Roman" w:cs="Times New Roman"/>
          <w:sz w:val="24"/>
          <w:szCs w:val="24"/>
        </w:rPr>
        <w:t>Perikanan</w:t>
      </w:r>
      <w:proofErr w:type="spellEnd"/>
      <w:r w:rsidR="00A638A7" w:rsidRPr="007720BC">
        <w:rPr>
          <w:rFonts w:ascii="Times New Roman" w:hAnsi="Times New Roman" w:cs="Times New Roman"/>
          <w:sz w:val="24"/>
          <w:szCs w:val="24"/>
        </w:rPr>
        <w:t xml:space="preserve"> (KKP) </w:t>
      </w:r>
      <w:proofErr w:type="spellStart"/>
      <w:r w:rsidR="00A638A7" w:rsidRPr="007720BC">
        <w:rPr>
          <w:rFonts w:ascii="Times New Roman" w:hAnsi="Times New Roman" w:cs="Times New Roman"/>
          <w:sz w:val="24"/>
          <w:szCs w:val="24"/>
        </w:rPr>
        <w:t>kepada</w:t>
      </w:r>
      <w:proofErr w:type="spellEnd"/>
      <w:r w:rsidR="00A638A7" w:rsidRPr="007720BC">
        <w:rPr>
          <w:rFonts w:ascii="Times New Roman" w:hAnsi="Times New Roman" w:cs="Times New Roman"/>
          <w:sz w:val="24"/>
          <w:szCs w:val="24"/>
        </w:rPr>
        <w:t xml:space="preserve"> Desa </w:t>
      </w:r>
      <w:proofErr w:type="spellStart"/>
      <w:r w:rsidR="00A638A7" w:rsidRPr="007720BC">
        <w:rPr>
          <w:rFonts w:ascii="Times New Roman" w:hAnsi="Times New Roman" w:cs="Times New Roman"/>
          <w:sz w:val="24"/>
          <w:szCs w:val="24"/>
        </w:rPr>
        <w:t>Mongpok</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sebanyak</w:t>
      </w:r>
      <w:proofErr w:type="spellEnd"/>
      <w:r w:rsidR="00A638A7" w:rsidRPr="007720BC">
        <w:rPr>
          <w:rFonts w:ascii="Times New Roman" w:hAnsi="Times New Roman" w:cs="Times New Roman"/>
          <w:sz w:val="24"/>
          <w:szCs w:val="24"/>
        </w:rPr>
        <w:t xml:space="preserve"> 3000 </w:t>
      </w:r>
      <w:proofErr w:type="spellStart"/>
      <w:r w:rsidR="00A638A7" w:rsidRPr="007720BC">
        <w:rPr>
          <w:rFonts w:ascii="Times New Roman" w:hAnsi="Times New Roman" w:cs="Times New Roman"/>
          <w:sz w:val="24"/>
          <w:szCs w:val="24"/>
        </w:rPr>
        <w:t>bibit</w:t>
      </w:r>
      <w:proofErr w:type="spellEnd"/>
      <w:r w:rsidR="00A638A7" w:rsidRPr="007720BC">
        <w:rPr>
          <w:rFonts w:ascii="Times New Roman" w:hAnsi="Times New Roman" w:cs="Times New Roman"/>
          <w:sz w:val="24"/>
          <w:szCs w:val="24"/>
        </w:rPr>
        <w:t xml:space="preserve"> </w:t>
      </w:r>
      <w:r w:rsidR="009836F6" w:rsidRPr="007720BC">
        <w:rPr>
          <w:rFonts w:ascii="Times New Roman" w:hAnsi="Times New Roman" w:cs="Times New Roman"/>
          <w:sz w:val="24"/>
          <w:szCs w:val="24"/>
        </w:rPr>
        <w:t xml:space="preserve">dan </w:t>
      </w:r>
      <w:proofErr w:type="spellStart"/>
      <w:r w:rsidR="00A638A7" w:rsidRPr="007720BC">
        <w:rPr>
          <w:rFonts w:ascii="Times New Roman" w:hAnsi="Times New Roman" w:cs="Times New Roman"/>
          <w:sz w:val="24"/>
          <w:szCs w:val="24"/>
        </w:rPr>
        <w:t>telah</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menjadi</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inovasi</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berkelanjutan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untuk</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mengatasi</w:t>
      </w:r>
      <w:proofErr w:type="spellEnd"/>
      <w:r w:rsidR="00A638A7" w:rsidRPr="007720BC">
        <w:rPr>
          <w:rFonts w:ascii="Times New Roman" w:hAnsi="Times New Roman" w:cs="Times New Roman"/>
          <w:sz w:val="24"/>
          <w:szCs w:val="24"/>
        </w:rPr>
        <w:t xml:space="preserve"> stunting. </w:t>
      </w:r>
      <w:proofErr w:type="spellStart"/>
      <w:r w:rsidR="00A638A7" w:rsidRPr="007720BC">
        <w:rPr>
          <w:rFonts w:ascii="Times New Roman" w:hAnsi="Times New Roman" w:cs="Times New Roman"/>
          <w:sz w:val="24"/>
          <w:szCs w:val="24"/>
        </w:rPr>
        <w:t>Pengelolaan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bibit</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lele</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ini</w:t>
      </w:r>
      <w:proofErr w:type="spellEnd"/>
      <w:r w:rsidR="00A638A7" w:rsidRPr="007720BC">
        <w:rPr>
          <w:rFonts w:ascii="Times New Roman" w:hAnsi="Times New Roman" w:cs="Times New Roman"/>
          <w:sz w:val="24"/>
          <w:szCs w:val="24"/>
        </w:rPr>
        <w:t xml:space="preserve"> </w:t>
      </w:r>
      <w:proofErr w:type="spellStart"/>
      <w:r w:rsidR="00F43B25" w:rsidRPr="007720BC">
        <w:rPr>
          <w:rFonts w:ascii="Times New Roman" w:hAnsi="Times New Roman" w:cs="Times New Roman"/>
          <w:sz w:val="24"/>
          <w:szCs w:val="24"/>
        </w:rPr>
        <w:t>dikelola</w:t>
      </w:r>
      <w:proofErr w:type="spellEnd"/>
      <w:r w:rsidR="00F43B25" w:rsidRPr="007720BC">
        <w:rPr>
          <w:rFonts w:ascii="Times New Roman" w:hAnsi="Times New Roman" w:cs="Times New Roman"/>
          <w:sz w:val="24"/>
          <w:szCs w:val="24"/>
        </w:rPr>
        <w:t xml:space="preserve"> </w:t>
      </w:r>
      <w:proofErr w:type="spellStart"/>
      <w:r w:rsidR="00F43B25" w:rsidRPr="007720BC">
        <w:rPr>
          <w:rFonts w:ascii="Times New Roman" w:hAnsi="Times New Roman" w:cs="Times New Roman"/>
          <w:sz w:val="24"/>
          <w:szCs w:val="24"/>
        </w:rPr>
        <w:t>langsung</w:t>
      </w:r>
      <w:proofErr w:type="spellEnd"/>
      <w:r w:rsidR="00F43B25" w:rsidRPr="007720BC">
        <w:rPr>
          <w:rFonts w:ascii="Times New Roman" w:hAnsi="Times New Roman" w:cs="Times New Roman"/>
          <w:sz w:val="24"/>
          <w:szCs w:val="24"/>
        </w:rPr>
        <w:t xml:space="preserve"> oleh</w:t>
      </w:r>
      <w:r w:rsidR="00A638A7" w:rsidRPr="007720BC">
        <w:rPr>
          <w:rFonts w:ascii="Times New Roman" w:hAnsi="Times New Roman" w:cs="Times New Roman"/>
          <w:sz w:val="24"/>
          <w:szCs w:val="24"/>
        </w:rPr>
        <w:t xml:space="preserve"> </w:t>
      </w:r>
      <w:proofErr w:type="spellStart"/>
      <w:r w:rsidR="00B81D8A" w:rsidRPr="007720BC">
        <w:rPr>
          <w:rFonts w:ascii="Times New Roman" w:hAnsi="Times New Roman" w:cs="Times New Roman"/>
          <w:sz w:val="24"/>
          <w:szCs w:val="24"/>
        </w:rPr>
        <w:t>seksi</w:t>
      </w:r>
      <w:proofErr w:type="spellEnd"/>
      <w:r w:rsidR="00B81D8A"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Pembinaan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Lingkungan</w:t>
      </w:r>
      <w:proofErr w:type="spellEnd"/>
      <w:r w:rsidR="00A638A7" w:rsidRPr="007720BC">
        <w:rPr>
          <w:rFonts w:ascii="Times New Roman" w:hAnsi="Times New Roman" w:cs="Times New Roman"/>
          <w:sz w:val="24"/>
          <w:szCs w:val="24"/>
        </w:rPr>
        <w:t xml:space="preserve"> dan Ekonomi Desa </w:t>
      </w:r>
      <w:proofErr w:type="spellStart"/>
      <w:r w:rsidR="00A638A7" w:rsidRPr="007720BC">
        <w:rPr>
          <w:rFonts w:ascii="Times New Roman" w:hAnsi="Times New Roman" w:cs="Times New Roman"/>
          <w:sz w:val="24"/>
          <w:szCs w:val="24"/>
        </w:rPr>
        <w:t>Mongpok</w:t>
      </w:r>
      <w:proofErr w:type="spellEnd"/>
      <w:r w:rsidR="00A638A7" w:rsidRPr="007720BC">
        <w:rPr>
          <w:rFonts w:ascii="Times New Roman" w:hAnsi="Times New Roman" w:cs="Times New Roman"/>
          <w:sz w:val="24"/>
          <w:szCs w:val="24"/>
        </w:rPr>
        <w:t xml:space="preserve"> yang </w:t>
      </w:r>
      <w:proofErr w:type="spellStart"/>
      <w:r w:rsidR="00A638A7" w:rsidRPr="007720BC">
        <w:rPr>
          <w:rFonts w:ascii="Times New Roman" w:hAnsi="Times New Roman" w:cs="Times New Roman"/>
          <w:sz w:val="24"/>
          <w:szCs w:val="24"/>
        </w:rPr>
        <w:t>akan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diberikan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kepada</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keluarga</w:t>
      </w:r>
      <w:proofErr w:type="spellEnd"/>
      <w:r w:rsidR="00A638A7" w:rsidRPr="007720BC">
        <w:rPr>
          <w:rFonts w:ascii="Times New Roman" w:hAnsi="Times New Roman" w:cs="Times New Roman"/>
          <w:sz w:val="24"/>
          <w:szCs w:val="24"/>
        </w:rPr>
        <w:t xml:space="preserve"> yang </w:t>
      </w:r>
      <w:proofErr w:type="spellStart"/>
      <w:r w:rsidR="00A638A7" w:rsidRPr="007720BC">
        <w:rPr>
          <w:rFonts w:ascii="Times New Roman" w:hAnsi="Times New Roman" w:cs="Times New Roman"/>
          <w:sz w:val="24"/>
          <w:szCs w:val="24"/>
        </w:rPr>
        <w:t>berpotensi</w:t>
      </w:r>
      <w:proofErr w:type="spellEnd"/>
      <w:r w:rsidR="00A638A7" w:rsidRPr="007720BC">
        <w:rPr>
          <w:rFonts w:ascii="Times New Roman" w:hAnsi="Times New Roman" w:cs="Times New Roman"/>
          <w:sz w:val="24"/>
          <w:szCs w:val="24"/>
        </w:rPr>
        <w:t xml:space="preserve"> stunting </w:t>
      </w:r>
      <w:proofErr w:type="spellStart"/>
      <w:r w:rsidR="00A638A7" w:rsidRPr="007720BC">
        <w:rPr>
          <w:rFonts w:ascii="Times New Roman" w:hAnsi="Times New Roman" w:cs="Times New Roman"/>
          <w:sz w:val="24"/>
          <w:szCs w:val="24"/>
        </w:rPr>
        <w:t>sehingga</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memberi</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dampak</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positif</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terhadap</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penurunan</w:t>
      </w:r>
      <w:proofErr w:type="spellEnd"/>
      <w:r w:rsidR="00A638A7" w:rsidRPr="007720BC">
        <w:rPr>
          <w:rFonts w:ascii="Times New Roman" w:hAnsi="Times New Roman" w:cs="Times New Roman"/>
          <w:sz w:val="24"/>
          <w:szCs w:val="24"/>
        </w:rPr>
        <w:t xml:space="preserve"> stunting.</w:t>
      </w:r>
    </w:p>
    <w:p w14:paraId="46846173" w14:textId="70F9CF03" w:rsidR="008761BB" w:rsidRPr="007720BC" w:rsidRDefault="009836F6" w:rsidP="008761BB">
      <w:pPr>
        <w:shd w:val="clear" w:color="auto" w:fill="FFFFFF"/>
        <w:spacing w:after="0" w:line="240" w:lineRule="auto"/>
        <w:ind w:firstLine="567"/>
        <w:contextualSpacing/>
        <w:jc w:val="both"/>
        <w:textAlignment w:val="baseline"/>
        <w:rPr>
          <w:rFonts w:ascii="Times New Roman" w:hAnsi="Times New Roman" w:cs="Times New Roman"/>
          <w:sz w:val="24"/>
          <w:szCs w:val="24"/>
        </w:rPr>
      </w:pPr>
      <w:proofErr w:type="spellStart"/>
      <w:r w:rsidRPr="007720BC">
        <w:rPr>
          <w:rFonts w:ascii="Times New Roman" w:hAnsi="Times New Roman" w:cs="Times New Roman"/>
          <w:sz w:val="24"/>
          <w:szCs w:val="24"/>
          <w:lang w:val="en-US"/>
        </w:rPr>
        <w:t>Kolaborasi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antara</w:t>
      </w:r>
      <w:proofErr w:type="spellEnd"/>
      <w:r w:rsidRPr="007720BC">
        <w:rPr>
          <w:rFonts w:ascii="Times New Roman" w:hAnsi="Times New Roman" w:cs="Times New Roman"/>
          <w:sz w:val="24"/>
          <w:szCs w:val="24"/>
          <w:lang w:val="en-US"/>
        </w:rPr>
        <w:t xml:space="preserve"> Kampung KB Desa </w:t>
      </w:r>
      <w:proofErr w:type="spellStart"/>
      <w:r w:rsidRPr="007720BC">
        <w:rPr>
          <w:rFonts w:ascii="Times New Roman" w:hAnsi="Times New Roman" w:cs="Times New Roman"/>
          <w:sz w:val="24"/>
          <w:szCs w:val="24"/>
          <w:lang w:val="en-US"/>
        </w:rPr>
        <w:t>Mongpok</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dengan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berbagai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pihak</w:t>
      </w:r>
      <w:proofErr w:type="spellEnd"/>
      <w:r w:rsidR="001708FE" w:rsidRPr="007720BC">
        <w:rPr>
          <w:rFonts w:ascii="Times New Roman" w:hAnsi="Times New Roman" w:cs="Times New Roman"/>
          <w:sz w:val="24"/>
          <w:szCs w:val="24"/>
          <w:lang w:val="en-US"/>
        </w:rPr>
        <w:t xml:space="preserve"> </w:t>
      </w:r>
      <w:proofErr w:type="spellStart"/>
      <w:r w:rsidR="001708FE" w:rsidRPr="007720BC">
        <w:rPr>
          <w:rFonts w:ascii="Times New Roman" w:hAnsi="Times New Roman" w:cs="Times New Roman"/>
          <w:sz w:val="24"/>
          <w:szCs w:val="24"/>
          <w:lang w:val="en-US"/>
        </w:rPr>
        <w:t>dalam</w:t>
      </w:r>
      <w:proofErr w:type="spellEnd"/>
      <w:r w:rsidR="001708FE" w:rsidRPr="007720BC">
        <w:rPr>
          <w:rFonts w:ascii="Times New Roman" w:hAnsi="Times New Roman" w:cs="Times New Roman"/>
          <w:sz w:val="24"/>
          <w:szCs w:val="24"/>
          <w:lang w:val="en-US"/>
        </w:rPr>
        <w:t xml:space="preserve"> </w:t>
      </w:r>
      <w:proofErr w:type="spellStart"/>
      <w:r w:rsidR="00D431E6" w:rsidRPr="007720BC">
        <w:rPr>
          <w:rFonts w:ascii="Times New Roman" w:hAnsi="Times New Roman" w:cs="Times New Roman"/>
          <w:sz w:val="24"/>
          <w:szCs w:val="24"/>
          <w:lang w:val="en-US"/>
        </w:rPr>
        <w:t>percepatan</w:t>
      </w:r>
      <w:proofErr w:type="spellEnd"/>
      <w:r w:rsidR="00D431E6" w:rsidRPr="007720BC">
        <w:rPr>
          <w:rFonts w:ascii="Times New Roman" w:hAnsi="Times New Roman" w:cs="Times New Roman"/>
          <w:sz w:val="24"/>
          <w:szCs w:val="24"/>
          <w:lang w:val="en-US"/>
        </w:rPr>
        <w:t xml:space="preserve"> </w:t>
      </w:r>
      <w:proofErr w:type="spellStart"/>
      <w:r w:rsidR="00D431E6" w:rsidRPr="007720BC">
        <w:rPr>
          <w:rFonts w:ascii="Times New Roman" w:hAnsi="Times New Roman" w:cs="Times New Roman"/>
          <w:sz w:val="24"/>
          <w:szCs w:val="24"/>
          <w:lang w:val="en-US"/>
        </w:rPr>
        <w:t>penurunan</w:t>
      </w:r>
      <w:proofErr w:type="spellEnd"/>
      <w:r w:rsidR="001708FE" w:rsidRPr="007720BC">
        <w:rPr>
          <w:rFonts w:ascii="Times New Roman" w:hAnsi="Times New Roman" w:cs="Times New Roman"/>
          <w:sz w:val="24"/>
          <w:szCs w:val="24"/>
          <w:lang w:val="en-US"/>
        </w:rPr>
        <w:t xml:space="preserve"> stunting</w:t>
      </w:r>
      <w:r w:rsidR="007E71DF" w:rsidRPr="007720BC">
        <w:rPr>
          <w:rFonts w:ascii="Times New Roman" w:hAnsi="Times New Roman" w:cs="Times New Roman"/>
          <w:sz w:val="24"/>
          <w:szCs w:val="24"/>
          <w:lang w:val="en-US"/>
        </w:rPr>
        <w:t xml:space="preserve"> </w:t>
      </w:r>
      <w:proofErr w:type="spellStart"/>
      <w:r w:rsidR="007E71DF" w:rsidRPr="007720BC">
        <w:rPr>
          <w:rFonts w:ascii="Times New Roman" w:hAnsi="Times New Roman" w:cs="Times New Roman"/>
          <w:sz w:val="24"/>
          <w:szCs w:val="24"/>
          <w:lang w:val="en-US"/>
        </w:rPr>
        <w:t>diantaranya</w:t>
      </w:r>
      <w:proofErr w:type="spellEnd"/>
      <w:r w:rsidR="007E71DF" w:rsidRPr="007720BC">
        <w:rPr>
          <w:rFonts w:ascii="Times New Roman" w:hAnsi="Times New Roman" w:cs="Times New Roman"/>
          <w:sz w:val="24"/>
          <w:szCs w:val="24"/>
          <w:lang w:val="en-US"/>
        </w:rPr>
        <w:t xml:space="preserve"> </w:t>
      </w:r>
      <w:proofErr w:type="spellStart"/>
      <w:r w:rsidR="007E71DF" w:rsidRPr="007720BC">
        <w:rPr>
          <w:rFonts w:ascii="Times New Roman" w:hAnsi="Times New Roman" w:cs="Times New Roman"/>
          <w:sz w:val="24"/>
          <w:szCs w:val="24"/>
          <w:lang w:val="en-US"/>
        </w:rPr>
        <w:t>dengan</w:t>
      </w:r>
      <w:proofErr w:type="spellEnd"/>
      <w:r w:rsidR="007E71DF" w:rsidRPr="007720BC">
        <w:rPr>
          <w:rFonts w:ascii="Times New Roman" w:hAnsi="Times New Roman" w:cs="Times New Roman"/>
          <w:sz w:val="24"/>
          <w:szCs w:val="24"/>
          <w:lang w:val="en-US"/>
        </w:rPr>
        <w:t xml:space="preserve"> </w:t>
      </w:r>
      <w:proofErr w:type="spellStart"/>
      <w:r w:rsidR="007E71DF" w:rsidRPr="007720BC">
        <w:rPr>
          <w:rFonts w:ascii="Times New Roman" w:hAnsi="Times New Roman" w:cs="Times New Roman"/>
          <w:sz w:val="24"/>
          <w:szCs w:val="24"/>
          <w:lang w:val="en-US"/>
        </w:rPr>
        <w:t>Organisasi</w:t>
      </w:r>
      <w:proofErr w:type="spellEnd"/>
      <w:r w:rsidR="007E71DF" w:rsidRPr="007720BC">
        <w:rPr>
          <w:rFonts w:ascii="Times New Roman" w:hAnsi="Times New Roman" w:cs="Times New Roman"/>
          <w:sz w:val="24"/>
          <w:szCs w:val="24"/>
          <w:lang w:val="en-US"/>
        </w:rPr>
        <w:t xml:space="preserve"> </w:t>
      </w:r>
      <w:proofErr w:type="spellStart"/>
      <w:r w:rsidR="007E71DF" w:rsidRPr="007720BC">
        <w:rPr>
          <w:rFonts w:ascii="Times New Roman" w:hAnsi="Times New Roman" w:cs="Times New Roman"/>
          <w:sz w:val="24"/>
          <w:szCs w:val="24"/>
          <w:lang w:val="en-US"/>
        </w:rPr>
        <w:t>Pemerintah</w:t>
      </w:r>
      <w:proofErr w:type="spellEnd"/>
      <w:r w:rsidR="007E71DF" w:rsidRPr="007720BC">
        <w:rPr>
          <w:rFonts w:ascii="Times New Roman" w:hAnsi="Times New Roman" w:cs="Times New Roman"/>
          <w:sz w:val="24"/>
          <w:szCs w:val="24"/>
          <w:lang w:val="en-US"/>
        </w:rPr>
        <w:t xml:space="preserve"> Daerah </w:t>
      </w:r>
      <w:r w:rsidR="00D431E6" w:rsidRPr="007720BC">
        <w:rPr>
          <w:rFonts w:ascii="Times New Roman" w:hAnsi="Times New Roman" w:cs="Times New Roman"/>
          <w:sz w:val="24"/>
          <w:szCs w:val="24"/>
          <w:lang w:val="en-US"/>
        </w:rPr>
        <w:t xml:space="preserve">(OPD) </w:t>
      </w:r>
      <w:proofErr w:type="spellStart"/>
      <w:r w:rsidR="007E71DF" w:rsidRPr="007720BC">
        <w:rPr>
          <w:rFonts w:ascii="Times New Roman" w:hAnsi="Times New Roman" w:cs="Times New Roman"/>
          <w:sz w:val="24"/>
          <w:szCs w:val="24"/>
          <w:lang w:val="en-US"/>
        </w:rPr>
        <w:t>Kabupaten</w:t>
      </w:r>
      <w:proofErr w:type="spellEnd"/>
      <w:r w:rsidR="007E71DF" w:rsidRPr="007720BC">
        <w:rPr>
          <w:rFonts w:ascii="Times New Roman" w:hAnsi="Times New Roman" w:cs="Times New Roman"/>
          <w:sz w:val="24"/>
          <w:szCs w:val="24"/>
          <w:lang w:val="en-US"/>
        </w:rPr>
        <w:t xml:space="preserve"> </w:t>
      </w:r>
      <w:proofErr w:type="spellStart"/>
      <w:r w:rsidR="007E71DF" w:rsidRPr="007720BC">
        <w:rPr>
          <w:rFonts w:ascii="Times New Roman" w:hAnsi="Times New Roman" w:cs="Times New Roman"/>
          <w:sz w:val="24"/>
          <w:szCs w:val="24"/>
          <w:lang w:val="en-US"/>
        </w:rPr>
        <w:t>Serang</w:t>
      </w:r>
      <w:proofErr w:type="spellEnd"/>
      <w:r w:rsidR="007E71DF" w:rsidRPr="007720BC">
        <w:rPr>
          <w:rFonts w:ascii="Times New Roman" w:hAnsi="Times New Roman" w:cs="Times New Roman"/>
          <w:sz w:val="24"/>
          <w:szCs w:val="24"/>
          <w:lang w:val="en-US"/>
        </w:rPr>
        <w:t xml:space="preserve"> </w:t>
      </w:r>
      <w:proofErr w:type="spellStart"/>
      <w:r w:rsidR="00D431E6" w:rsidRPr="007720BC">
        <w:rPr>
          <w:rFonts w:ascii="Times New Roman" w:hAnsi="Times New Roman" w:cs="Times New Roman"/>
          <w:sz w:val="24"/>
          <w:szCs w:val="24"/>
          <w:lang w:val="en-US"/>
        </w:rPr>
        <w:t>diantaranya</w:t>
      </w:r>
      <w:proofErr w:type="spellEnd"/>
      <w:r w:rsidR="007E71DF" w:rsidRPr="007720BC">
        <w:rPr>
          <w:rFonts w:ascii="Times New Roman" w:hAnsi="Times New Roman" w:cs="Times New Roman"/>
          <w:sz w:val="24"/>
          <w:szCs w:val="24"/>
          <w:lang w:val="en-US"/>
        </w:rPr>
        <w:t xml:space="preserve"> Dinas Kesehatan</w:t>
      </w:r>
      <w:r w:rsidR="00D431E6" w:rsidRPr="007720BC">
        <w:rPr>
          <w:rFonts w:ascii="Times New Roman" w:hAnsi="Times New Roman" w:cs="Times New Roman"/>
          <w:sz w:val="24"/>
          <w:szCs w:val="24"/>
          <w:lang w:val="en-US"/>
        </w:rPr>
        <w:t xml:space="preserve"> yang </w:t>
      </w:r>
      <w:proofErr w:type="spellStart"/>
      <w:r w:rsidR="00D431E6" w:rsidRPr="007720BC">
        <w:rPr>
          <w:rFonts w:ascii="Times New Roman" w:hAnsi="Times New Roman" w:cs="Times New Roman"/>
          <w:sz w:val="24"/>
          <w:szCs w:val="24"/>
          <w:lang w:val="en-US"/>
        </w:rPr>
        <w:t>telah</w:t>
      </w:r>
      <w:proofErr w:type="spellEnd"/>
      <w:r w:rsidR="007E71DF" w:rsidRPr="007720BC">
        <w:rPr>
          <w:rFonts w:ascii="Times New Roman" w:hAnsi="Times New Roman" w:cs="Times New Roman"/>
          <w:sz w:val="24"/>
          <w:szCs w:val="24"/>
          <w:lang w:val="en-US"/>
        </w:rPr>
        <w:t xml:space="preserve"> </w:t>
      </w:r>
      <w:proofErr w:type="spellStart"/>
      <w:r w:rsidR="007E71DF" w:rsidRPr="007720BC">
        <w:rPr>
          <w:rFonts w:ascii="Times New Roman" w:hAnsi="Times New Roman" w:cs="Times New Roman"/>
          <w:sz w:val="24"/>
          <w:szCs w:val="24"/>
          <w:lang w:val="en-US"/>
        </w:rPr>
        <w:t>memberikan</w:t>
      </w:r>
      <w:proofErr w:type="spellEnd"/>
      <w:r w:rsidR="007E71DF" w:rsidRPr="007720BC">
        <w:rPr>
          <w:rFonts w:ascii="Times New Roman" w:hAnsi="Times New Roman" w:cs="Times New Roman"/>
          <w:sz w:val="24"/>
          <w:szCs w:val="24"/>
          <w:lang w:val="en-US"/>
        </w:rPr>
        <w:t xml:space="preserve"> </w:t>
      </w:r>
      <w:proofErr w:type="spellStart"/>
      <w:r w:rsidR="00D431E6" w:rsidRPr="007720BC">
        <w:rPr>
          <w:rFonts w:ascii="Times New Roman" w:hAnsi="Times New Roman" w:cs="Times New Roman"/>
          <w:sz w:val="24"/>
          <w:szCs w:val="24"/>
          <w:lang w:val="en-US"/>
        </w:rPr>
        <w:t>kegiatan</w:t>
      </w:r>
      <w:proofErr w:type="spellEnd"/>
      <w:r w:rsidR="00D431E6" w:rsidRPr="007720BC">
        <w:rPr>
          <w:rFonts w:ascii="Times New Roman" w:hAnsi="Times New Roman" w:cs="Times New Roman"/>
          <w:sz w:val="24"/>
          <w:szCs w:val="24"/>
          <w:lang w:val="en-US"/>
        </w:rPr>
        <w:t xml:space="preserve"> </w:t>
      </w:r>
      <w:proofErr w:type="spellStart"/>
      <w:r w:rsidR="00D431E6" w:rsidRPr="007720BC">
        <w:rPr>
          <w:rFonts w:ascii="Times New Roman" w:hAnsi="Times New Roman" w:cs="Times New Roman"/>
          <w:sz w:val="24"/>
          <w:szCs w:val="24"/>
          <w:lang w:val="en-US"/>
        </w:rPr>
        <w:t>sosialisasi</w:t>
      </w:r>
      <w:proofErr w:type="spellEnd"/>
      <w:r w:rsidR="00D431E6" w:rsidRPr="007720BC">
        <w:rPr>
          <w:rFonts w:ascii="Times New Roman" w:hAnsi="Times New Roman" w:cs="Times New Roman"/>
          <w:sz w:val="24"/>
          <w:szCs w:val="24"/>
          <w:lang w:val="en-US"/>
        </w:rPr>
        <w:t xml:space="preserve"> dan p</w:t>
      </w:r>
      <w:proofErr w:type="spellStart"/>
      <w:r w:rsidR="007E71DF" w:rsidRPr="007720BC">
        <w:rPr>
          <w:rFonts w:ascii="Times New Roman" w:hAnsi="Times New Roman" w:cs="Times New Roman"/>
          <w:sz w:val="24"/>
          <w:szCs w:val="24"/>
        </w:rPr>
        <w:t>enyuluhan</w:t>
      </w:r>
      <w:proofErr w:type="spellEnd"/>
      <w:r w:rsidR="007E71DF" w:rsidRPr="007720BC">
        <w:rPr>
          <w:rFonts w:ascii="Times New Roman" w:hAnsi="Times New Roman" w:cs="Times New Roman"/>
          <w:sz w:val="24"/>
          <w:szCs w:val="24"/>
        </w:rPr>
        <w:t xml:space="preserve"> PHBS dan </w:t>
      </w:r>
      <w:proofErr w:type="spellStart"/>
      <w:r w:rsidR="00D431E6" w:rsidRPr="007720BC">
        <w:rPr>
          <w:rFonts w:ascii="Times New Roman" w:hAnsi="Times New Roman" w:cs="Times New Roman"/>
          <w:sz w:val="24"/>
          <w:szCs w:val="24"/>
        </w:rPr>
        <w:t>b</w:t>
      </w:r>
      <w:r w:rsidR="007E71DF" w:rsidRPr="007720BC">
        <w:rPr>
          <w:rFonts w:ascii="Times New Roman" w:hAnsi="Times New Roman" w:cs="Times New Roman"/>
          <w:sz w:val="24"/>
          <w:szCs w:val="24"/>
        </w:rPr>
        <w:t>antuan</w:t>
      </w:r>
      <w:proofErr w:type="spellEnd"/>
      <w:r w:rsidR="007E71DF" w:rsidRPr="007720BC">
        <w:rPr>
          <w:rFonts w:ascii="Times New Roman" w:hAnsi="Times New Roman" w:cs="Times New Roman"/>
          <w:sz w:val="24"/>
          <w:szCs w:val="24"/>
        </w:rPr>
        <w:t xml:space="preserve"> </w:t>
      </w:r>
      <w:proofErr w:type="spellStart"/>
      <w:r w:rsidR="007E71DF" w:rsidRPr="007720BC">
        <w:rPr>
          <w:rFonts w:ascii="Times New Roman" w:hAnsi="Times New Roman" w:cs="Times New Roman"/>
          <w:sz w:val="24"/>
          <w:szCs w:val="24"/>
        </w:rPr>
        <w:t>pembangunan</w:t>
      </w:r>
      <w:proofErr w:type="spellEnd"/>
      <w:r w:rsidR="007E71DF" w:rsidRPr="007720BC">
        <w:rPr>
          <w:rFonts w:ascii="Times New Roman" w:hAnsi="Times New Roman" w:cs="Times New Roman"/>
          <w:sz w:val="24"/>
          <w:szCs w:val="24"/>
        </w:rPr>
        <w:t xml:space="preserve"> </w:t>
      </w:r>
      <w:proofErr w:type="spellStart"/>
      <w:r w:rsidR="007E71DF" w:rsidRPr="007720BC">
        <w:rPr>
          <w:rFonts w:ascii="Times New Roman" w:hAnsi="Times New Roman" w:cs="Times New Roman"/>
          <w:sz w:val="24"/>
          <w:szCs w:val="24"/>
        </w:rPr>
        <w:t>Jamban</w:t>
      </w:r>
      <w:proofErr w:type="spellEnd"/>
      <w:r w:rsidR="007E71DF" w:rsidRPr="007720BC">
        <w:rPr>
          <w:rFonts w:ascii="Times New Roman" w:hAnsi="Times New Roman" w:cs="Times New Roman"/>
          <w:sz w:val="24"/>
          <w:szCs w:val="24"/>
        </w:rPr>
        <w:t xml:space="preserve"> Sehat </w:t>
      </w:r>
      <w:proofErr w:type="spellStart"/>
      <w:r w:rsidR="007E71DF" w:rsidRPr="007720BC">
        <w:rPr>
          <w:rFonts w:ascii="Times New Roman" w:hAnsi="Times New Roman" w:cs="Times New Roman"/>
          <w:sz w:val="24"/>
          <w:szCs w:val="24"/>
        </w:rPr>
        <w:t>untuk</w:t>
      </w:r>
      <w:proofErr w:type="spellEnd"/>
      <w:r w:rsidR="007E71DF" w:rsidRPr="007720BC">
        <w:rPr>
          <w:rFonts w:ascii="Times New Roman" w:hAnsi="Times New Roman" w:cs="Times New Roman"/>
          <w:sz w:val="24"/>
          <w:szCs w:val="24"/>
        </w:rPr>
        <w:t xml:space="preserve"> </w:t>
      </w:r>
      <w:proofErr w:type="spellStart"/>
      <w:r w:rsidR="007E71DF" w:rsidRPr="007720BC">
        <w:rPr>
          <w:rFonts w:ascii="Times New Roman" w:hAnsi="Times New Roman" w:cs="Times New Roman"/>
          <w:sz w:val="24"/>
          <w:szCs w:val="24"/>
        </w:rPr>
        <w:t>keluarga</w:t>
      </w:r>
      <w:proofErr w:type="spellEnd"/>
      <w:r w:rsidR="007E71DF" w:rsidRPr="007720BC">
        <w:rPr>
          <w:rFonts w:ascii="Times New Roman" w:hAnsi="Times New Roman" w:cs="Times New Roman"/>
          <w:sz w:val="24"/>
          <w:szCs w:val="24"/>
        </w:rPr>
        <w:t xml:space="preserve"> </w:t>
      </w:r>
      <w:proofErr w:type="spellStart"/>
      <w:r w:rsidR="007E71DF" w:rsidRPr="007720BC">
        <w:rPr>
          <w:rFonts w:ascii="Times New Roman" w:hAnsi="Times New Roman" w:cs="Times New Roman"/>
          <w:sz w:val="24"/>
          <w:szCs w:val="24"/>
        </w:rPr>
        <w:t>beresiko</w:t>
      </w:r>
      <w:proofErr w:type="spellEnd"/>
      <w:r w:rsidR="007E71DF" w:rsidRPr="007720BC">
        <w:rPr>
          <w:rFonts w:ascii="Times New Roman" w:hAnsi="Times New Roman" w:cs="Times New Roman"/>
          <w:sz w:val="24"/>
          <w:szCs w:val="24"/>
        </w:rPr>
        <w:t xml:space="preserve"> stunting;</w:t>
      </w:r>
      <w:r w:rsidRPr="007720BC">
        <w:rPr>
          <w:rFonts w:ascii="Times New Roman" w:hAnsi="Times New Roman" w:cs="Times New Roman"/>
          <w:sz w:val="24"/>
          <w:szCs w:val="24"/>
        </w:rPr>
        <w:t xml:space="preserve"> </w:t>
      </w:r>
      <w:r w:rsidR="007E71DF" w:rsidRPr="007720BC">
        <w:rPr>
          <w:rFonts w:ascii="Times New Roman" w:hAnsi="Times New Roman" w:cs="Times New Roman"/>
          <w:sz w:val="24"/>
          <w:szCs w:val="24"/>
        </w:rPr>
        <w:t xml:space="preserve">Dinas </w:t>
      </w:r>
      <w:proofErr w:type="spellStart"/>
      <w:r w:rsidR="007E71DF" w:rsidRPr="007720BC">
        <w:rPr>
          <w:rFonts w:ascii="Times New Roman" w:hAnsi="Times New Roman" w:cs="Times New Roman"/>
          <w:sz w:val="24"/>
          <w:szCs w:val="24"/>
        </w:rPr>
        <w:t>Pemberdayaan</w:t>
      </w:r>
      <w:proofErr w:type="spellEnd"/>
      <w:r w:rsidR="007E71DF" w:rsidRPr="007720BC">
        <w:rPr>
          <w:rFonts w:ascii="Times New Roman" w:hAnsi="Times New Roman" w:cs="Times New Roman"/>
          <w:sz w:val="24"/>
          <w:szCs w:val="24"/>
        </w:rPr>
        <w:t xml:space="preserve"> Perempuan dan </w:t>
      </w:r>
      <w:proofErr w:type="spellStart"/>
      <w:r w:rsidR="007E71DF" w:rsidRPr="007720BC">
        <w:rPr>
          <w:rFonts w:ascii="Times New Roman" w:hAnsi="Times New Roman" w:cs="Times New Roman"/>
          <w:sz w:val="24"/>
          <w:szCs w:val="24"/>
        </w:rPr>
        <w:t>Perlindungan</w:t>
      </w:r>
      <w:proofErr w:type="spellEnd"/>
      <w:r w:rsidR="007E71DF" w:rsidRPr="007720BC">
        <w:rPr>
          <w:rFonts w:ascii="Times New Roman" w:hAnsi="Times New Roman" w:cs="Times New Roman"/>
          <w:sz w:val="24"/>
          <w:szCs w:val="24"/>
        </w:rPr>
        <w:t xml:space="preserve"> Anak </w:t>
      </w:r>
      <w:proofErr w:type="spellStart"/>
      <w:r w:rsidR="007E71DF" w:rsidRPr="007720BC">
        <w:rPr>
          <w:rFonts w:ascii="Times New Roman" w:hAnsi="Times New Roman" w:cs="Times New Roman"/>
          <w:sz w:val="24"/>
          <w:szCs w:val="24"/>
        </w:rPr>
        <w:t>Kabupaten</w:t>
      </w:r>
      <w:proofErr w:type="spellEnd"/>
      <w:r w:rsidR="007E71DF" w:rsidRPr="007720BC">
        <w:rPr>
          <w:rFonts w:ascii="Times New Roman" w:hAnsi="Times New Roman" w:cs="Times New Roman"/>
          <w:sz w:val="24"/>
          <w:szCs w:val="24"/>
        </w:rPr>
        <w:t xml:space="preserve"> </w:t>
      </w:r>
      <w:proofErr w:type="spellStart"/>
      <w:r w:rsidR="007E71DF" w:rsidRPr="007720BC">
        <w:rPr>
          <w:rFonts w:ascii="Times New Roman" w:hAnsi="Times New Roman" w:cs="Times New Roman"/>
          <w:sz w:val="24"/>
          <w:szCs w:val="24"/>
        </w:rPr>
        <w:t>Serang</w:t>
      </w:r>
      <w:proofErr w:type="spellEnd"/>
      <w:r w:rsidR="007E71DF"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dalam</w:t>
      </w:r>
      <w:proofErr w:type="spellEnd"/>
      <w:r w:rsidRPr="007720BC">
        <w:rPr>
          <w:rFonts w:ascii="Times New Roman" w:hAnsi="Times New Roman" w:cs="Times New Roman"/>
          <w:sz w:val="24"/>
          <w:szCs w:val="24"/>
        </w:rPr>
        <w:t xml:space="preserve"> </w:t>
      </w:r>
      <w:proofErr w:type="spellStart"/>
      <w:r w:rsidR="007E71DF" w:rsidRPr="007720BC">
        <w:rPr>
          <w:rFonts w:ascii="Times New Roman" w:hAnsi="Times New Roman" w:cs="Times New Roman"/>
          <w:sz w:val="24"/>
          <w:szCs w:val="24"/>
        </w:rPr>
        <w:lastRenderedPageBreak/>
        <w:t>melakukan</w:t>
      </w:r>
      <w:proofErr w:type="spellEnd"/>
      <w:r w:rsidR="007E71DF" w:rsidRPr="007720BC">
        <w:rPr>
          <w:rFonts w:ascii="Times New Roman" w:hAnsi="Times New Roman" w:cs="Times New Roman"/>
          <w:sz w:val="24"/>
          <w:szCs w:val="24"/>
        </w:rPr>
        <w:t xml:space="preserve"> </w:t>
      </w:r>
      <w:proofErr w:type="spellStart"/>
      <w:r w:rsidR="007E71DF" w:rsidRPr="007720BC">
        <w:rPr>
          <w:rFonts w:ascii="Times New Roman" w:hAnsi="Times New Roman" w:cs="Times New Roman"/>
          <w:sz w:val="24"/>
          <w:szCs w:val="24"/>
        </w:rPr>
        <w:t>penyuluhan</w:t>
      </w:r>
      <w:proofErr w:type="spellEnd"/>
      <w:r w:rsidR="007E71DF" w:rsidRPr="007720BC">
        <w:rPr>
          <w:rFonts w:ascii="Times New Roman" w:hAnsi="Times New Roman" w:cs="Times New Roman"/>
          <w:sz w:val="24"/>
          <w:szCs w:val="24"/>
        </w:rPr>
        <w:t xml:space="preserve">, </w:t>
      </w:r>
      <w:proofErr w:type="spellStart"/>
      <w:r w:rsidR="007E71DF" w:rsidRPr="007720BC">
        <w:rPr>
          <w:rFonts w:ascii="Times New Roman" w:hAnsi="Times New Roman" w:cs="Times New Roman"/>
          <w:sz w:val="24"/>
          <w:szCs w:val="24"/>
        </w:rPr>
        <w:t>pembinaan</w:t>
      </w:r>
      <w:proofErr w:type="spellEnd"/>
      <w:r w:rsidR="007E71DF" w:rsidRPr="007720BC">
        <w:rPr>
          <w:rFonts w:ascii="Times New Roman" w:hAnsi="Times New Roman" w:cs="Times New Roman"/>
          <w:sz w:val="24"/>
          <w:szCs w:val="24"/>
        </w:rPr>
        <w:t xml:space="preserve"> dan </w:t>
      </w:r>
      <w:proofErr w:type="spellStart"/>
      <w:r w:rsidR="007E71DF" w:rsidRPr="007720BC">
        <w:rPr>
          <w:rFonts w:ascii="Times New Roman" w:hAnsi="Times New Roman" w:cs="Times New Roman"/>
          <w:sz w:val="24"/>
          <w:szCs w:val="24"/>
        </w:rPr>
        <w:t>pemberian</w:t>
      </w:r>
      <w:proofErr w:type="spellEnd"/>
      <w:r w:rsidR="007E71DF" w:rsidRPr="007720BC">
        <w:rPr>
          <w:rFonts w:ascii="Times New Roman" w:hAnsi="Times New Roman" w:cs="Times New Roman"/>
          <w:sz w:val="24"/>
          <w:szCs w:val="24"/>
        </w:rPr>
        <w:t xml:space="preserve"> </w:t>
      </w:r>
      <w:proofErr w:type="spellStart"/>
      <w:r w:rsidR="007E71DF" w:rsidRPr="007720BC">
        <w:rPr>
          <w:rFonts w:ascii="Times New Roman" w:hAnsi="Times New Roman" w:cs="Times New Roman"/>
          <w:sz w:val="24"/>
          <w:szCs w:val="24"/>
        </w:rPr>
        <w:t>sembako</w:t>
      </w:r>
      <w:proofErr w:type="spellEnd"/>
      <w:r w:rsidR="007E71DF" w:rsidRPr="007720BC">
        <w:rPr>
          <w:rFonts w:ascii="Times New Roman" w:hAnsi="Times New Roman" w:cs="Times New Roman"/>
          <w:sz w:val="24"/>
          <w:szCs w:val="24"/>
        </w:rPr>
        <w:t xml:space="preserve">; KUA </w:t>
      </w:r>
      <w:proofErr w:type="spellStart"/>
      <w:r w:rsidR="007E71DF" w:rsidRPr="007720BC">
        <w:rPr>
          <w:rFonts w:ascii="Times New Roman" w:hAnsi="Times New Roman" w:cs="Times New Roman"/>
          <w:sz w:val="24"/>
          <w:szCs w:val="24"/>
        </w:rPr>
        <w:t>Cikeusal</w:t>
      </w:r>
      <w:proofErr w:type="spellEnd"/>
      <w:r w:rsidR="007E71DF" w:rsidRPr="007720BC">
        <w:rPr>
          <w:rFonts w:ascii="Times New Roman" w:hAnsi="Times New Roman" w:cs="Times New Roman"/>
          <w:sz w:val="24"/>
          <w:szCs w:val="24"/>
        </w:rPr>
        <w:t xml:space="preserve"> </w:t>
      </w:r>
      <w:proofErr w:type="spellStart"/>
      <w:r w:rsidR="007E71DF" w:rsidRPr="007720BC">
        <w:rPr>
          <w:rFonts w:ascii="Times New Roman" w:hAnsi="Times New Roman" w:cs="Times New Roman"/>
          <w:sz w:val="24"/>
          <w:szCs w:val="24"/>
        </w:rPr>
        <w:t>dalam</w:t>
      </w:r>
      <w:proofErr w:type="spellEnd"/>
      <w:r w:rsidR="007E71DF"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memberikan</w:t>
      </w:r>
      <w:proofErr w:type="spellEnd"/>
      <w:r w:rsidRPr="007720BC">
        <w:rPr>
          <w:rFonts w:ascii="Times New Roman" w:hAnsi="Times New Roman" w:cs="Times New Roman"/>
          <w:sz w:val="24"/>
          <w:szCs w:val="24"/>
        </w:rPr>
        <w:t xml:space="preserve"> </w:t>
      </w:r>
      <w:proofErr w:type="spellStart"/>
      <w:r w:rsidR="007E71DF" w:rsidRPr="007720BC">
        <w:rPr>
          <w:rFonts w:ascii="Times New Roman" w:hAnsi="Times New Roman" w:cs="Times New Roman"/>
          <w:sz w:val="24"/>
          <w:szCs w:val="24"/>
        </w:rPr>
        <w:t>penyuluhan</w:t>
      </w:r>
      <w:proofErr w:type="spellEnd"/>
      <w:r w:rsidR="007E71DF" w:rsidRPr="007720BC">
        <w:rPr>
          <w:rFonts w:ascii="Times New Roman" w:hAnsi="Times New Roman" w:cs="Times New Roman"/>
          <w:sz w:val="24"/>
          <w:szCs w:val="24"/>
        </w:rPr>
        <w:t xml:space="preserve"> </w:t>
      </w:r>
      <w:proofErr w:type="spellStart"/>
      <w:r w:rsidR="007E71DF" w:rsidRPr="007720BC">
        <w:rPr>
          <w:rFonts w:ascii="Times New Roman" w:hAnsi="Times New Roman" w:cs="Times New Roman"/>
          <w:sz w:val="24"/>
          <w:szCs w:val="24"/>
        </w:rPr>
        <w:t>kepada</w:t>
      </w:r>
      <w:proofErr w:type="spellEnd"/>
      <w:r w:rsidR="007E71DF" w:rsidRPr="007720BC">
        <w:rPr>
          <w:rFonts w:ascii="Times New Roman" w:hAnsi="Times New Roman" w:cs="Times New Roman"/>
          <w:sz w:val="24"/>
          <w:szCs w:val="24"/>
        </w:rPr>
        <w:t xml:space="preserve"> </w:t>
      </w:r>
      <w:proofErr w:type="spellStart"/>
      <w:r w:rsidR="007E71DF" w:rsidRPr="007720BC">
        <w:rPr>
          <w:rFonts w:ascii="Times New Roman" w:hAnsi="Times New Roman" w:cs="Times New Roman"/>
          <w:sz w:val="24"/>
          <w:szCs w:val="24"/>
        </w:rPr>
        <w:t>catin</w:t>
      </w:r>
      <w:proofErr w:type="spellEnd"/>
      <w:r w:rsidR="007E71DF" w:rsidRPr="007720BC">
        <w:rPr>
          <w:rFonts w:ascii="Times New Roman" w:hAnsi="Times New Roman" w:cs="Times New Roman"/>
          <w:sz w:val="24"/>
          <w:szCs w:val="24"/>
        </w:rPr>
        <w:t xml:space="preserve"> (Calon </w:t>
      </w:r>
      <w:proofErr w:type="spellStart"/>
      <w:r w:rsidR="007E71DF" w:rsidRPr="007720BC">
        <w:rPr>
          <w:rFonts w:ascii="Times New Roman" w:hAnsi="Times New Roman" w:cs="Times New Roman"/>
          <w:sz w:val="24"/>
          <w:szCs w:val="24"/>
        </w:rPr>
        <w:t>Pe</w:t>
      </w:r>
      <w:r w:rsidR="000D7D4D" w:rsidRPr="007720BC">
        <w:rPr>
          <w:rFonts w:ascii="Times New Roman" w:hAnsi="Times New Roman" w:cs="Times New Roman"/>
          <w:sz w:val="24"/>
          <w:szCs w:val="24"/>
        </w:rPr>
        <w:t>n</w:t>
      </w:r>
      <w:r w:rsidR="007E71DF" w:rsidRPr="007720BC">
        <w:rPr>
          <w:rFonts w:ascii="Times New Roman" w:hAnsi="Times New Roman" w:cs="Times New Roman"/>
          <w:sz w:val="24"/>
          <w:szCs w:val="24"/>
        </w:rPr>
        <w:t>gantin</w:t>
      </w:r>
      <w:proofErr w:type="spellEnd"/>
      <w:r w:rsidR="007E71DF" w:rsidRPr="007720BC">
        <w:rPr>
          <w:rFonts w:ascii="Times New Roman" w:hAnsi="Times New Roman" w:cs="Times New Roman"/>
          <w:sz w:val="24"/>
          <w:szCs w:val="24"/>
        </w:rPr>
        <w:t xml:space="preserve">) dan </w:t>
      </w:r>
      <w:proofErr w:type="spellStart"/>
      <w:r w:rsidR="007E71DF" w:rsidRPr="007720BC">
        <w:rPr>
          <w:rFonts w:ascii="Times New Roman" w:hAnsi="Times New Roman" w:cs="Times New Roman"/>
          <w:sz w:val="24"/>
          <w:szCs w:val="24"/>
        </w:rPr>
        <w:t>remaja</w:t>
      </w:r>
      <w:proofErr w:type="spellEnd"/>
      <w:r w:rsidR="007E71DF" w:rsidRPr="007720BC">
        <w:rPr>
          <w:rFonts w:ascii="Times New Roman" w:hAnsi="Times New Roman" w:cs="Times New Roman"/>
          <w:sz w:val="24"/>
          <w:szCs w:val="24"/>
        </w:rPr>
        <w:t xml:space="preserve">; </w:t>
      </w:r>
      <w:r w:rsidRPr="007720BC">
        <w:rPr>
          <w:rFonts w:ascii="Times New Roman" w:hAnsi="Times New Roman" w:cs="Times New Roman"/>
          <w:sz w:val="24"/>
          <w:szCs w:val="24"/>
        </w:rPr>
        <w:t xml:space="preserve">dan </w:t>
      </w:r>
      <w:proofErr w:type="spellStart"/>
      <w:r w:rsidR="007E71DF" w:rsidRPr="007720BC">
        <w:rPr>
          <w:rFonts w:ascii="Times New Roman" w:hAnsi="Times New Roman" w:cs="Times New Roman"/>
          <w:sz w:val="24"/>
          <w:szCs w:val="24"/>
        </w:rPr>
        <w:t>Kecamatan</w:t>
      </w:r>
      <w:proofErr w:type="spellEnd"/>
      <w:r w:rsidR="007E71DF" w:rsidRPr="007720BC">
        <w:rPr>
          <w:rFonts w:ascii="Times New Roman" w:hAnsi="Times New Roman" w:cs="Times New Roman"/>
          <w:sz w:val="24"/>
          <w:szCs w:val="24"/>
        </w:rPr>
        <w:t xml:space="preserve"> </w:t>
      </w:r>
      <w:proofErr w:type="spellStart"/>
      <w:r w:rsidR="007E71DF" w:rsidRPr="007720BC">
        <w:rPr>
          <w:rFonts w:ascii="Times New Roman" w:hAnsi="Times New Roman" w:cs="Times New Roman"/>
          <w:sz w:val="24"/>
          <w:szCs w:val="24"/>
        </w:rPr>
        <w:t>Cikeusal</w:t>
      </w:r>
      <w:proofErr w:type="spellEnd"/>
      <w:r w:rsidR="007E71DF" w:rsidRPr="007720BC">
        <w:rPr>
          <w:rFonts w:ascii="Times New Roman" w:hAnsi="Times New Roman" w:cs="Times New Roman"/>
          <w:sz w:val="24"/>
          <w:szCs w:val="24"/>
        </w:rPr>
        <w:t xml:space="preserve"> (</w:t>
      </w:r>
      <w:proofErr w:type="spellStart"/>
      <w:r w:rsidR="007E71DF" w:rsidRPr="007720BC">
        <w:rPr>
          <w:rFonts w:ascii="Times New Roman" w:hAnsi="Times New Roman" w:cs="Times New Roman"/>
          <w:sz w:val="24"/>
          <w:szCs w:val="24"/>
        </w:rPr>
        <w:t>Sekretaris</w:t>
      </w:r>
      <w:proofErr w:type="spellEnd"/>
      <w:r w:rsidR="007E71DF" w:rsidRPr="007720BC">
        <w:rPr>
          <w:rFonts w:ascii="Times New Roman" w:hAnsi="Times New Roman" w:cs="Times New Roman"/>
          <w:sz w:val="24"/>
          <w:szCs w:val="24"/>
        </w:rPr>
        <w:t xml:space="preserve"> </w:t>
      </w:r>
      <w:proofErr w:type="spellStart"/>
      <w:r w:rsidR="007E71DF" w:rsidRPr="007720BC">
        <w:rPr>
          <w:rFonts w:ascii="Times New Roman" w:hAnsi="Times New Roman" w:cs="Times New Roman"/>
          <w:sz w:val="24"/>
          <w:szCs w:val="24"/>
        </w:rPr>
        <w:t>Kecamatan</w:t>
      </w:r>
      <w:proofErr w:type="spellEnd"/>
      <w:r w:rsidR="007E71DF" w:rsidRPr="007720BC">
        <w:rPr>
          <w:rFonts w:ascii="Times New Roman" w:hAnsi="Times New Roman" w:cs="Times New Roman"/>
          <w:sz w:val="24"/>
          <w:szCs w:val="24"/>
        </w:rPr>
        <w:t xml:space="preserve">) yang </w:t>
      </w:r>
      <w:proofErr w:type="spellStart"/>
      <w:r w:rsidR="007E71DF" w:rsidRPr="007720BC">
        <w:rPr>
          <w:rFonts w:ascii="Times New Roman" w:hAnsi="Times New Roman" w:cs="Times New Roman"/>
          <w:sz w:val="24"/>
          <w:szCs w:val="24"/>
        </w:rPr>
        <w:t>berperan</w:t>
      </w:r>
      <w:proofErr w:type="spellEnd"/>
      <w:r w:rsidR="007E71DF" w:rsidRPr="007720BC">
        <w:rPr>
          <w:rFonts w:ascii="Times New Roman" w:hAnsi="Times New Roman" w:cs="Times New Roman"/>
          <w:sz w:val="24"/>
          <w:szCs w:val="24"/>
        </w:rPr>
        <w:t xml:space="preserve"> </w:t>
      </w:r>
      <w:proofErr w:type="spellStart"/>
      <w:r w:rsidR="007E71DF" w:rsidRPr="007720BC">
        <w:rPr>
          <w:rFonts w:ascii="Times New Roman" w:hAnsi="Times New Roman" w:cs="Times New Roman"/>
          <w:sz w:val="24"/>
          <w:szCs w:val="24"/>
        </w:rPr>
        <w:t>sebagai</w:t>
      </w:r>
      <w:proofErr w:type="spellEnd"/>
      <w:r w:rsidR="007E71DF" w:rsidRPr="007720BC">
        <w:rPr>
          <w:rFonts w:ascii="Times New Roman" w:hAnsi="Times New Roman" w:cs="Times New Roman"/>
          <w:sz w:val="24"/>
          <w:szCs w:val="24"/>
        </w:rPr>
        <w:t xml:space="preserve"> </w:t>
      </w:r>
      <w:proofErr w:type="spellStart"/>
      <w:r w:rsidR="007E71DF" w:rsidRPr="007720BC">
        <w:rPr>
          <w:rFonts w:ascii="Times New Roman" w:hAnsi="Times New Roman" w:cs="Times New Roman"/>
          <w:sz w:val="24"/>
          <w:szCs w:val="24"/>
        </w:rPr>
        <w:t>bapak</w:t>
      </w:r>
      <w:proofErr w:type="spellEnd"/>
      <w:r w:rsidR="007E71DF" w:rsidRPr="007720BC">
        <w:rPr>
          <w:rFonts w:ascii="Times New Roman" w:hAnsi="Times New Roman" w:cs="Times New Roman"/>
          <w:sz w:val="24"/>
          <w:szCs w:val="24"/>
        </w:rPr>
        <w:t xml:space="preserve"> </w:t>
      </w:r>
      <w:proofErr w:type="spellStart"/>
      <w:r w:rsidR="007E71DF" w:rsidRPr="007720BC">
        <w:rPr>
          <w:rFonts w:ascii="Times New Roman" w:hAnsi="Times New Roman" w:cs="Times New Roman"/>
          <w:sz w:val="24"/>
          <w:szCs w:val="24"/>
        </w:rPr>
        <w:t>asuh</w:t>
      </w:r>
      <w:proofErr w:type="spellEnd"/>
      <w:r w:rsidR="008761BB" w:rsidRPr="007720BC">
        <w:rPr>
          <w:rFonts w:ascii="Times New Roman" w:hAnsi="Times New Roman" w:cs="Times New Roman"/>
          <w:sz w:val="24"/>
          <w:szCs w:val="24"/>
        </w:rPr>
        <w:t xml:space="preserve">. Selain </w:t>
      </w:r>
      <w:proofErr w:type="spellStart"/>
      <w:r w:rsidR="008761BB" w:rsidRPr="007720BC">
        <w:rPr>
          <w:rFonts w:ascii="Times New Roman" w:hAnsi="Times New Roman" w:cs="Times New Roman"/>
          <w:sz w:val="24"/>
          <w:szCs w:val="24"/>
        </w:rPr>
        <w:t>itu</w:t>
      </w:r>
      <w:proofErr w:type="spellEnd"/>
      <w:r w:rsidR="008761BB"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k</w:t>
      </w:r>
      <w:r w:rsidR="008761BB" w:rsidRPr="007720BC">
        <w:rPr>
          <w:rFonts w:ascii="Times New Roman" w:hAnsi="Times New Roman" w:cs="Times New Roman"/>
          <w:sz w:val="24"/>
          <w:szCs w:val="24"/>
        </w:rPr>
        <w:t>erjasama</w:t>
      </w:r>
      <w:proofErr w:type="spellEnd"/>
      <w:r w:rsidR="008761BB" w:rsidRPr="007720BC">
        <w:rPr>
          <w:rFonts w:ascii="Times New Roman" w:hAnsi="Times New Roman" w:cs="Times New Roman"/>
          <w:sz w:val="24"/>
          <w:szCs w:val="24"/>
        </w:rPr>
        <w:t xml:space="preserve"> </w:t>
      </w:r>
      <w:proofErr w:type="spellStart"/>
      <w:r w:rsidR="008761BB" w:rsidRPr="007720BC">
        <w:rPr>
          <w:rFonts w:ascii="Times New Roman" w:hAnsi="Times New Roman" w:cs="Times New Roman"/>
          <w:sz w:val="24"/>
          <w:szCs w:val="24"/>
        </w:rPr>
        <w:t>dengan</w:t>
      </w:r>
      <w:proofErr w:type="spellEnd"/>
      <w:r w:rsidR="008761BB" w:rsidRPr="007720BC">
        <w:rPr>
          <w:rFonts w:ascii="Times New Roman" w:hAnsi="Times New Roman" w:cs="Times New Roman"/>
          <w:sz w:val="24"/>
          <w:szCs w:val="24"/>
        </w:rPr>
        <w:t xml:space="preserve"> </w:t>
      </w:r>
      <w:proofErr w:type="spellStart"/>
      <w:r w:rsidR="008761BB" w:rsidRPr="007720BC">
        <w:rPr>
          <w:rFonts w:ascii="Times New Roman" w:hAnsi="Times New Roman" w:cs="Times New Roman"/>
          <w:sz w:val="24"/>
          <w:szCs w:val="24"/>
        </w:rPr>
        <w:t>Baznas</w:t>
      </w:r>
      <w:proofErr w:type="spellEnd"/>
      <w:r w:rsidR="008761BB" w:rsidRPr="007720BC">
        <w:rPr>
          <w:rFonts w:ascii="Times New Roman" w:hAnsi="Times New Roman" w:cs="Times New Roman"/>
          <w:sz w:val="24"/>
          <w:szCs w:val="24"/>
        </w:rPr>
        <w:t xml:space="preserve"> </w:t>
      </w:r>
      <w:proofErr w:type="spellStart"/>
      <w:r w:rsidR="008761BB" w:rsidRPr="007720BC">
        <w:rPr>
          <w:rFonts w:ascii="Times New Roman" w:hAnsi="Times New Roman" w:cs="Times New Roman"/>
          <w:sz w:val="24"/>
          <w:szCs w:val="24"/>
        </w:rPr>
        <w:t>Kabupaten</w:t>
      </w:r>
      <w:proofErr w:type="spellEnd"/>
      <w:r w:rsidR="008761BB" w:rsidRPr="007720BC">
        <w:rPr>
          <w:rFonts w:ascii="Times New Roman" w:hAnsi="Times New Roman" w:cs="Times New Roman"/>
          <w:sz w:val="24"/>
          <w:szCs w:val="24"/>
        </w:rPr>
        <w:t xml:space="preserve"> </w:t>
      </w:r>
      <w:proofErr w:type="spellStart"/>
      <w:r w:rsidR="008761BB" w:rsidRPr="007720BC">
        <w:rPr>
          <w:rFonts w:ascii="Times New Roman" w:hAnsi="Times New Roman" w:cs="Times New Roman"/>
          <w:sz w:val="24"/>
          <w:szCs w:val="24"/>
        </w:rPr>
        <w:t>Serang</w:t>
      </w:r>
      <w:proofErr w:type="spellEnd"/>
      <w:r w:rsidR="008761BB" w:rsidRPr="007720BC">
        <w:rPr>
          <w:rFonts w:ascii="Times New Roman" w:hAnsi="Times New Roman" w:cs="Times New Roman"/>
          <w:sz w:val="24"/>
          <w:szCs w:val="24"/>
        </w:rPr>
        <w:t xml:space="preserve"> dan </w:t>
      </w:r>
      <w:proofErr w:type="spellStart"/>
      <w:r w:rsidR="008761BB" w:rsidRPr="007720BC">
        <w:rPr>
          <w:rFonts w:ascii="Times New Roman" w:hAnsi="Times New Roman" w:cs="Times New Roman"/>
          <w:sz w:val="24"/>
          <w:szCs w:val="24"/>
        </w:rPr>
        <w:t>Provinsi</w:t>
      </w:r>
      <w:proofErr w:type="spellEnd"/>
      <w:r w:rsidR="008761BB" w:rsidRPr="007720BC">
        <w:rPr>
          <w:rFonts w:ascii="Times New Roman" w:hAnsi="Times New Roman" w:cs="Times New Roman"/>
          <w:sz w:val="24"/>
          <w:szCs w:val="24"/>
        </w:rPr>
        <w:t xml:space="preserve"> Banten </w:t>
      </w:r>
      <w:proofErr w:type="spellStart"/>
      <w:r w:rsidR="008761BB" w:rsidRPr="007720BC">
        <w:rPr>
          <w:rFonts w:ascii="Times New Roman" w:hAnsi="Times New Roman" w:cs="Times New Roman"/>
          <w:sz w:val="24"/>
          <w:szCs w:val="24"/>
        </w:rPr>
        <w:t>dalam</w:t>
      </w:r>
      <w:proofErr w:type="spellEnd"/>
      <w:r w:rsidR="008761BB"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bentuk</w:t>
      </w:r>
      <w:proofErr w:type="spellEnd"/>
      <w:r w:rsidR="008761BB" w:rsidRPr="007720BC">
        <w:rPr>
          <w:rFonts w:ascii="Times New Roman" w:hAnsi="Times New Roman" w:cs="Times New Roman"/>
          <w:sz w:val="24"/>
          <w:szCs w:val="24"/>
        </w:rPr>
        <w:t xml:space="preserve"> </w:t>
      </w:r>
      <w:proofErr w:type="spellStart"/>
      <w:r w:rsidR="008761BB" w:rsidRPr="007720BC">
        <w:rPr>
          <w:rFonts w:ascii="Times New Roman" w:hAnsi="Times New Roman" w:cs="Times New Roman"/>
          <w:sz w:val="24"/>
          <w:szCs w:val="24"/>
        </w:rPr>
        <w:t>bantuan</w:t>
      </w:r>
      <w:proofErr w:type="spellEnd"/>
      <w:r w:rsidR="008761BB" w:rsidRPr="007720BC">
        <w:rPr>
          <w:rFonts w:ascii="Times New Roman" w:hAnsi="Times New Roman" w:cs="Times New Roman"/>
          <w:sz w:val="24"/>
          <w:szCs w:val="24"/>
        </w:rPr>
        <w:t xml:space="preserve"> dana </w:t>
      </w:r>
      <w:proofErr w:type="spellStart"/>
      <w:r w:rsidR="008761BB" w:rsidRPr="007720BC">
        <w:rPr>
          <w:rFonts w:ascii="Times New Roman" w:hAnsi="Times New Roman" w:cs="Times New Roman"/>
          <w:sz w:val="24"/>
          <w:szCs w:val="24"/>
        </w:rPr>
        <w:t>seb</w:t>
      </w:r>
      <w:r w:rsidRPr="007720BC">
        <w:rPr>
          <w:rFonts w:ascii="Times New Roman" w:hAnsi="Times New Roman" w:cs="Times New Roman"/>
          <w:sz w:val="24"/>
          <w:szCs w:val="24"/>
        </w:rPr>
        <w:t>esar</w:t>
      </w:r>
      <w:proofErr w:type="spellEnd"/>
      <w:r w:rsidR="008761BB" w:rsidRPr="007720BC">
        <w:rPr>
          <w:rFonts w:ascii="Times New Roman" w:hAnsi="Times New Roman" w:cs="Times New Roman"/>
          <w:sz w:val="24"/>
          <w:szCs w:val="24"/>
        </w:rPr>
        <w:t xml:space="preserve"> 20 </w:t>
      </w:r>
      <w:proofErr w:type="spellStart"/>
      <w:r w:rsidR="008761BB" w:rsidRPr="007720BC">
        <w:rPr>
          <w:rFonts w:ascii="Times New Roman" w:hAnsi="Times New Roman" w:cs="Times New Roman"/>
          <w:sz w:val="24"/>
          <w:szCs w:val="24"/>
        </w:rPr>
        <w:t>juta</w:t>
      </w:r>
      <w:proofErr w:type="spellEnd"/>
      <w:r w:rsidR="008761BB" w:rsidRPr="007720BC">
        <w:rPr>
          <w:rFonts w:ascii="Times New Roman" w:hAnsi="Times New Roman" w:cs="Times New Roman"/>
          <w:sz w:val="24"/>
          <w:szCs w:val="24"/>
        </w:rPr>
        <w:t xml:space="preserve"> </w:t>
      </w:r>
      <w:proofErr w:type="spellStart"/>
      <w:r w:rsidR="008761BB" w:rsidRPr="007720BC">
        <w:rPr>
          <w:rFonts w:ascii="Times New Roman" w:hAnsi="Times New Roman" w:cs="Times New Roman"/>
          <w:sz w:val="24"/>
          <w:szCs w:val="24"/>
        </w:rPr>
        <w:t>untuk</w:t>
      </w:r>
      <w:proofErr w:type="spellEnd"/>
      <w:r w:rsidR="008761BB"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kegiatan</w:t>
      </w:r>
      <w:proofErr w:type="spellEnd"/>
      <w:r w:rsidRPr="007720BC">
        <w:rPr>
          <w:rFonts w:ascii="Times New Roman" w:hAnsi="Times New Roman" w:cs="Times New Roman"/>
          <w:sz w:val="24"/>
          <w:szCs w:val="24"/>
        </w:rPr>
        <w:t xml:space="preserve"> </w:t>
      </w:r>
      <w:proofErr w:type="spellStart"/>
      <w:r w:rsidR="00D431E6" w:rsidRPr="007720BC">
        <w:rPr>
          <w:rFonts w:ascii="Times New Roman" w:hAnsi="Times New Roman" w:cs="Times New Roman"/>
          <w:sz w:val="24"/>
          <w:szCs w:val="24"/>
        </w:rPr>
        <w:t>percepatan</w:t>
      </w:r>
      <w:proofErr w:type="spellEnd"/>
      <w:r w:rsidR="00D431E6" w:rsidRPr="007720BC">
        <w:rPr>
          <w:rFonts w:ascii="Times New Roman" w:hAnsi="Times New Roman" w:cs="Times New Roman"/>
          <w:sz w:val="24"/>
          <w:szCs w:val="24"/>
        </w:rPr>
        <w:t xml:space="preserve"> </w:t>
      </w:r>
      <w:proofErr w:type="spellStart"/>
      <w:r w:rsidR="00D431E6" w:rsidRPr="007720BC">
        <w:rPr>
          <w:rFonts w:ascii="Times New Roman" w:hAnsi="Times New Roman" w:cs="Times New Roman"/>
          <w:sz w:val="24"/>
          <w:szCs w:val="24"/>
        </w:rPr>
        <w:t>penurunan</w:t>
      </w:r>
      <w:proofErr w:type="spellEnd"/>
      <w:r w:rsidRPr="007720BC">
        <w:rPr>
          <w:rFonts w:ascii="Times New Roman" w:hAnsi="Times New Roman" w:cs="Times New Roman"/>
          <w:sz w:val="24"/>
          <w:szCs w:val="24"/>
        </w:rPr>
        <w:t xml:space="preserve"> stunting</w:t>
      </w:r>
      <w:r w:rsidR="008761BB" w:rsidRPr="007720BC">
        <w:rPr>
          <w:rFonts w:ascii="Times New Roman" w:hAnsi="Times New Roman" w:cs="Times New Roman"/>
          <w:sz w:val="24"/>
          <w:szCs w:val="24"/>
        </w:rPr>
        <w:t xml:space="preserve">, </w:t>
      </w:r>
      <w:proofErr w:type="spellStart"/>
      <w:r w:rsidR="0014078B" w:rsidRPr="007720BC">
        <w:rPr>
          <w:rFonts w:ascii="Times New Roman" w:hAnsi="Times New Roman" w:cs="Times New Roman"/>
          <w:sz w:val="24"/>
          <w:szCs w:val="24"/>
        </w:rPr>
        <w:t>p</w:t>
      </w:r>
      <w:r w:rsidR="008761BB" w:rsidRPr="007720BC">
        <w:rPr>
          <w:rFonts w:ascii="Times New Roman" w:hAnsi="Times New Roman" w:cs="Times New Roman"/>
          <w:sz w:val="24"/>
          <w:szCs w:val="24"/>
        </w:rPr>
        <w:t>emberian</w:t>
      </w:r>
      <w:proofErr w:type="spellEnd"/>
      <w:r w:rsidR="008761BB" w:rsidRPr="007720BC">
        <w:rPr>
          <w:rFonts w:ascii="Times New Roman" w:hAnsi="Times New Roman" w:cs="Times New Roman"/>
          <w:sz w:val="24"/>
          <w:szCs w:val="24"/>
        </w:rPr>
        <w:t xml:space="preserve"> </w:t>
      </w:r>
      <w:proofErr w:type="spellStart"/>
      <w:r w:rsidR="008761BB" w:rsidRPr="007720BC">
        <w:rPr>
          <w:rFonts w:ascii="Times New Roman" w:hAnsi="Times New Roman" w:cs="Times New Roman"/>
          <w:sz w:val="24"/>
          <w:szCs w:val="24"/>
        </w:rPr>
        <w:t>hewan</w:t>
      </w:r>
      <w:proofErr w:type="spellEnd"/>
      <w:r w:rsidR="008761BB" w:rsidRPr="007720BC">
        <w:rPr>
          <w:rFonts w:ascii="Times New Roman" w:hAnsi="Times New Roman" w:cs="Times New Roman"/>
          <w:sz w:val="24"/>
          <w:szCs w:val="24"/>
        </w:rPr>
        <w:t xml:space="preserve"> </w:t>
      </w:r>
      <w:proofErr w:type="spellStart"/>
      <w:r w:rsidR="008761BB" w:rsidRPr="007720BC">
        <w:rPr>
          <w:rFonts w:ascii="Times New Roman" w:hAnsi="Times New Roman" w:cs="Times New Roman"/>
          <w:sz w:val="24"/>
          <w:szCs w:val="24"/>
        </w:rPr>
        <w:t>qurban</w:t>
      </w:r>
      <w:proofErr w:type="spellEnd"/>
      <w:r w:rsidR="008761BB" w:rsidRPr="007720BC">
        <w:rPr>
          <w:rFonts w:ascii="Times New Roman" w:hAnsi="Times New Roman" w:cs="Times New Roman"/>
          <w:sz w:val="24"/>
          <w:szCs w:val="24"/>
        </w:rPr>
        <w:t xml:space="preserve"> </w:t>
      </w:r>
      <w:proofErr w:type="spellStart"/>
      <w:r w:rsidR="008761BB" w:rsidRPr="007720BC">
        <w:rPr>
          <w:rFonts w:ascii="Times New Roman" w:hAnsi="Times New Roman" w:cs="Times New Roman"/>
          <w:sz w:val="24"/>
          <w:szCs w:val="24"/>
        </w:rPr>
        <w:t>untuk</w:t>
      </w:r>
      <w:proofErr w:type="spellEnd"/>
      <w:r w:rsidR="008761BB" w:rsidRPr="007720BC">
        <w:rPr>
          <w:rFonts w:ascii="Times New Roman" w:hAnsi="Times New Roman" w:cs="Times New Roman"/>
          <w:sz w:val="24"/>
          <w:szCs w:val="24"/>
        </w:rPr>
        <w:t xml:space="preserve"> </w:t>
      </w:r>
      <w:proofErr w:type="spellStart"/>
      <w:r w:rsidR="008761BB" w:rsidRPr="007720BC">
        <w:rPr>
          <w:rFonts w:ascii="Times New Roman" w:hAnsi="Times New Roman" w:cs="Times New Roman"/>
          <w:sz w:val="24"/>
          <w:szCs w:val="24"/>
        </w:rPr>
        <w:t>keluarga</w:t>
      </w:r>
      <w:proofErr w:type="spellEnd"/>
      <w:r w:rsidR="008761BB" w:rsidRPr="007720BC">
        <w:rPr>
          <w:rFonts w:ascii="Times New Roman" w:hAnsi="Times New Roman" w:cs="Times New Roman"/>
          <w:sz w:val="24"/>
          <w:szCs w:val="24"/>
        </w:rPr>
        <w:t xml:space="preserve"> </w:t>
      </w:r>
      <w:proofErr w:type="spellStart"/>
      <w:r w:rsidR="008761BB" w:rsidRPr="007720BC">
        <w:rPr>
          <w:rFonts w:ascii="Times New Roman" w:hAnsi="Times New Roman" w:cs="Times New Roman"/>
          <w:sz w:val="24"/>
          <w:szCs w:val="24"/>
        </w:rPr>
        <w:t>beresiko</w:t>
      </w:r>
      <w:proofErr w:type="spellEnd"/>
      <w:r w:rsidR="008761BB" w:rsidRPr="007720BC">
        <w:rPr>
          <w:rFonts w:ascii="Times New Roman" w:hAnsi="Times New Roman" w:cs="Times New Roman"/>
          <w:sz w:val="24"/>
          <w:szCs w:val="24"/>
        </w:rPr>
        <w:t xml:space="preserve"> stunting </w:t>
      </w:r>
      <w:proofErr w:type="spellStart"/>
      <w:r w:rsidR="008761BB" w:rsidRPr="007720BC">
        <w:rPr>
          <w:rFonts w:ascii="Times New Roman" w:hAnsi="Times New Roman" w:cs="Times New Roman"/>
          <w:sz w:val="24"/>
          <w:szCs w:val="24"/>
        </w:rPr>
        <w:t>sebanyak</w:t>
      </w:r>
      <w:proofErr w:type="spellEnd"/>
      <w:r w:rsidR="008761BB" w:rsidRPr="007720BC">
        <w:rPr>
          <w:rFonts w:ascii="Times New Roman" w:hAnsi="Times New Roman" w:cs="Times New Roman"/>
          <w:sz w:val="24"/>
          <w:szCs w:val="24"/>
        </w:rPr>
        <w:t xml:space="preserve"> </w:t>
      </w:r>
      <w:proofErr w:type="spellStart"/>
      <w:r w:rsidR="0014078B" w:rsidRPr="007720BC">
        <w:rPr>
          <w:rFonts w:ascii="Times New Roman" w:hAnsi="Times New Roman" w:cs="Times New Roman"/>
          <w:sz w:val="24"/>
          <w:szCs w:val="24"/>
        </w:rPr>
        <w:t>tiga</w:t>
      </w:r>
      <w:proofErr w:type="spellEnd"/>
      <w:r w:rsidR="008761BB" w:rsidRPr="007720BC">
        <w:rPr>
          <w:rFonts w:ascii="Times New Roman" w:hAnsi="Times New Roman" w:cs="Times New Roman"/>
          <w:sz w:val="24"/>
          <w:szCs w:val="24"/>
        </w:rPr>
        <w:t xml:space="preserve"> </w:t>
      </w:r>
      <w:proofErr w:type="spellStart"/>
      <w:r w:rsidR="008761BB" w:rsidRPr="007720BC">
        <w:rPr>
          <w:rFonts w:ascii="Times New Roman" w:hAnsi="Times New Roman" w:cs="Times New Roman"/>
          <w:sz w:val="24"/>
          <w:szCs w:val="24"/>
        </w:rPr>
        <w:t>ekor</w:t>
      </w:r>
      <w:proofErr w:type="spellEnd"/>
      <w:r w:rsidR="008761BB" w:rsidRPr="007720BC">
        <w:rPr>
          <w:rFonts w:ascii="Times New Roman" w:hAnsi="Times New Roman" w:cs="Times New Roman"/>
          <w:sz w:val="24"/>
          <w:szCs w:val="24"/>
        </w:rPr>
        <w:t xml:space="preserve">; dan </w:t>
      </w:r>
      <w:proofErr w:type="spellStart"/>
      <w:r w:rsidRPr="007720BC">
        <w:rPr>
          <w:rFonts w:ascii="Times New Roman" w:hAnsi="Times New Roman" w:cs="Times New Roman"/>
          <w:sz w:val="24"/>
          <w:szCs w:val="24"/>
        </w:rPr>
        <w:t>kerja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sama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dengan</w:t>
      </w:r>
      <w:proofErr w:type="spellEnd"/>
      <w:r w:rsidRPr="007720BC">
        <w:rPr>
          <w:rFonts w:ascii="Times New Roman" w:hAnsi="Times New Roman" w:cs="Times New Roman"/>
          <w:sz w:val="24"/>
          <w:szCs w:val="24"/>
        </w:rPr>
        <w:t xml:space="preserve"> </w:t>
      </w:r>
      <w:r w:rsidR="008761BB" w:rsidRPr="007720BC">
        <w:rPr>
          <w:rFonts w:ascii="Times New Roman" w:hAnsi="Times New Roman" w:cs="Times New Roman"/>
          <w:sz w:val="24"/>
          <w:szCs w:val="24"/>
        </w:rPr>
        <w:t>Kodim 06/02</w:t>
      </w:r>
      <w:r w:rsidR="0014078B" w:rsidRPr="007720BC">
        <w:rPr>
          <w:rFonts w:ascii="Times New Roman" w:hAnsi="Times New Roman" w:cs="Times New Roman"/>
          <w:sz w:val="24"/>
          <w:szCs w:val="24"/>
        </w:rPr>
        <w:t xml:space="preserve"> </w:t>
      </w:r>
      <w:proofErr w:type="spellStart"/>
      <w:r w:rsidR="008761BB" w:rsidRPr="007720BC">
        <w:rPr>
          <w:rFonts w:ascii="Times New Roman" w:hAnsi="Times New Roman" w:cs="Times New Roman"/>
          <w:sz w:val="24"/>
          <w:szCs w:val="24"/>
        </w:rPr>
        <w:t>Siliwangi</w:t>
      </w:r>
      <w:proofErr w:type="spellEnd"/>
      <w:r w:rsidR="008761BB" w:rsidRPr="007720BC">
        <w:rPr>
          <w:rFonts w:ascii="Times New Roman" w:hAnsi="Times New Roman" w:cs="Times New Roman"/>
          <w:sz w:val="24"/>
          <w:szCs w:val="24"/>
        </w:rPr>
        <w:t xml:space="preserve"> </w:t>
      </w:r>
      <w:proofErr w:type="spellStart"/>
      <w:r w:rsidR="0014078B" w:rsidRPr="007720BC">
        <w:rPr>
          <w:rFonts w:ascii="Times New Roman" w:hAnsi="Times New Roman" w:cs="Times New Roman"/>
          <w:sz w:val="24"/>
          <w:szCs w:val="24"/>
        </w:rPr>
        <w:t>Serang</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dalam</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melakukan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renovasi</w:t>
      </w:r>
      <w:proofErr w:type="spellEnd"/>
      <w:r w:rsidRPr="007720BC">
        <w:rPr>
          <w:rFonts w:ascii="Times New Roman" w:hAnsi="Times New Roman" w:cs="Times New Roman"/>
          <w:sz w:val="24"/>
          <w:szCs w:val="24"/>
        </w:rPr>
        <w:t xml:space="preserve"> </w:t>
      </w:r>
      <w:proofErr w:type="spellStart"/>
      <w:r w:rsidR="008761BB" w:rsidRPr="007720BC">
        <w:rPr>
          <w:rFonts w:ascii="Times New Roman" w:hAnsi="Times New Roman" w:cs="Times New Roman"/>
          <w:sz w:val="24"/>
          <w:szCs w:val="24"/>
        </w:rPr>
        <w:t>rumah</w:t>
      </w:r>
      <w:proofErr w:type="spellEnd"/>
      <w:r w:rsidR="008761BB" w:rsidRPr="007720BC">
        <w:rPr>
          <w:rFonts w:ascii="Times New Roman" w:hAnsi="Times New Roman" w:cs="Times New Roman"/>
          <w:sz w:val="24"/>
          <w:szCs w:val="24"/>
        </w:rPr>
        <w:t xml:space="preserve"> </w:t>
      </w:r>
      <w:proofErr w:type="spellStart"/>
      <w:r w:rsidR="008761BB" w:rsidRPr="007720BC">
        <w:rPr>
          <w:rFonts w:ascii="Times New Roman" w:hAnsi="Times New Roman" w:cs="Times New Roman"/>
          <w:sz w:val="24"/>
          <w:szCs w:val="24"/>
        </w:rPr>
        <w:t>tidak</w:t>
      </w:r>
      <w:proofErr w:type="spellEnd"/>
      <w:r w:rsidR="008761BB" w:rsidRPr="007720BC">
        <w:rPr>
          <w:rFonts w:ascii="Times New Roman" w:hAnsi="Times New Roman" w:cs="Times New Roman"/>
          <w:sz w:val="24"/>
          <w:szCs w:val="24"/>
        </w:rPr>
        <w:t xml:space="preserve"> </w:t>
      </w:r>
      <w:proofErr w:type="spellStart"/>
      <w:r w:rsidR="008761BB" w:rsidRPr="007720BC">
        <w:rPr>
          <w:rFonts w:ascii="Times New Roman" w:hAnsi="Times New Roman" w:cs="Times New Roman"/>
          <w:sz w:val="24"/>
          <w:szCs w:val="24"/>
        </w:rPr>
        <w:t>layak</w:t>
      </w:r>
      <w:proofErr w:type="spellEnd"/>
      <w:r w:rsidR="008761BB" w:rsidRPr="007720BC">
        <w:rPr>
          <w:rFonts w:ascii="Times New Roman" w:hAnsi="Times New Roman" w:cs="Times New Roman"/>
          <w:sz w:val="24"/>
          <w:szCs w:val="24"/>
        </w:rPr>
        <w:t xml:space="preserve"> </w:t>
      </w:r>
      <w:proofErr w:type="spellStart"/>
      <w:r w:rsidR="008761BB" w:rsidRPr="007720BC">
        <w:rPr>
          <w:rFonts w:ascii="Times New Roman" w:hAnsi="Times New Roman" w:cs="Times New Roman"/>
          <w:sz w:val="24"/>
          <w:szCs w:val="24"/>
        </w:rPr>
        <w:t>huni</w:t>
      </w:r>
      <w:proofErr w:type="spellEnd"/>
      <w:r w:rsidR="008761BB" w:rsidRPr="007720BC">
        <w:rPr>
          <w:rFonts w:ascii="Times New Roman" w:hAnsi="Times New Roman" w:cs="Times New Roman"/>
          <w:sz w:val="24"/>
          <w:szCs w:val="24"/>
        </w:rPr>
        <w:t xml:space="preserve"> </w:t>
      </w:r>
      <w:proofErr w:type="spellStart"/>
      <w:r w:rsidR="008761BB" w:rsidRPr="007720BC">
        <w:rPr>
          <w:rFonts w:ascii="Times New Roman" w:hAnsi="Times New Roman" w:cs="Times New Roman"/>
          <w:sz w:val="24"/>
          <w:szCs w:val="24"/>
        </w:rPr>
        <w:t>kepada</w:t>
      </w:r>
      <w:proofErr w:type="spellEnd"/>
      <w:r w:rsidR="008761BB" w:rsidRPr="007720BC">
        <w:rPr>
          <w:rFonts w:ascii="Times New Roman" w:hAnsi="Times New Roman" w:cs="Times New Roman"/>
          <w:sz w:val="24"/>
          <w:szCs w:val="24"/>
        </w:rPr>
        <w:t xml:space="preserve"> </w:t>
      </w:r>
      <w:proofErr w:type="spellStart"/>
      <w:r w:rsidR="008761BB" w:rsidRPr="007720BC">
        <w:rPr>
          <w:rFonts w:ascii="Times New Roman" w:hAnsi="Times New Roman" w:cs="Times New Roman"/>
          <w:sz w:val="24"/>
          <w:szCs w:val="24"/>
        </w:rPr>
        <w:t>keluarga</w:t>
      </w:r>
      <w:proofErr w:type="spellEnd"/>
      <w:r w:rsidR="008761BB" w:rsidRPr="007720BC">
        <w:rPr>
          <w:rFonts w:ascii="Times New Roman" w:hAnsi="Times New Roman" w:cs="Times New Roman"/>
          <w:sz w:val="24"/>
          <w:szCs w:val="24"/>
        </w:rPr>
        <w:t xml:space="preserve"> </w:t>
      </w:r>
      <w:proofErr w:type="spellStart"/>
      <w:r w:rsidR="008761BB" w:rsidRPr="007720BC">
        <w:rPr>
          <w:rFonts w:ascii="Times New Roman" w:hAnsi="Times New Roman" w:cs="Times New Roman"/>
          <w:sz w:val="24"/>
          <w:szCs w:val="24"/>
        </w:rPr>
        <w:t>beresiko</w:t>
      </w:r>
      <w:proofErr w:type="spellEnd"/>
      <w:r w:rsidR="008761BB" w:rsidRPr="007720BC">
        <w:rPr>
          <w:rFonts w:ascii="Times New Roman" w:hAnsi="Times New Roman" w:cs="Times New Roman"/>
          <w:sz w:val="24"/>
          <w:szCs w:val="24"/>
        </w:rPr>
        <w:t xml:space="preserve"> stunting</w:t>
      </w:r>
    </w:p>
    <w:p w14:paraId="55E97C8C" w14:textId="3291882F" w:rsidR="000D7D4D" w:rsidRPr="007720BC" w:rsidRDefault="00D431E6" w:rsidP="000D7D4D">
      <w:pPr>
        <w:shd w:val="clear" w:color="auto" w:fill="FFFFFF"/>
        <w:spacing w:after="0" w:line="240" w:lineRule="auto"/>
        <w:ind w:firstLine="567"/>
        <w:contextualSpacing/>
        <w:jc w:val="both"/>
        <w:textAlignment w:val="baseline"/>
        <w:rPr>
          <w:rFonts w:ascii="Times New Roman" w:hAnsi="Times New Roman" w:cs="Times New Roman"/>
          <w:sz w:val="24"/>
          <w:szCs w:val="24"/>
          <w:lang w:val="en-US"/>
        </w:rPr>
      </w:pPr>
      <w:r w:rsidRPr="007720BC">
        <w:rPr>
          <w:rFonts w:ascii="Times New Roman" w:hAnsi="Times New Roman" w:cs="Times New Roman"/>
          <w:sz w:val="24"/>
          <w:szCs w:val="24"/>
          <w:lang w:val="en-US"/>
        </w:rPr>
        <w:t xml:space="preserve">Hasil </w:t>
      </w:r>
      <w:proofErr w:type="spellStart"/>
      <w:r w:rsidRPr="007720BC">
        <w:rPr>
          <w:rFonts w:ascii="Times New Roman" w:hAnsi="Times New Roman" w:cs="Times New Roman"/>
          <w:sz w:val="24"/>
          <w:szCs w:val="24"/>
          <w:lang w:val="en-US"/>
        </w:rPr>
        <w:t>penelitian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menunjukkan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bahwa</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efektifitas</w:t>
      </w:r>
      <w:proofErr w:type="spellEnd"/>
      <w:r w:rsidRPr="007720BC">
        <w:rPr>
          <w:rFonts w:ascii="Times New Roman" w:hAnsi="Times New Roman" w:cs="Times New Roman"/>
          <w:sz w:val="24"/>
          <w:szCs w:val="24"/>
          <w:lang w:val="en-US"/>
        </w:rPr>
        <w:t xml:space="preserve"> dan indicator </w:t>
      </w:r>
      <w:proofErr w:type="spellStart"/>
      <w:r w:rsidRPr="007720BC">
        <w:rPr>
          <w:rFonts w:ascii="Times New Roman" w:hAnsi="Times New Roman" w:cs="Times New Roman"/>
          <w:sz w:val="24"/>
          <w:szCs w:val="24"/>
          <w:lang w:val="en-US"/>
        </w:rPr>
        <w:t>keberhasilan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terciptanya</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inovasi</w:t>
      </w:r>
      <w:proofErr w:type="spellEnd"/>
      <w:r w:rsidRPr="007720BC">
        <w:rPr>
          <w:rFonts w:ascii="Times New Roman" w:hAnsi="Times New Roman" w:cs="Times New Roman"/>
          <w:sz w:val="24"/>
          <w:szCs w:val="24"/>
          <w:lang w:val="en-US"/>
        </w:rPr>
        <w:t xml:space="preserve"> dan </w:t>
      </w:r>
      <w:proofErr w:type="spellStart"/>
      <w:r w:rsidRPr="007720BC">
        <w:rPr>
          <w:rFonts w:ascii="Times New Roman" w:hAnsi="Times New Roman" w:cs="Times New Roman"/>
          <w:sz w:val="24"/>
          <w:szCs w:val="24"/>
          <w:lang w:val="en-US"/>
        </w:rPr>
        <w:t>kolaborasi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ditentukan</w:t>
      </w:r>
      <w:proofErr w:type="spellEnd"/>
      <w:r w:rsidRPr="007720BC">
        <w:rPr>
          <w:rFonts w:ascii="Times New Roman" w:hAnsi="Times New Roman" w:cs="Times New Roman"/>
          <w:sz w:val="24"/>
          <w:szCs w:val="24"/>
          <w:lang w:val="en-US"/>
        </w:rPr>
        <w:t xml:space="preserve"> oleh </w:t>
      </w:r>
      <w:proofErr w:type="spellStart"/>
      <w:r w:rsidRPr="007720BC">
        <w:rPr>
          <w:rFonts w:ascii="Times New Roman" w:hAnsi="Times New Roman" w:cs="Times New Roman"/>
          <w:sz w:val="24"/>
          <w:szCs w:val="24"/>
          <w:lang w:val="en-US"/>
        </w:rPr>
        <w:t>kemampuan</w:t>
      </w:r>
      <w:proofErr w:type="spellEnd"/>
      <w:r w:rsidRPr="007720BC">
        <w:rPr>
          <w:rFonts w:ascii="Times New Roman" w:hAnsi="Times New Roman" w:cs="Times New Roman"/>
          <w:sz w:val="24"/>
          <w:szCs w:val="24"/>
          <w:lang w:val="en-US"/>
        </w:rPr>
        <w:t xml:space="preserve"> Kampung KB </w:t>
      </w:r>
      <w:r w:rsidR="00F71AA7" w:rsidRPr="007720BC">
        <w:rPr>
          <w:rFonts w:ascii="Times New Roman" w:hAnsi="Times New Roman" w:cs="Times New Roman"/>
          <w:sz w:val="24"/>
          <w:szCs w:val="24"/>
          <w:lang w:val="en-US"/>
        </w:rPr>
        <w:t xml:space="preserve">Desa </w:t>
      </w:r>
      <w:proofErr w:type="spellStart"/>
      <w:r w:rsidR="00F71AA7" w:rsidRPr="007720BC">
        <w:rPr>
          <w:rFonts w:ascii="Times New Roman" w:hAnsi="Times New Roman" w:cs="Times New Roman"/>
          <w:sz w:val="24"/>
          <w:szCs w:val="24"/>
          <w:lang w:val="en-US"/>
        </w:rPr>
        <w:t>Mongpok</w:t>
      </w:r>
      <w:proofErr w:type="spellEnd"/>
      <w:r w:rsidR="00F71AA7" w:rsidRPr="007720BC">
        <w:rPr>
          <w:rFonts w:ascii="Times New Roman" w:hAnsi="Times New Roman" w:cs="Times New Roman"/>
          <w:sz w:val="24"/>
          <w:szCs w:val="24"/>
          <w:lang w:val="en-US"/>
        </w:rPr>
        <w:t xml:space="preserve"> </w:t>
      </w:r>
      <w:r w:rsidRPr="007720BC">
        <w:rPr>
          <w:rFonts w:ascii="Times New Roman" w:hAnsi="Times New Roman" w:cs="Times New Roman"/>
          <w:sz w:val="24"/>
          <w:szCs w:val="24"/>
          <w:lang w:val="en-US"/>
        </w:rPr>
        <w:t xml:space="preserve">yang focus pada </w:t>
      </w:r>
      <w:proofErr w:type="spellStart"/>
      <w:r w:rsidRPr="007720BC">
        <w:rPr>
          <w:rFonts w:ascii="Times New Roman" w:hAnsi="Times New Roman" w:cs="Times New Roman"/>
          <w:sz w:val="24"/>
          <w:szCs w:val="24"/>
          <w:lang w:val="en-US"/>
        </w:rPr>
        <w:t>perencanaan</w:t>
      </w:r>
      <w:proofErr w:type="spellEnd"/>
      <w:r w:rsidRPr="007720BC">
        <w:rPr>
          <w:rFonts w:ascii="Times New Roman" w:hAnsi="Times New Roman" w:cs="Times New Roman"/>
          <w:sz w:val="24"/>
          <w:szCs w:val="24"/>
          <w:lang w:val="en-US"/>
        </w:rPr>
        <w:t xml:space="preserve"> dan </w:t>
      </w:r>
      <w:proofErr w:type="spellStart"/>
      <w:r w:rsidRPr="007720BC">
        <w:rPr>
          <w:rFonts w:ascii="Times New Roman" w:hAnsi="Times New Roman" w:cs="Times New Roman"/>
          <w:sz w:val="24"/>
          <w:szCs w:val="24"/>
          <w:lang w:val="en-US"/>
        </w:rPr>
        <w:t>tindakan</w:t>
      </w:r>
      <w:proofErr w:type="spellEnd"/>
      <w:r w:rsidRPr="007720BC">
        <w:rPr>
          <w:rFonts w:ascii="Times New Roman" w:hAnsi="Times New Roman" w:cs="Times New Roman"/>
          <w:sz w:val="24"/>
          <w:szCs w:val="24"/>
          <w:lang w:val="en-US"/>
        </w:rPr>
        <w:t xml:space="preserve"> yang </w:t>
      </w:r>
      <w:proofErr w:type="spellStart"/>
      <w:r w:rsidRPr="007720BC">
        <w:rPr>
          <w:rFonts w:ascii="Times New Roman" w:hAnsi="Times New Roman" w:cs="Times New Roman"/>
          <w:sz w:val="24"/>
          <w:szCs w:val="24"/>
          <w:lang w:val="en-US"/>
        </w:rPr>
        <w:t>berkelanjutan</w:t>
      </w:r>
      <w:proofErr w:type="spellEnd"/>
      <w:r w:rsidRPr="007720BC">
        <w:rPr>
          <w:rFonts w:ascii="Times New Roman" w:hAnsi="Times New Roman" w:cs="Times New Roman"/>
          <w:sz w:val="24"/>
          <w:szCs w:val="24"/>
          <w:lang w:val="en-US"/>
        </w:rPr>
        <w:t xml:space="preserve"> dan </w:t>
      </w:r>
      <w:proofErr w:type="spellStart"/>
      <w:r w:rsidRPr="007720BC">
        <w:rPr>
          <w:rFonts w:ascii="Times New Roman" w:hAnsi="Times New Roman" w:cs="Times New Roman"/>
          <w:sz w:val="24"/>
          <w:szCs w:val="24"/>
          <w:lang w:val="en-US"/>
        </w:rPr>
        <w:t>dukungan</w:t>
      </w:r>
      <w:proofErr w:type="spellEnd"/>
      <w:r w:rsidR="00CD1E25" w:rsidRPr="007720BC">
        <w:rPr>
          <w:rFonts w:ascii="Times New Roman" w:hAnsi="Times New Roman" w:cs="Times New Roman"/>
          <w:sz w:val="24"/>
          <w:szCs w:val="24"/>
          <w:lang w:val="en-US"/>
        </w:rPr>
        <w:t xml:space="preserve"> </w:t>
      </w:r>
      <w:proofErr w:type="spellStart"/>
      <w:r w:rsidR="00CD1E25" w:rsidRPr="007720BC">
        <w:rPr>
          <w:rFonts w:ascii="Times New Roman" w:hAnsi="Times New Roman" w:cs="Times New Roman"/>
          <w:sz w:val="24"/>
          <w:szCs w:val="24"/>
        </w:rPr>
        <w:t>organisasi</w:t>
      </w:r>
      <w:proofErr w:type="spellEnd"/>
      <w:r w:rsidR="00CD1E25" w:rsidRPr="007720BC">
        <w:rPr>
          <w:rFonts w:ascii="Times New Roman" w:hAnsi="Times New Roman" w:cs="Times New Roman"/>
          <w:sz w:val="24"/>
          <w:szCs w:val="24"/>
        </w:rPr>
        <w:t xml:space="preserve"> </w:t>
      </w:r>
      <w:proofErr w:type="spellStart"/>
      <w:r w:rsidR="00CD1E25" w:rsidRPr="007720BC">
        <w:rPr>
          <w:rFonts w:ascii="Times New Roman" w:hAnsi="Times New Roman" w:cs="Times New Roman"/>
          <w:sz w:val="24"/>
          <w:szCs w:val="24"/>
        </w:rPr>
        <w:t>keagamaan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desa</w:t>
      </w:r>
      <w:proofErr w:type="spellEnd"/>
      <w:r w:rsidR="00CD1E25" w:rsidRPr="007720BC">
        <w:rPr>
          <w:rFonts w:ascii="Times New Roman" w:hAnsi="Times New Roman" w:cs="Times New Roman"/>
          <w:sz w:val="24"/>
          <w:szCs w:val="24"/>
          <w:lang w:val="en-US"/>
        </w:rPr>
        <w:t xml:space="preserve"> (</w:t>
      </w:r>
      <w:proofErr w:type="spellStart"/>
      <w:r w:rsidR="00CD1E25" w:rsidRPr="007720BC">
        <w:rPr>
          <w:rFonts w:ascii="Times New Roman" w:hAnsi="Times New Roman" w:cs="Times New Roman"/>
          <w:sz w:val="24"/>
          <w:szCs w:val="24"/>
          <w:lang w:val="en-US"/>
        </w:rPr>
        <w:t>tokoh</w:t>
      </w:r>
      <w:proofErr w:type="spellEnd"/>
      <w:r w:rsidR="00CD1E25" w:rsidRPr="007720BC">
        <w:rPr>
          <w:rFonts w:ascii="Times New Roman" w:hAnsi="Times New Roman" w:cs="Times New Roman"/>
          <w:sz w:val="24"/>
          <w:szCs w:val="24"/>
          <w:lang w:val="en-US"/>
        </w:rPr>
        <w:t xml:space="preserve"> agama)</w:t>
      </w:r>
      <w:r w:rsidR="00CD1E25" w:rsidRPr="007720BC">
        <w:rPr>
          <w:rFonts w:ascii="Times New Roman" w:hAnsi="Times New Roman" w:cs="Times New Roman"/>
          <w:sz w:val="24"/>
          <w:szCs w:val="24"/>
        </w:rPr>
        <w:t xml:space="preserve">, </w:t>
      </w:r>
      <w:proofErr w:type="spellStart"/>
      <w:r w:rsidR="00CD1E25" w:rsidRPr="007720BC">
        <w:rPr>
          <w:rFonts w:ascii="Times New Roman" w:hAnsi="Times New Roman" w:cs="Times New Roman"/>
          <w:sz w:val="24"/>
          <w:szCs w:val="24"/>
        </w:rPr>
        <w:t>kepemudaaan</w:t>
      </w:r>
      <w:proofErr w:type="spellEnd"/>
      <w:r w:rsidR="00CD1E25" w:rsidRPr="007720BC">
        <w:rPr>
          <w:rFonts w:ascii="Times New Roman" w:hAnsi="Times New Roman" w:cs="Times New Roman"/>
          <w:sz w:val="24"/>
          <w:szCs w:val="24"/>
          <w:lang w:val="en-US"/>
        </w:rPr>
        <w:t xml:space="preserve"> (</w:t>
      </w:r>
      <w:proofErr w:type="spellStart"/>
      <w:r w:rsidR="00CD1E25" w:rsidRPr="007720BC">
        <w:rPr>
          <w:rFonts w:ascii="Times New Roman" w:hAnsi="Times New Roman" w:cs="Times New Roman"/>
          <w:sz w:val="24"/>
          <w:szCs w:val="24"/>
          <w:lang w:val="en-US"/>
        </w:rPr>
        <w:t>tokoh</w:t>
      </w:r>
      <w:proofErr w:type="spellEnd"/>
      <w:r w:rsidR="00CD1E25" w:rsidRPr="007720BC">
        <w:rPr>
          <w:rFonts w:ascii="Times New Roman" w:hAnsi="Times New Roman" w:cs="Times New Roman"/>
          <w:sz w:val="24"/>
          <w:szCs w:val="24"/>
          <w:lang w:val="en-US"/>
        </w:rPr>
        <w:t xml:space="preserve"> pemuda)</w:t>
      </w:r>
      <w:r w:rsidR="00CD1E25" w:rsidRPr="007720BC">
        <w:rPr>
          <w:rFonts w:ascii="Times New Roman" w:hAnsi="Times New Roman" w:cs="Times New Roman"/>
          <w:sz w:val="24"/>
          <w:szCs w:val="24"/>
        </w:rPr>
        <w:t xml:space="preserve"> dan </w:t>
      </w:r>
      <w:proofErr w:type="spellStart"/>
      <w:r w:rsidR="00CD1E25" w:rsidRPr="007720BC">
        <w:rPr>
          <w:rFonts w:ascii="Times New Roman" w:hAnsi="Times New Roman" w:cs="Times New Roman"/>
          <w:sz w:val="24"/>
          <w:szCs w:val="24"/>
        </w:rPr>
        <w:t>kemasyarakatan</w:t>
      </w:r>
      <w:proofErr w:type="spellEnd"/>
      <w:r w:rsidR="00CD1E25" w:rsidRPr="007720BC">
        <w:rPr>
          <w:rFonts w:ascii="Times New Roman" w:hAnsi="Times New Roman" w:cs="Times New Roman"/>
          <w:sz w:val="24"/>
          <w:szCs w:val="24"/>
          <w:lang w:val="en-US"/>
        </w:rPr>
        <w:t xml:space="preserve"> (</w:t>
      </w:r>
      <w:proofErr w:type="spellStart"/>
      <w:r w:rsidR="00CD1E25" w:rsidRPr="007720BC">
        <w:rPr>
          <w:rFonts w:ascii="Times New Roman" w:hAnsi="Times New Roman" w:cs="Times New Roman"/>
          <w:sz w:val="24"/>
          <w:szCs w:val="24"/>
          <w:lang w:val="en-US"/>
        </w:rPr>
        <w:t>tokoh</w:t>
      </w:r>
      <w:proofErr w:type="spellEnd"/>
      <w:r w:rsidR="00CD1E25" w:rsidRPr="007720BC">
        <w:rPr>
          <w:rFonts w:ascii="Times New Roman" w:hAnsi="Times New Roman" w:cs="Times New Roman"/>
          <w:sz w:val="24"/>
          <w:szCs w:val="24"/>
          <w:lang w:val="en-US"/>
        </w:rPr>
        <w:t xml:space="preserve"> Masyarakat) </w:t>
      </w:r>
      <w:proofErr w:type="spellStart"/>
      <w:r w:rsidR="00CD1E25" w:rsidRPr="007720BC">
        <w:rPr>
          <w:rFonts w:ascii="Times New Roman" w:hAnsi="Times New Roman" w:cs="Times New Roman"/>
          <w:sz w:val="24"/>
          <w:szCs w:val="24"/>
          <w:lang w:val="en-US"/>
        </w:rPr>
        <w:t>untuk</w:t>
      </w:r>
      <w:proofErr w:type="spellEnd"/>
      <w:r w:rsidR="00CD1E25" w:rsidRPr="007720BC">
        <w:rPr>
          <w:rFonts w:ascii="Times New Roman" w:hAnsi="Times New Roman" w:cs="Times New Roman"/>
          <w:sz w:val="24"/>
          <w:szCs w:val="24"/>
          <w:lang w:val="en-US"/>
        </w:rPr>
        <w:t xml:space="preserve"> </w:t>
      </w:r>
      <w:proofErr w:type="spellStart"/>
      <w:r w:rsidR="0014078B" w:rsidRPr="007720BC">
        <w:rPr>
          <w:rFonts w:ascii="Times New Roman" w:hAnsi="Times New Roman" w:cs="Times New Roman"/>
          <w:sz w:val="24"/>
          <w:szCs w:val="24"/>
          <w:lang w:val="en-US"/>
        </w:rPr>
        <w:t>b</w:t>
      </w:r>
      <w:r w:rsidR="00CD1E25" w:rsidRPr="007720BC">
        <w:rPr>
          <w:rFonts w:ascii="Times New Roman" w:hAnsi="Times New Roman" w:cs="Times New Roman"/>
          <w:sz w:val="24"/>
          <w:szCs w:val="24"/>
          <w:lang w:val="en-US"/>
        </w:rPr>
        <w:t>ersama-sama</w:t>
      </w:r>
      <w:proofErr w:type="spellEnd"/>
      <w:r w:rsidR="00CD1E25" w:rsidRPr="007720BC">
        <w:rPr>
          <w:rFonts w:ascii="Times New Roman" w:hAnsi="Times New Roman" w:cs="Times New Roman"/>
          <w:sz w:val="24"/>
          <w:szCs w:val="24"/>
          <w:lang w:val="en-US"/>
        </w:rPr>
        <w:t xml:space="preserve"> </w:t>
      </w:r>
      <w:proofErr w:type="spellStart"/>
      <w:r w:rsidR="00CD1E25" w:rsidRPr="007720BC">
        <w:rPr>
          <w:rFonts w:ascii="Times New Roman" w:hAnsi="Times New Roman" w:cs="Times New Roman"/>
          <w:sz w:val="24"/>
          <w:szCs w:val="24"/>
          <w:lang w:val="en-US"/>
        </w:rPr>
        <w:t>memberikan</w:t>
      </w:r>
      <w:proofErr w:type="spellEnd"/>
      <w:r w:rsidR="00CD1E25" w:rsidRPr="007720BC">
        <w:rPr>
          <w:rFonts w:ascii="Times New Roman" w:hAnsi="Times New Roman" w:cs="Times New Roman"/>
          <w:sz w:val="24"/>
          <w:szCs w:val="24"/>
          <w:lang w:val="en-US"/>
        </w:rPr>
        <w:t xml:space="preserve"> </w:t>
      </w:r>
      <w:proofErr w:type="spellStart"/>
      <w:r w:rsidR="00CD1E25" w:rsidRPr="007720BC">
        <w:rPr>
          <w:rFonts w:ascii="Times New Roman" w:hAnsi="Times New Roman" w:cs="Times New Roman"/>
          <w:sz w:val="24"/>
          <w:szCs w:val="24"/>
          <w:lang w:val="en-US"/>
        </w:rPr>
        <w:t>sosialisasi</w:t>
      </w:r>
      <w:proofErr w:type="spellEnd"/>
      <w:r w:rsidR="00CD1E25" w:rsidRPr="007720BC">
        <w:rPr>
          <w:rFonts w:ascii="Times New Roman" w:hAnsi="Times New Roman" w:cs="Times New Roman"/>
          <w:sz w:val="24"/>
          <w:szCs w:val="24"/>
          <w:lang w:val="en-US"/>
        </w:rPr>
        <w:t xml:space="preserve"> dan </w:t>
      </w:r>
      <w:proofErr w:type="spellStart"/>
      <w:r w:rsidR="00CD1E25" w:rsidRPr="007720BC">
        <w:rPr>
          <w:rFonts w:ascii="Times New Roman" w:hAnsi="Times New Roman" w:cs="Times New Roman"/>
          <w:sz w:val="24"/>
          <w:szCs w:val="24"/>
        </w:rPr>
        <w:t>komunikasi</w:t>
      </w:r>
      <w:proofErr w:type="spellEnd"/>
      <w:r w:rsidR="00CD1E25" w:rsidRPr="007720BC">
        <w:rPr>
          <w:rFonts w:ascii="Times New Roman" w:hAnsi="Times New Roman" w:cs="Times New Roman"/>
          <w:sz w:val="24"/>
          <w:szCs w:val="24"/>
        </w:rPr>
        <w:t xml:space="preserve"> </w:t>
      </w:r>
      <w:proofErr w:type="spellStart"/>
      <w:r w:rsidR="00CD1E25" w:rsidRPr="007720BC">
        <w:rPr>
          <w:rFonts w:ascii="Times New Roman" w:hAnsi="Times New Roman" w:cs="Times New Roman"/>
          <w:sz w:val="24"/>
          <w:szCs w:val="24"/>
          <w:lang w:val="en-US"/>
        </w:rPr>
        <w:t>dalam</w:t>
      </w:r>
      <w:proofErr w:type="spellEnd"/>
      <w:r w:rsidR="00CD1E25" w:rsidRPr="007720BC">
        <w:rPr>
          <w:rFonts w:ascii="Times New Roman" w:hAnsi="Times New Roman" w:cs="Times New Roman"/>
          <w:sz w:val="24"/>
          <w:szCs w:val="24"/>
          <w:lang w:val="en-US"/>
        </w:rPr>
        <w:t xml:space="preserve"> </w:t>
      </w:r>
      <w:proofErr w:type="spellStart"/>
      <w:r w:rsidR="00CD1E25" w:rsidRPr="007720BC">
        <w:rPr>
          <w:rFonts w:ascii="Times New Roman" w:hAnsi="Times New Roman" w:cs="Times New Roman"/>
          <w:sz w:val="24"/>
          <w:szCs w:val="24"/>
          <w:lang w:val="en-US"/>
        </w:rPr>
        <w:t>upaya</w:t>
      </w:r>
      <w:proofErr w:type="spellEnd"/>
      <w:r w:rsidR="00CD1E25" w:rsidRPr="007720BC">
        <w:rPr>
          <w:rFonts w:ascii="Times New Roman" w:hAnsi="Times New Roman" w:cs="Times New Roman"/>
          <w:sz w:val="24"/>
          <w:szCs w:val="24"/>
          <w:lang w:val="en-US"/>
        </w:rPr>
        <w:t xml:space="preserve"> </w:t>
      </w:r>
      <w:proofErr w:type="spellStart"/>
      <w:r w:rsidR="00CD1E25" w:rsidRPr="007720BC">
        <w:rPr>
          <w:rFonts w:ascii="Times New Roman" w:hAnsi="Times New Roman" w:cs="Times New Roman"/>
          <w:sz w:val="24"/>
          <w:szCs w:val="24"/>
          <w:lang w:val="en-US"/>
        </w:rPr>
        <w:t>merubah</w:t>
      </w:r>
      <w:proofErr w:type="spellEnd"/>
      <w:r w:rsidR="00CD1E25" w:rsidRPr="007720BC">
        <w:rPr>
          <w:rFonts w:ascii="Times New Roman" w:hAnsi="Times New Roman" w:cs="Times New Roman"/>
          <w:sz w:val="24"/>
          <w:szCs w:val="24"/>
          <w:lang w:val="en-US"/>
        </w:rPr>
        <w:t xml:space="preserve"> </w:t>
      </w:r>
      <w:proofErr w:type="spellStart"/>
      <w:r w:rsidR="00CD1E25" w:rsidRPr="007720BC">
        <w:rPr>
          <w:rFonts w:ascii="Times New Roman" w:hAnsi="Times New Roman" w:cs="Times New Roman"/>
          <w:sz w:val="24"/>
          <w:szCs w:val="24"/>
        </w:rPr>
        <w:t>perilaku</w:t>
      </w:r>
      <w:proofErr w:type="spellEnd"/>
      <w:r w:rsidR="00CD1E25" w:rsidRPr="007720BC">
        <w:rPr>
          <w:rFonts w:ascii="Times New Roman" w:hAnsi="Times New Roman" w:cs="Times New Roman"/>
          <w:sz w:val="24"/>
          <w:szCs w:val="24"/>
        </w:rPr>
        <w:t xml:space="preserve"> </w:t>
      </w:r>
      <w:proofErr w:type="spellStart"/>
      <w:r w:rsidR="00CD1E25" w:rsidRPr="007720BC">
        <w:rPr>
          <w:rFonts w:ascii="Times New Roman" w:hAnsi="Times New Roman" w:cs="Times New Roman"/>
          <w:sz w:val="24"/>
          <w:szCs w:val="24"/>
        </w:rPr>
        <w:t>masyarakat</w:t>
      </w:r>
      <w:proofErr w:type="spellEnd"/>
      <w:r w:rsidR="00CD1E25" w:rsidRPr="007720BC">
        <w:rPr>
          <w:rFonts w:ascii="Times New Roman" w:hAnsi="Times New Roman" w:cs="Times New Roman"/>
          <w:sz w:val="24"/>
          <w:szCs w:val="24"/>
          <w:lang w:val="en-US"/>
        </w:rPr>
        <w:t xml:space="preserve"> </w:t>
      </w:r>
      <w:proofErr w:type="spellStart"/>
      <w:r w:rsidR="00CD1E25" w:rsidRPr="007720BC">
        <w:rPr>
          <w:rFonts w:ascii="Times New Roman" w:hAnsi="Times New Roman" w:cs="Times New Roman"/>
          <w:sz w:val="24"/>
          <w:szCs w:val="24"/>
          <w:lang w:val="en-US"/>
        </w:rPr>
        <w:t>untuk</w:t>
      </w:r>
      <w:proofErr w:type="spellEnd"/>
      <w:r w:rsidR="00CD1E25" w:rsidRPr="007720BC">
        <w:rPr>
          <w:rFonts w:ascii="Times New Roman" w:hAnsi="Times New Roman" w:cs="Times New Roman"/>
          <w:sz w:val="24"/>
          <w:szCs w:val="24"/>
          <w:lang w:val="en-US"/>
        </w:rPr>
        <w:t xml:space="preserve"> </w:t>
      </w:r>
      <w:proofErr w:type="spellStart"/>
      <w:r w:rsidR="00CD1E25" w:rsidRPr="007720BC">
        <w:rPr>
          <w:rFonts w:ascii="Times New Roman" w:hAnsi="Times New Roman" w:cs="Times New Roman"/>
          <w:sz w:val="24"/>
          <w:szCs w:val="24"/>
          <w:lang w:val="en-US"/>
        </w:rPr>
        <w:t>hidup</w:t>
      </w:r>
      <w:proofErr w:type="spellEnd"/>
      <w:r w:rsidR="00CD1E25" w:rsidRPr="007720BC">
        <w:rPr>
          <w:rFonts w:ascii="Times New Roman" w:hAnsi="Times New Roman" w:cs="Times New Roman"/>
          <w:sz w:val="24"/>
          <w:szCs w:val="24"/>
          <w:lang w:val="en-US"/>
        </w:rPr>
        <w:t xml:space="preserve"> </w:t>
      </w:r>
      <w:proofErr w:type="spellStart"/>
      <w:r w:rsidR="00CD1E25" w:rsidRPr="007720BC">
        <w:rPr>
          <w:rFonts w:ascii="Times New Roman" w:hAnsi="Times New Roman" w:cs="Times New Roman"/>
          <w:sz w:val="24"/>
          <w:szCs w:val="24"/>
          <w:lang w:val="en-US"/>
        </w:rPr>
        <w:t>sehat</w:t>
      </w:r>
      <w:proofErr w:type="spellEnd"/>
      <w:r w:rsidR="00CD1E25" w:rsidRPr="007720BC">
        <w:rPr>
          <w:rFonts w:ascii="Times New Roman" w:hAnsi="Times New Roman" w:cs="Times New Roman"/>
          <w:sz w:val="24"/>
          <w:szCs w:val="24"/>
          <w:lang w:val="en-US"/>
        </w:rPr>
        <w:t xml:space="preserve"> dan </w:t>
      </w:r>
      <w:proofErr w:type="spellStart"/>
      <w:r w:rsidR="00CD1E25" w:rsidRPr="007720BC">
        <w:rPr>
          <w:rFonts w:ascii="Times New Roman" w:hAnsi="Times New Roman" w:cs="Times New Roman"/>
          <w:sz w:val="24"/>
          <w:szCs w:val="24"/>
          <w:lang w:val="en-US"/>
        </w:rPr>
        <w:t>bersih</w:t>
      </w:r>
      <w:proofErr w:type="spellEnd"/>
      <w:r w:rsidRPr="007720BC">
        <w:rPr>
          <w:rFonts w:ascii="Times New Roman" w:hAnsi="Times New Roman" w:cs="Times New Roman"/>
          <w:sz w:val="24"/>
          <w:szCs w:val="24"/>
          <w:lang w:val="en-US"/>
        </w:rPr>
        <w:t>.</w:t>
      </w:r>
      <w:r w:rsidR="000D7D4D" w:rsidRPr="007720BC">
        <w:rPr>
          <w:rFonts w:ascii="Times New Roman" w:hAnsi="Times New Roman" w:cs="Times New Roman"/>
          <w:sz w:val="24"/>
          <w:szCs w:val="24"/>
          <w:lang w:val="en-US"/>
        </w:rPr>
        <w:t xml:space="preserve"> Hal </w:t>
      </w:r>
      <w:proofErr w:type="spellStart"/>
      <w:r w:rsidR="000D7D4D" w:rsidRPr="007720BC">
        <w:rPr>
          <w:rFonts w:ascii="Times New Roman" w:hAnsi="Times New Roman" w:cs="Times New Roman"/>
          <w:sz w:val="24"/>
          <w:szCs w:val="24"/>
          <w:lang w:val="en-US"/>
        </w:rPr>
        <w:t>ini</w:t>
      </w:r>
      <w:proofErr w:type="spellEnd"/>
      <w:r w:rsidR="000D7D4D" w:rsidRPr="007720BC">
        <w:rPr>
          <w:rFonts w:ascii="Times New Roman" w:hAnsi="Times New Roman" w:cs="Times New Roman"/>
          <w:sz w:val="24"/>
          <w:szCs w:val="24"/>
          <w:lang w:val="en-US"/>
        </w:rPr>
        <w:t xml:space="preserve"> </w:t>
      </w:r>
      <w:proofErr w:type="spellStart"/>
      <w:r w:rsidR="000D7D4D" w:rsidRPr="007720BC">
        <w:rPr>
          <w:rFonts w:ascii="Times New Roman" w:hAnsi="Times New Roman" w:cs="Times New Roman"/>
          <w:sz w:val="24"/>
          <w:szCs w:val="24"/>
          <w:lang w:val="en-US"/>
        </w:rPr>
        <w:t>menunjukkan</w:t>
      </w:r>
      <w:proofErr w:type="spellEnd"/>
      <w:r w:rsidR="000D7D4D" w:rsidRPr="007720BC">
        <w:rPr>
          <w:rFonts w:ascii="Times New Roman" w:hAnsi="Times New Roman" w:cs="Times New Roman"/>
          <w:sz w:val="24"/>
          <w:szCs w:val="24"/>
          <w:lang w:val="en-US"/>
        </w:rPr>
        <w:t xml:space="preserve"> </w:t>
      </w:r>
      <w:proofErr w:type="spellStart"/>
      <w:r w:rsidR="000D7D4D" w:rsidRPr="007720BC">
        <w:rPr>
          <w:rFonts w:ascii="Times New Roman" w:hAnsi="Times New Roman" w:cs="Times New Roman"/>
          <w:sz w:val="24"/>
          <w:szCs w:val="24"/>
          <w:lang w:val="en-US"/>
        </w:rPr>
        <w:t>adanya</w:t>
      </w:r>
      <w:proofErr w:type="spellEnd"/>
      <w:r w:rsidR="000D7D4D" w:rsidRPr="007720BC">
        <w:rPr>
          <w:rFonts w:ascii="Times New Roman" w:hAnsi="Times New Roman" w:cs="Times New Roman"/>
          <w:sz w:val="24"/>
          <w:szCs w:val="24"/>
          <w:lang w:val="en-US"/>
        </w:rPr>
        <w:t xml:space="preserve"> </w:t>
      </w:r>
      <w:proofErr w:type="spellStart"/>
      <w:r w:rsidR="000D7D4D" w:rsidRPr="007720BC">
        <w:rPr>
          <w:rFonts w:ascii="Times New Roman" w:hAnsi="Times New Roman" w:cs="Times New Roman"/>
          <w:sz w:val="24"/>
          <w:szCs w:val="24"/>
          <w:lang w:val="en-US"/>
        </w:rPr>
        <w:t>komitmen</w:t>
      </w:r>
      <w:proofErr w:type="spellEnd"/>
      <w:r w:rsidR="000D7D4D" w:rsidRPr="007720BC">
        <w:rPr>
          <w:rFonts w:ascii="Times New Roman" w:hAnsi="Times New Roman" w:cs="Times New Roman"/>
          <w:sz w:val="24"/>
          <w:szCs w:val="24"/>
          <w:lang w:val="en-US"/>
        </w:rPr>
        <w:t xml:space="preserve"> </w:t>
      </w:r>
      <w:proofErr w:type="spellStart"/>
      <w:r w:rsidR="000D7D4D" w:rsidRPr="007720BC">
        <w:rPr>
          <w:rFonts w:ascii="Times New Roman" w:hAnsi="Times New Roman" w:cs="Times New Roman"/>
          <w:sz w:val="24"/>
          <w:szCs w:val="24"/>
          <w:lang w:val="en-US"/>
        </w:rPr>
        <w:t>bersama</w:t>
      </w:r>
      <w:proofErr w:type="spellEnd"/>
      <w:r w:rsidR="000D7D4D" w:rsidRPr="007720BC">
        <w:rPr>
          <w:rFonts w:ascii="Times New Roman" w:hAnsi="Times New Roman" w:cs="Times New Roman"/>
          <w:sz w:val="24"/>
          <w:szCs w:val="24"/>
          <w:lang w:val="en-US"/>
        </w:rPr>
        <w:t xml:space="preserve"> para stakeholder multi </w:t>
      </w:r>
      <w:proofErr w:type="spellStart"/>
      <w:r w:rsidR="000D7D4D" w:rsidRPr="007720BC">
        <w:rPr>
          <w:rFonts w:ascii="Times New Roman" w:hAnsi="Times New Roman" w:cs="Times New Roman"/>
          <w:sz w:val="24"/>
          <w:szCs w:val="24"/>
          <w:lang w:val="en-US"/>
        </w:rPr>
        <w:t>sektor</w:t>
      </w:r>
      <w:proofErr w:type="spellEnd"/>
      <w:r w:rsidR="000D7D4D" w:rsidRPr="007720BC">
        <w:rPr>
          <w:rFonts w:ascii="Times New Roman" w:hAnsi="Times New Roman" w:cs="Times New Roman"/>
          <w:sz w:val="24"/>
          <w:szCs w:val="24"/>
          <w:lang w:val="en-US"/>
        </w:rPr>
        <w:t xml:space="preserve">. di Kampung KB Desa </w:t>
      </w:r>
      <w:proofErr w:type="spellStart"/>
      <w:r w:rsidR="000D7D4D" w:rsidRPr="007720BC">
        <w:rPr>
          <w:rFonts w:ascii="Times New Roman" w:hAnsi="Times New Roman" w:cs="Times New Roman"/>
          <w:sz w:val="24"/>
          <w:szCs w:val="24"/>
          <w:lang w:val="en-US"/>
        </w:rPr>
        <w:t>Mongpok</w:t>
      </w:r>
      <w:proofErr w:type="spellEnd"/>
      <w:r w:rsidR="000D7D4D" w:rsidRPr="007720BC">
        <w:rPr>
          <w:rFonts w:ascii="Times New Roman" w:hAnsi="Times New Roman" w:cs="Times New Roman"/>
          <w:sz w:val="24"/>
          <w:szCs w:val="24"/>
          <w:lang w:val="en-US"/>
        </w:rPr>
        <w:t xml:space="preserve">. </w:t>
      </w:r>
    </w:p>
    <w:p w14:paraId="6C42C32E" w14:textId="6C3ADEF5" w:rsidR="0085242A" w:rsidRPr="007720BC" w:rsidRDefault="00E3066F" w:rsidP="004A74AF">
      <w:pPr>
        <w:shd w:val="clear" w:color="auto" w:fill="FFFFFF"/>
        <w:spacing w:after="0" w:line="240" w:lineRule="auto"/>
        <w:ind w:firstLine="567"/>
        <w:contextualSpacing/>
        <w:jc w:val="both"/>
        <w:textAlignment w:val="baseline"/>
        <w:rPr>
          <w:rStyle w:val="rynqvb"/>
          <w:rFonts w:ascii="Times New Roman" w:hAnsi="Times New Roman" w:cs="Times New Roman"/>
          <w:sz w:val="24"/>
          <w:szCs w:val="24"/>
          <w:lang w:val="en-US"/>
        </w:rPr>
      </w:pPr>
      <w:proofErr w:type="spellStart"/>
      <w:r w:rsidRPr="007720BC">
        <w:rPr>
          <w:rFonts w:ascii="Times New Roman" w:hAnsi="Times New Roman" w:cs="Times New Roman"/>
          <w:sz w:val="24"/>
          <w:szCs w:val="24"/>
          <w:lang w:val="en-US"/>
        </w:rPr>
        <w:t>Konteks</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penelitian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menunjukkan</w:t>
      </w:r>
      <w:proofErr w:type="spellEnd"/>
      <w:r w:rsidRPr="007720BC">
        <w:rPr>
          <w:rFonts w:ascii="Times New Roman" w:hAnsi="Times New Roman" w:cs="Times New Roman"/>
          <w:sz w:val="24"/>
          <w:szCs w:val="24"/>
          <w:lang w:val="en-US"/>
        </w:rPr>
        <w:t xml:space="preserve">, </w:t>
      </w:r>
      <w:proofErr w:type="spellStart"/>
      <w:r w:rsidR="00D431E6" w:rsidRPr="007720BC">
        <w:rPr>
          <w:rFonts w:ascii="Times New Roman" w:hAnsi="Times New Roman" w:cs="Times New Roman"/>
          <w:sz w:val="24"/>
          <w:szCs w:val="24"/>
          <w:lang w:val="en-US"/>
        </w:rPr>
        <w:t>inovasi</w:t>
      </w:r>
      <w:proofErr w:type="spellEnd"/>
      <w:r w:rsidR="00D431E6" w:rsidRPr="007720BC">
        <w:rPr>
          <w:rFonts w:ascii="Times New Roman" w:hAnsi="Times New Roman" w:cs="Times New Roman"/>
          <w:sz w:val="24"/>
          <w:szCs w:val="24"/>
          <w:lang w:val="en-US"/>
        </w:rPr>
        <w:t xml:space="preserve"> </w:t>
      </w:r>
      <w:proofErr w:type="spellStart"/>
      <w:r w:rsidR="00D431E6" w:rsidRPr="007720BC">
        <w:rPr>
          <w:rFonts w:ascii="Times New Roman" w:hAnsi="Times New Roman" w:cs="Times New Roman"/>
          <w:sz w:val="24"/>
          <w:szCs w:val="24"/>
          <w:lang w:val="en-US"/>
        </w:rPr>
        <w:t>d</w:t>
      </w:r>
      <w:r w:rsidR="0085242A" w:rsidRPr="007720BC">
        <w:rPr>
          <w:rStyle w:val="rynqvb"/>
          <w:rFonts w:ascii="Times New Roman" w:hAnsi="Times New Roman" w:cs="Times New Roman"/>
          <w:sz w:val="24"/>
          <w:szCs w:val="24"/>
          <w:lang w:val="en-US"/>
        </w:rPr>
        <w:t>apat</w:t>
      </w:r>
      <w:proofErr w:type="spellEnd"/>
      <w:r w:rsidR="0085242A" w:rsidRPr="007720BC">
        <w:rPr>
          <w:rStyle w:val="rynqvb"/>
          <w:rFonts w:ascii="Times New Roman" w:hAnsi="Times New Roman" w:cs="Times New Roman"/>
          <w:sz w:val="24"/>
          <w:szCs w:val="24"/>
          <w:lang w:val="en-US"/>
        </w:rPr>
        <w:t xml:space="preserve"> </w:t>
      </w:r>
      <w:proofErr w:type="spellStart"/>
      <w:r w:rsidR="0085242A" w:rsidRPr="007720BC">
        <w:rPr>
          <w:rStyle w:val="rynqvb"/>
          <w:rFonts w:ascii="Times New Roman" w:hAnsi="Times New Roman" w:cs="Times New Roman"/>
          <w:sz w:val="24"/>
          <w:szCs w:val="24"/>
          <w:lang w:val="en-US"/>
        </w:rPr>
        <w:t>mendorong</w:t>
      </w:r>
      <w:proofErr w:type="spellEnd"/>
      <w:r w:rsidR="0085242A" w:rsidRPr="007720BC">
        <w:rPr>
          <w:rStyle w:val="rynqvb"/>
          <w:rFonts w:ascii="Times New Roman" w:hAnsi="Times New Roman" w:cs="Times New Roman"/>
          <w:sz w:val="24"/>
          <w:szCs w:val="24"/>
          <w:lang w:val="en-US"/>
        </w:rPr>
        <w:t xml:space="preserve"> </w:t>
      </w:r>
      <w:proofErr w:type="spellStart"/>
      <w:r w:rsidR="0085242A" w:rsidRPr="007720BC">
        <w:rPr>
          <w:rStyle w:val="rynqvb"/>
          <w:rFonts w:ascii="Times New Roman" w:hAnsi="Times New Roman" w:cs="Times New Roman"/>
          <w:sz w:val="24"/>
          <w:szCs w:val="24"/>
          <w:lang w:val="en-US"/>
        </w:rPr>
        <w:t>peningkatan</w:t>
      </w:r>
      <w:proofErr w:type="spellEnd"/>
      <w:r w:rsidR="0085242A" w:rsidRPr="007720BC">
        <w:rPr>
          <w:rStyle w:val="rynqvb"/>
          <w:rFonts w:ascii="Times New Roman" w:hAnsi="Times New Roman" w:cs="Times New Roman"/>
          <w:sz w:val="24"/>
          <w:szCs w:val="24"/>
          <w:lang w:val="en-US"/>
        </w:rPr>
        <w:t xml:space="preserve"> </w:t>
      </w:r>
      <w:r w:rsidR="0085242A" w:rsidRPr="007720BC">
        <w:rPr>
          <w:rStyle w:val="rynqvb"/>
          <w:rFonts w:ascii="Times New Roman" w:hAnsi="Times New Roman" w:cs="Times New Roman"/>
          <w:sz w:val="24"/>
          <w:szCs w:val="24"/>
          <w:lang w:val="id-ID"/>
        </w:rPr>
        <w:t xml:space="preserve">pengetahuan </w:t>
      </w:r>
      <w:proofErr w:type="spellStart"/>
      <w:r w:rsidR="0085242A" w:rsidRPr="007720BC">
        <w:rPr>
          <w:rStyle w:val="rynqvb"/>
          <w:rFonts w:ascii="Times New Roman" w:hAnsi="Times New Roman" w:cs="Times New Roman"/>
          <w:sz w:val="24"/>
          <w:szCs w:val="24"/>
          <w:lang w:val="en-US"/>
        </w:rPr>
        <w:t>masyarakat</w:t>
      </w:r>
      <w:proofErr w:type="spellEnd"/>
      <w:r w:rsidR="0085242A" w:rsidRPr="007720BC">
        <w:rPr>
          <w:rStyle w:val="rynqvb"/>
          <w:rFonts w:ascii="Times New Roman" w:hAnsi="Times New Roman" w:cs="Times New Roman"/>
          <w:sz w:val="24"/>
          <w:szCs w:val="24"/>
          <w:lang w:val="en-US"/>
        </w:rPr>
        <w:t xml:space="preserve"> </w:t>
      </w:r>
      <w:r w:rsidR="0085242A" w:rsidRPr="007720BC">
        <w:rPr>
          <w:rStyle w:val="rynqvb"/>
          <w:rFonts w:ascii="Times New Roman" w:hAnsi="Times New Roman" w:cs="Times New Roman"/>
          <w:sz w:val="24"/>
          <w:szCs w:val="24"/>
          <w:lang w:val="id-ID"/>
        </w:rPr>
        <w:t>khusus</w:t>
      </w:r>
      <w:proofErr w:type="spellStart"/>
      <w:r w:rsidR="0085242A" w:rsidRPr="007720BC">
        <w:rPr>
          <w:rStyle w:val="rynqvb"/>
          <w:rFonts w:ascii="Times New Roman" w:hAnsi="Times New Roman" w:cs="Times New Roman"/>
          <w:sz w:val="24"/>
          <w:szCs w:val="24"/>
          <w:lang w:val="en-US"/>
        </w:rPr>
        <w:t>nya</w:t>
      </w:r>
      <w:proofErr w:type="spellEnd"/>
      <w:r w:rsidR="0085242A" w:rsidRPr="007720BC">
        <w:rPr>
          <w:rStyle w:val="rynqvb"/>
          <w:rFonts w:ascii="Times New Roman" w:hAnsi="Times New Roman" w:cs="Times New Roman"/>
          <w:sz w:val="24"/>
          <w:szCs w:val="24"/>
          <w:lang w:val="id-ID"/>
        </w:rPr>
        <w:t xml:space="preserve"> tentang asupan gizi berkualitas</w:t>
      </w:r>
      <w:r w:rsidR="0085242A" w:rsidRPr="007720BC">
        <w:rPr>
          <w:rStyle w:val="rynqvb"/>
          <w:rFonts w:ascii="Times New Roman" w:hAnsi="Times New Roman" w:cs="Times New Roman"/>
          <w:sz w:val="24"/>
          <w:szCs w:val="24"/>
          <w:lang w:val="en-US"/>
        </w:rPr>
        <w:t xml:space="preserve"> </w:t>
      </w:r>
      <w:r w:rsidR="0085242A" w:rsidRPr="007720BC">
        <w:rPr>
          <w:rStyle w:val="rynqvb"/>
          <w:rFonts w:ascii="Times New Roman" w:hAnsi="Times New Roman" w:cs="Times New Roman"/>
          <w:sz w:val="24"/>
          <w:szCs w:val="24"/>
          <w:lang w:val="id-ID"/>
        </w:rPr>
        <w:t>dengan memanfaatkan sumber daya alam yang tersedia</w:t>
      </w:r>
      <w:r w:rsidR="0085242A" w:rsidRPr="007720BC">
        <w:rPr>
          <w:rStyle w:val="rynqvb"/>
          <w:rFonts w:ascii="Times New Roman" w:hAnsi="Times New Roman" w:cs="Times New Roman"/>
          <w:sz w:val="24"/>
          <w:szCs w:val="24"/>
          <w:lang w:val="en-US"/>
        </w:rPr>
        <w:t xml:space="preserve"> </w:t>
      </w:r>
      <w:r w:rsidR="0085242A" w:rsidRPr="007720BC">
        <w:rPr>
          <w:rStyle w:val="rynqvb"/>
          <w:rFonts w:ascii="Times New Roman" w:hAnsi="Times New Roman" w:cs="Times New Roman"/>
          <w:sz w:val="24"/>
          <w:szCs w:val="24"/>
          <w:lang w:val="en-US"/>
        </w:rPr>
        <w:fldChar w:fldCharType="begin" w:fldLock="1"/>
      </w:r>
      <w:r w:rsidR="00840655" w:rsidRPr="007720BC">
        <w:rPr>
          <w:rStyle w:val="rynqvb"/>
          <w:rFonts w:ascii="Times New Roman" w:hAnsi="Times New Roman" w:cs="Times New Roman"/>
          <w:sz w:val="24"/>
          <w:szCs w:val="24"/>
          <w:lang w:val="en-US"/>
        </w:rPr>
        <w:instrText>ADDIN CSL_CITATION {"citationItems":[{"id":"ITEM-1","itemData":{"abstract":"This study aims to analyze the implementation of stunting prevention policies in Solok Selatan Regency. This study uses a descriptive qualitative approach with primary and secondary data. This research was carried out in Solok Selatan Regency, to be precise, in all Regional Apparatus Organizations (OPDs) involved in preventing malnutrition. Data collection techniques were carried out through interviews and documentation. The results of the study show that stunting prevention policies are implemented by all OPDs based on their authority. However, this policy has not succeeded in realizing the achievement of policy objectives. This is due to economic, and educational factors, low communication and cooperation between OPDs, and the absence of system development by the regional government. This study concludes that local governments need to formulate local policies that can boost the people's economy. In the educational aspect, innovation programs to increase specific knowledge about quality nutritional intake are needed which can be developed by utilizing available natural resources. Meanwhile, in the bureaucratic aspect, it is necessary to increase the joint commitment of OPDs and open bureaucratic resources between OPDs to implement stunting prevention policies.","author":[{"dropping-particle":"","family":"Suci","given":"Elsa Wulan","non-dropping-particle":"","parse-names":false,"suffix":""},{"dropping-particle":"","family":"Yusran","given":"Rahmadani","non-dropping-particle":"","parse-names":false,"suffix":""},{"dropping-particle":"","family":"Adnan","given":"M Fachri","non-dropping-particle":"","parse-names":false,"suffix":""},{"dropping-particle":"","family":"Alhadi","given":"Zikri","non-dropping-particle":"","parse-names":false,"suffix":""}],"container-title":"Science and Environmental Journals for Postgraduate","id":"ITEM-1","issue":"2","issued":{"date-parts":[["2023"]]},"page":"127-132","title":"Policy Implementation of Stunting Prevention in Solok Selatan Regency","type":"article-journal","volume":"5"},"uris":["http://www.mendeley.com/documents/?uuid=ba4d6d94-83fd-4b86-a89e-7cae28e925a9"]}],"mendeley":{"formattedCitation":"(Suci et al. 2023)","plainTextFormattedCitation":"(Suci et al. 2023)","previouslyFormattedCitation":"(Suci et al. 2023)"},"properties":{"noteIndex":0},"schema":"https://github.com/citation-style-language/schema/raw/master/csl-citation.json"}</w:instrText>
      </w:r>
      <w:r w:rsidR="0085242A" w:rsidRPr="007720BC">
        <w:rPr>
          <w:rStyle w:val="rynqvb"/>
          <w:rFonts w:ascii="Times New Roman" w:hAnsi="Times New Roman" w:cs="Times New Roman"/>
          <w:sz w:val="24"/>
          <w:szCs w:val="24"/>
          <w:lang w:val="en-US"/>
        </w:rPr>
        <w:fldChar w:fldCharType="separate"/>
      </w:r>
      <w:r w:rsidR="0085242A" w:rsidRPr="007720BC">
        <w:rPr>
          <w:rStyle w:val="rynqvb"/>
          <w:rFonts w:ascii="Times New Roman" w:hAnsi="Times New Roman" w:cs="Times New Roman"/>
          <w:noProof/>
          <w:sz w:val="24"/>
          <w:szCs w:val="24"/>
          <w:lang w:val="en-US"/>
        </w:rPr>
        <w:t>(Suci et al. 2023)</w:t>
      </w:r>
      <w:r w:rsidR="0085242A" w:rsidRPr="007720BC">
        <w:rPr>
          <w:rStyle w:val="rynqvb"/>
          <w:rFonts w:ascii="Times New Roman" w:hAnsi="Times New Roman" w:cs="Times New Roman"/>
          <w:sz w:val="24"/>
          <w:szCs w:val="24"/>
          <w:lang w:val="en-US"/>
        </w:rPr>
        <w:fldChar w:fldCharType="end"/>
      </w:r>
      <w:r w:rsidR="0085242A" w:rsidRPr="007720BC">
        <w:rPr>
          <w:rStyle w:val="rynqvb"/>
          <w:rFonts w:ascii="Times New Roman" w:hAnsi="Times New Roman" w:cs="Times New Roman"/>
          <w:sz w:val="24"/>
          <w:szCs w:val="24"/>
          <w:lang w:val="en-US"/>
        </w:rPr>
        <w:t xml:space="preserve">. </w:t>
      </w:r>
      <w:r w:rsidR="004A74AF" w:rsidRPr="007720BC">
        <w:rPr>
          <w:rStyle w:val="rynqvb"/>
          <w:rFonts w:ascii="Times New Roman" w:hAnsi="Times New Roman" w:cs="Times New Roman"/>
          <w:sz w:val="24"/>
          <w:szCs w:val="24"/>
          <w:lang w:val="en-US"/>
        </w:rPr>
        <w:t xml:space="preserve">Dalam </w:t>
      </w:r>
      <w:proofErr w:type="spellStart"/>
      <w:r w:rsidR="004A74AF" w:rsidRPr="007720BC">
        <w:rPr>
          <w:rStyle w:val="rynqvb"/>
          <w:rFonts w:ascii="Times New Roman" w:hAnsi="Times New Roman" w:cs="Times New Roman"/>
          <w:sz w:val="24"/>
          <w:szCs w:val="24"/>
          <w:lang w:val="en-US"/>
        </w:rPr>
        <w:t>perspektif</w:t>
      </w:r>
      <w:proofErr w:type="spellEnd"/>
      <w:r w:rsidR="009F3721" w:rsidRPr="007720BC">
        <w:rPr>
          <w:rStyle w:val="rynqvb"/>
          <w:rFonts w:ascii="Times New Roman" w:hAnsi="Times New Roman" w:cs="Times New Roman"/>
          <w:sz w:val="24"/>
          <w:szCs w:val="24"/>
          <w:lang w:val="en-US"/>
        </w:rPr>
        <w:t xml:space="preserve"> yang</w:t>
      </w:r>
      <w:r w:rsidR="004A74AF" w:rsidRPr="007720BC">
        <w:rPr>
          <w:rStyle w:val="rynqvb"/>
          <w:rFonts w:ascii="Times New Roman" w:hAnsi="Times New Roman" w:cs="Times New Roman"/>
          <w:sz w:val="24"/>
          <w:szCs w:val="24"/>
          <w:lang w:val="en-US"/>
        </w:rPr>
        <w:t xml:space="preserve"> </w:t>
      </w:r>
      <w:proofErr w:type="spellStart"/>
      <w:r w:rsidR="004A74AF" w:rsidRPr="007720BC">
        <w:rPr>
          <w:rStyle w:val="rynqvb"/>
          <w:rFonts w:ascii="Times New Roman" w:hAnsi="Times New Roman" w:cs="Times New Roman"/>
          <w:sz w:val="24"/>
          <w:szCs w:val="24"/>
          <w:lang w:val="en-US"/>
        </w:rPr>
        <w:t>lebih</w:t>
      </w:r>
      <w:proofErr w:type="spellEnd"/>
      <w:r w:rsidR="004A74AF" w:rsidRPr="007720BC">
        <w:rPr>
          <w:rStyle w:val="rynqvb"/>
          <w:rFonts w:ascii="Times New Roman" w:hAnsi="Times New Roman" w:cs="Times New Roman"/>
          <w:sz w:val="24"/>
          <w:szCs w:val="24"/>
          <w:lang w:val="en-US"/>
        </w:rPr>
        <w:t xml:space="preserve"> </w:t>
      </w:r>
      <w:proofErr w:type="spellStart"/>
      <w:r w:rsidR="004A74AF" w:rsidRPr="007720BC">
        <w:rPr>
          <w:rStyle w:val="rynqvb"/>
          <w:rFonts w:ascii="Times New Roman" w:hAnsi="Times New Roman" w:cs="Times New Roman"/>
          <w:sz w:val="24"/>
          <w:szCs w:val="24"/>
          <w:lang w:val="en-US"/>
        </w:rPr>
        <w:t>luas</w:t>
      </w:r>
      <w:proofErr w:type="spellEnd"/>
      <w:r w:rsidR="004A74AF" w:rsidRPr="007720BC">
        <w:rPr>
          <w:rStyle w:val="rynqvb"/>
          <w:rFonts w:ascii="Times New Roman" w:hAnsi="Times New Roman" w:cs="Times New Roman"/>
          <w:sz w:val="24"/>
          <w:szCs w:val="24"/>
          <w:lang w:val="en-US"/>
        </w:rPr>
        <w:t xml:space="preserve">, </w:t>
      </w:r>
      <w:r w:rsidR="004A74AF" w:rsidRPr="007720BC">
        <w:rPr>
          <w:rStyle w:val="rynqvb"/>
          <w:rFonts w:ascii="Times New Roman" w:hAnsi="Times New Roman" w:cs="Times New Roman"/>
          <w:sz w:val="24"/>
          <w:szCs w:val="24"/>
          <w:lang w:val="en-US"/>
        </w:rPr>
        <w:fldChar w:fldCharType="begin" w:fldLock="1"/>
      </w:r>
      <w:r w:rsidR="008A4451" w:rsidRPr="007720BC">
        <w:rPr>
          <w:rStyle w:val="rynqvb"/>
          <w:rFonts w:ascii="Times New Roman" w:hAnsi="Times New Roman" w:cs="Times New Roman"/>
          <w:sz w:val="24"/>
          <w:szCs w:val="24"/>
          <w:lang w:val="en-US"/>
        </w:rPr>
        <w:instrText>ADDIN CSL_CITATION {"citationItems":[{"id":"ITEM-1","itemData":{"DOI":"10.1080/14719037.2020.1805918","ISSN":"14719045","abstract":"Social Innovation (SI) is receiving considerable attention in the social care field, but much about how SI occurs in this sector is unexplored, especially concerning which actors are involved and in what roles. Thus, this study aimed to contextualize and expand on the current literature on SI, welfare mix, and service innovation by analysing 13 cases of SI experiences in social care in Lombardy, Italy. Findings show that the range of involved actors is wider than expected regarding variety and different roles they play. Namely, the Changemaker and Mastermind-Coordinator roles were crucial in the rise of local-level SI experiences.","author":[{"dropping-particle":"","family":"Notarnicola","given":"ElisabettS","non-dropping-particle":"","parse-names":false,"suffix":""},{"dropping-particle":"","family":"Berloto","given":"Sara","non-dropping-particle":"","parse-names":false,"suffix":""},{"dropping-particle":"","family":"Perobelli","given":"Eleonora","non-dropping-particle":"","parse-names":false,"suffix":""}],"container-title":"Public Management Review","id":"ITEM-1","issued":{"date-parts":[["2020"]]},"page":"1-26","publisher":"Routledge","title":"Social Innovation in Social Care Services: Actors and Roles in the Innovation Process","type":"article-journal"},"uris":["http://www.mendeley.com/documents/?uuid=279fd97e-cc6f-4ed0-b9c0-6e425a92b31c"]}],"mendeley":{"formattedCitation":"(Notarnicola, Berloto, dan Perobelli 2020)","plainTextFormattedCitation":"(Notarnicola, Berloto, dan Perobelli 2020)","previouslyFormattedCitation":"(Notarnicola, Berloto, dan Perobelli 2020)"},"properties":{"noteIndex":0},"schema":"https://github.com/citation-style-language/schema/raw/master/csl-citation.json"}</w:instrText>
      </w:r>
      <w:r w:rsidR="004A74AF" w:rsidRPr="007720BC">
        <w:rPr>
          <w:rStyle w:val="rynqvb"/>
          <w:rFonts w:ascii="Times New Roman" w:hAnsi="Times New Roman" w:cs="Times New Roman"/>
          <w:sz w:val="24"/>
          <w:szCs w:val="24"/>
          <w:lang w:val="en-US"/>
        </w:rPr>
        <w:fldChar w:fldCharType="separate"/>
      </w:r>
      <w:r w:rsidR="004A74AF" w:rsidRPr="007720BC">
        <w:rPr>
          <w:rStyle w:val="rynqvb"/>
          <w:rFonts w:ascii="Times New Roman" w:hAnsi="Times New Roman" w:cs="Times New Roman"/>
          <w:noProof/>
          <w:sz w:val="24"/>
          <w:szCs w:val="24"/>
          <w:lang w:val="en-US"/>
        </w:rPr>
        <w:t>(Notarnicola, Berloto, dan Perobelli 2020)</w:t>
      </w:r>
      <w:r w:rsidR="004A74AF" w:rsidRPr="007720BC">
        <w:rPr>
          <w:rStyle w:val="rynqvb"/>
          <w:rFonts w:ascii="Times New Roman" w:hAnsi="Times New Roman" w:cs="Times New Roman"/>
          <w:sz w:val="24"/>
          <w:szCs w:val="24"/>
          <w:lang w:val="en-US"/>
        </w:rPr>
        <w:fldChar w:fldCharType="end"/>
      </w:r>
      <w:r w:rsidR="004A74AF" w:rsidRPr="007720BC">
        <w:rPr>
          <w:rStyle w:val="rynqvb"/>
          <w:rFonts w:ascii="Times New Roman" w:hAnsi="Times New Roman" w:cs="Times New Roman"/>
          <w:sz w:val="24"/>
          <w:szCs w:val="24"/>
          <w:lang w:val="en-US"/>
        </w:rPr>
        <w:t xml:space="preserve"> </w:t>
      </w:r>
      <w:proofErr w:type="spellStart"/>
      <w:r w:rsidR="004A74AF" w:rsidRPr="007720BC">
        <w:rPr>
          <w:rStyle w:val="rynqvb"/>
          <w:rFonts w:ascii="Times New Roman" w:hAnsi="Times New Roman" w:cs="Times New Roman"/>
          <w:sz w:val="24"/>
          <w:szCs w:val="24"/>
          <w:lang w:val="en-US"/>
        </w:rPr>
        <w:t>mengatakan</w:t>
      </w:r>
      <w:proofErr w:type="spellEnd"/>
      <w:r w:rsidR="004A74AF" w:rsidRPr="007720BC">
        <w:rPr>
          <w:rStyle w:val="rynqvb"/>
          <w:rFonts w:ascii="Times New Roman" w:hAnsi="Times New Roman" w:cs="Times New Roman"/>
          <w:sz w:val="24"/>
          <w:szCs w:val="24"/>
          <w:lang w:val="en-US"/>
        </w:rPr>
        <w:t xml:space="preserve"> </w:t>
      </w:r>
      <w:proofErr w:type="spellStart"/>
      <w:r w:rsidR="004A74AF" w:rsidRPr="007720BC">
        <w:rPr>
          <w:rStyle w:val="rynqvb"/>
          <w:rFonts w:ascii="Times New Roman" w:hAnsi="Times New Roman" w:cs="Times New Roman"/>
          <w:sz w:val="24"/>
          <w:szCs w:val="24"/>
          <w:lang w:val="en-US"/>
        </w:rPr>
        <w:t>bahwa</w:t>
      </w:r>
      <w:proofErr w:type="spellEnd"/>
      <w:r w:rsidR="004A74AF" w:rsidRPr="007720BC">
        <w:rPr>
          <w:rStyle w:val="rynqvb"/>
          <w:rFonts w:ascii="Times New Roman" w:hAnsi="Times New Roman" w:cs="Times New Roman"/>
          <w:sz w:val="24"/>
          <w:szCs w:val="24"/>
          <w:lang w:val="en-US"/>
        </w:rPr>
        <w:t xml:space="preserve"> </w:t>
      </w:r>
      <w:proofErr w:type="spellStart"/>
      <w:r w:rsidR="004A74AF" w:rsidRPr="007720BC">
        <w:rPr>
          <w:rStyle w:val="rynqvb"/>
          <w:rFonts w:ascii="Times New Roman" w:hAnsi="Times New Roman" w:cs="Times New Roman"/>
          <w:sz w:val="24"/>
          <w:szCs w:val="24"/>
          <w:lang w:val="en-US"/>
        </w:rPr>
        <w:t>i</w:t>
      </w:r>
      <w:proofErr w:type="spellEnd"/>
      <w:r w:rsidR="004A74AF" w:rsidRPr="007720BC">
        <w:rPr>
          <w:rStyle w:val="rynqvb"/>
          <w:rFonts w:ascii="Times New Roman" w:hAnsi="Times New Roman" w:cs="Times New Roman"/>
          <w:sz w:val="24"/>
          <w:szCs w:val="24"/>
          <w:lang w:val="id-ID"/>
        </w:rPr>
        <w:t xml:space="preserve">novasi dapat dipromosikan oleh individu dalam </w:t>
      </w:r>
      <w:proofErr w:type="spellStart"/>
      <w:r w:rsidR="004A74AF" w:rsidRPr="007720BC">
        <w:rPr>
          <w:rStyle w:val="rynqvb"/>
          <w:rFonts w:ascii="Times New Roman" w:hAnsi="Times New Roman" w:cs="Times New Roman"/>
          <w:sz w:val="24"/>
          <w:szCs w:val="24"/>
          <w:lang w:val="en-US"/>
        </w:rPr>
        <w:t>berbagai</w:t>
      </w:r>
      <w:proofErr w:type="spellEnd"/>
      <w:r w:rsidR="004A74AF" w:rsidRPr="007720BC">
        <w:rPr>
          <w:rStyle w:val="rynqvb"/>
          <w:rFonts w:ascii="Times New Roman" w:hAnsi="Times New Roman" w:cs="Times New Roman"/>
          <w:sz w:val="24"/>
          <w:szCs w:val="24"/>
          <w:lang w:val="en-US"/>
        </w:rPr>
        <w:t xml:space="preserve"> </w:t>
      </w:r>
      <w:r w:rsidR="004A74AF" w:rsidRPr="007720BC">
        <w:rPr>
          <w:rStyle w:val="rynqvb"/>
          <w:rFonts w:ascii="Times New Roman" w:hAnsi="Times New Roman" w:cs="Times New Roman"/>
          <w:sz w:val="24"/>
          <w:szCs w:val="24"/>
          <w:lang w:val="id-ID"/>
        </w:rPr>
        <w:t xml:space="preserve">bentuk </w:t>
      </w:r>
      <w:proofErr w:type="spellStart"/>
      <w:r w:rsidR="004A74AF" w:rsidRPr="007720BC">
        <w:rPr>
          <w:rStyle w:val="rynqvb"/>
          <w:rFonts w:ascii="Times New Roman" w:hAnsi="Times New Roman" w:cs="Times New Roman"/>
          <w:sz w:val="24"/>
          <w:szCs w:val="24"/>
          <w:lang w:val="en-US"/>
        </w:rPr>
        <w:t>seperti</w:t>
      </w:r>
      <w:proofErr w:type="spellEnd"/>
      <w:r w:rsidR="004A74AF" w:rsidRPr="007720BC">
        <w:rPr>
          <w:rStyle w:val="rynqvb"/>
          <w:rFonts w:ascii="Times New Roman" w:hAnsi="Times New Roman" w:cs="Times New Roman"/>
          <w:sz w:val="24"/>
          <w:szCs w:val="24"/>
          <w:lang w:val="en-US"/>
        </w:rPr>
        <w:t xml:space="preserve"> </w:t>
      </w:r>
      <w:proofErr w:type="spellStart"/>
      <w:r w:rsidR="004A74AF" w:rsidRPr="007720BC">
        <w:rPr>
          <w:rStyle w:val="rynqvb"/>
          <w:rFonts w:ascii="Times New Roman" w:hAnsi="Times New Roman" w:cs="Times New Roman"/>
          <w:sz w:val="24"/>
          <w:szCs w:val="24"/>
          <w:lang w:val="en-US"/>
        </w:rPr>
        <w:t>pelatihan</w:t>
      </w:r>
      <w:proofErr w:type="spellEnd"/>
      <w:r w:rsidR="004A74AF" w:rsidRPr="007720BC">
        <w:rPr>
          <w:rStyle w:val="rynqvb"/>
          <w:rFonts w:ascii="Times New Roman" w:hAnsi="Times New Roman" w:cs="Times New Roman"/>
          <w:sz w:val="24"/>
          <w:szCs w:val="24"/>
          <w:lang w:val="en-US"/>
        </w:rPr>
        <w:t xml:space="preserve"> dan </w:t>
      </w:r>
      <w:proofErr w:type="spellStart"/>
      <w:r w:rsidR="004A74AF" w:rsidRPr="007720BC">
        <w:rPr>
          <w:rStyle w:val="rynqvb"/>
          <w:rFonts w:ascii="Times New Roman" w:hAnsi="Times New Roman" w:cs="Times New Roman"/>
          <w:sz w:val="24"/>
          <w:szCs w:val="24"/>
          <w:lang w:val="en-US"/>
        </w:rPr>
        <w:t>aktivitas</w:t>
      </w:r>
      <w:proofErr w:type="spellEnd"/>
      <w:r w:rsidR="004A74AF" w:rsidRPr="007720BC">
        <w:rPr>
          <w:rStyle w:val="rynqvb"/>
          <w:rFonts w:ascii="Times New Roman" w:hAnsi="Times New Roman" w:cs="Times New Roman"/>
          <w:sz w:val="24"/>
          <w:szCs w:val="24"/>
          <w:lang w:val="en-US"/>
        </w:rPr>
        <w:t xml:space="preserve"> </w:t>
      </w:r>
      <w:r w:rsidR="004A74AF" w:rsidRPr="007720BC">
        <w:rPr>
          <w:rStyle w:val="rynqvb"/>
          <w:rFonts w:ascii="Times New Roman" w:hAnsi="Times New Roman" w:cs="Times New Roman"/>
          <w:sz w:val="24"/>
          <w:szCs w:val="24"/>
          <w:lang w:val="id-ID"/>
        </w:rPr>
        <w:t xml:space="preserve">individu-individu bekerja sama </w:t>
      </w:r>
      <w:proofErr w:type="spellStart"/>
      <w:r w:rsidR="004A74AF" w:rsidRPr="007720BC">
        <w:rPr>
          <w:rStyle w:val="rynqvb"/>
          <w:rFonts w:ascii="Times New Roman" w:hAnsi="Times New Roman" w:cs="Times New Roman"/>
          <w:sz w:val="24"/>
          <w:szCs w:val="24"/>
          <w:lang w:val="en-US"/>
        </w:rPr>
        <w:t>untuk</w:t>
      </w:r>
      <w:proofErr w:type="spellEnd"/>
      <w:r w:rsidR="004A74AF" w:rsidRPr="007720BC">
        <w:rPr>
          <w:rStyle w:val="rynqvb"/>
          <w:rFonts w:ascii="Times New Roman" w:hAnsi="Times New Roman" w:cs="Times New Roman"/>
          <w:sz w:val="24"/>
          <w:szCs w:val="24"/>
          <w:lang w:val="en-US"/>
        </w:rPr>
        <w:t xml:space="preserve"> </w:t>
      </w:r>
      <w:proofErr w:type="spellStart"/>
      <w:r w:rsidR="004A74AF" w:rsidRPr="007720BC">
        <w:rPr>
          <w:rStyle w:val="rynqvb"/>
          <w:rFonts w:ascii="Times New Roman" w:hAnsi="Times New Roman" w:cs="Times New Roman"/>
          <w:sz w:val="24"/>
          <w:szCs w:val="24"/>
          <w:lang w:val="en-US"/>
        </w:rPr>
        <w:t>membawa</w:t>
      </w:r>
      <w:proofErr w:type="spellEnd"/>
      <w:r w:rsidR="004A74AF" w:rsidRPr="007720BC">
        <w:rPr>
          <w:rStyle w:val="rynqvb"/>
          <w:rFonts w:ascii="Times New Roman" w:hAnsi="Times New Roman" w:cs="Times New Roman"/>
          <w:sz w:val="24"/>
          <w:szCs w:val="24"/>
          <w:lang w:val="en-US"/>
        </w:rPr>
        <w:t xml:space="preserve"> </w:t>
      </w:r>
      <w:proofErr w:type="spellStart"/>
      <w:r w:rsidR="004A74AF" w:rsidRPr="007720BC">
        <w:rPr>
          <w:rStyle w:val="rynqvb"/>
          <w:rFonts w:ascii="Times New Roman" w:hAnsi="Times New Roman" w:cs="Times New Roman"/>
          <w:sz w:val="24"/>
          <w:szCs w:val="24"/>
          <w:lang w:val="en-US"/>
        </w:rPr>
        <w:t>membawa</w:t>
      </w:r>
      <w:proofErr w:type="spellEnd"/>
      <w:r w:rsidR="004A74AF" w:rsidRPr="007720BC">
        <w:rPr>
          <w:rStyle w:val="rynqvb"/>
          <w:rFonts w:ascii="Times New Roman" w:hAnsi="Times New Roman" w:cs="Times New Roman"/>
          <w:sz w:val="24"/>
          <w:szCs w:val="24"/>
          <w:lang w:val="en-US"/>
        </w:rPr>
        <w:t xml:space="preserve"> </w:t>
      </w:r>
      <w:r w:rsidR="004A74AF" w:rsidRPr="007720BC">
        <w:rPr>
          <w:rStyle w:val="rynqvb"/>
          <w:rFonts w:ascii="Times New Roman" w:hAnsi="Times New Roman" w:cs="Times New Roman"/>
          <w:sz w:val="24"/>
          <w:szCs w:val="24"/>
          <w:lang w:val="id-ID"/>
        </w:rPr>
        <w:t xml:space="preserve">gagasan, </w:t>
      </w:r>
      <w:r w:rsidR="004A74AF" w:rsidRPr="007720BC">
        <w:rPr>
          <w:rStyle w:val="rynqvb"/>
          <w:rFonts w:ascii="Times New Roman" w:hAnsi="Times New Roman" w:cs="Times New Roman"/>
          <w:sz w:val="24"/>
          <w:szCs w:val="24"/>
          <w:lang w:val="en-US"/>
        </w:rPr>
        <w:t>dan</w:t>
      </w:r>
      <w:r w:rsidR="004A74AF" w:rsidRPr="007720BC">
        <w:rPr>
          <w:rStyle w:val="rynqvb"/>
          <w:rFonts w:ascii="Times New Roman" w:hAnsi="Times New Roman" w:cs="Times New Roman"/>
          <w:sz w:val="24"/>
          <w:szCs w:val="24"/>
          <w:lang w:val="id-ID"/>
        </w:rPr>
        <w:t xml:space="preserve"> dapat berasal dari organisasi sebagai respons terhadap kebutuhan </w:t>
      </w:r>
      <w:r w:rsidR="004A74AF" w:rsidRPr="007720BC">
        <w:rPr>
          <w:rStyle w:val="rynqvb"/>
          <w:rFonts w:ascii="Times New Roman" w:hAnsi="Times New Roman" w:cs="Times New Roman"/>
          <w:sz w:val="24"/>
          <w:szCs w:val="24"/>
          <w:lang w:val="en-US"/>
        </w:rPr>
        <w:t xml:space="preserve">dan </w:t>
      </w:r>
      <w:proofErr w:type="spellStart"/>
      <w:r w:rsidR="004A74AF" w:rsidRPr="007720BC">
        <w:rPr>
          <w:rStyle w:val="rynqvb"/>
          <w:rFonts w:ascii="Times New Roman" w:hAnsi="Times New Roman" w:cs="Times New Roman"/>
          <w:sz w:val="24"/>
          <w:szCs w:val="24"/>
          <w:lang w:val="en-US"/>
        </w:rPr>
        <w:t>permasalahan</w:t>
      </w:r>
      <w:proofErr w:type="spellEnd"/>
      <w:r w:rsidR="004A74AF" w:rsidRPr="007720BC">
        <w:rPr>
          <w:rStyle w:val="rynqvb"/>
          <w:rFonts w:ascii="Times New Roman" w:hAnsi="Times New Roman" w:cs="Times New Roman"/>
          <w:sz w:val="24"/>
          <w:szCs w:val="24"/>
          <w:lang w:val="en-US"/>
        </w:rPr>
        <w:t xml:space="preserve">. Hal </w:t>
      </w:r>
      <w:proofErr w:type="spellStart"/>
      <w:r w:rsidR="004A74AF" w:rsidRPr="007720BC">
        <w:rPr>
          <w:rStyle w:val="rynqvb"/>
          <w:rFonts w:ascii="Times New Roman" w:hAnsi="Times New Roman" w:cs="Times New Roman"/>
          <w:sz w:val="24"/>
          <w:szCs w:val="24"/>
          <w:lang w:val="en-US"/>
        </w:rPr>
        <w:t>ini</w:t>
      </w:r>
      <w:proofErr w:type="spellEnd"/>
      <w:r w:rsidR="004A74AF" w:rsidRPr="007720BC">
        <w:rPr>
          <w:rStyle w:val="rynqvb"/>
          <w:rFonts w:ascii="Times New Roman" w:hAnsi="Times New Roman" w:cs="Times New Roman"/>
          <w:sz w:val="24"/>
          <w:szCs w:val="24"/>
          <w:lang w:val="en-US"/>
        </w:rPr>
        <w:t xml:space="preserve"> </w:t>
      </w:r>
      <w:proofErr w:type="spellStart"/>
      <w:r w:rsidR="004A74AF" w:rsidRPr="007720BC">
        <w:rPr>
          <w:rStyle w:val="rynqvb"/>
          <w:rFonts w:ascii="Times New Roman" w:hAnsi="Times New Roman" w:cs="Times New Roman"/>
          <w:sz w:val="24"/>
          <w:szCs w:val="24"/>
          <w:lang w:val="en-US"/>
        </w:rPr>
        <w:t>sejalan</w:t>
      </w:r>
      <w:proofErr w:type="spellEnd"/>
      <w:r w:rsidR="004A74AF" w:rsidRPr="007720BC">
        <w:rPr>
          <w:rStyle w:val="rynqvb"/>
          <w:rFonts w:ascii="Times New Roman" w:hAnsi="Times New Roman" w:cs="Times New Roman"/>
          <w:sz w:val="24"/>
          <w:szCs w:val="24"/>
          <w:lang w:val="en-US"/>
        </w:rPr>
        <w:t xml:space="preserve"> </w:t>
      </w:r>
      <w:proofErr w:type="spellStart"/>
      <w:r w:rsidR="004A74AF" w:rsidRPr="007720BC">
        <w:rPr>
          <w:rStyle w:val="rynqvb"/>
          <w:rFonts w:ascii="Times New Roman" w:hAnsi="Times New Roman" w:cs="Times New Roman"/>
          <w:sz w:val="24"/>
          <w:szCs w:val="24"/>
          <w:lang w:val="en-US"/>
        </w:rPr>
        <w:t>dengan</w:t>
      </w:r>
      <w:proofErr w:type="spellEnd"/>
      <w:r w:rsidR="004A74AF" w:rsidRPr="007720BC">
        <w:rPr>
          <w:rStyle w:val="rynqvb"/>
          <w:rFonts w:ascii="Times New Roman" w:hAnsi="Times New Roman" w:cs="Times New Roman"/>
          <w:sz w:val="24"/>
          <w:szCs w:val="24"/>
          <w:lang w:val="en-US"/>
        </w:rPr>
        <w:t xml:space="preserve"> </w:t>
      </w:r>
      <w:proofErr w:type="spellStart"/>
      <w:r w:rsidR="004A74AF" w:rsidRPr="007720BC">
        <w:rPr>
          <w:rStyle w:val="rynqvb"/>
          <w:rFonts w:ascii="Times New Roman" w:hAnsi="Times New Roman" w:cs="Times New Roman"/>
          <w:sz w:val="24"/>
          <w:szCs w:val="24"/>
          <w:lang w:val="en-US"/>
        </w:rPr>
        <w:t>hasil</w:t>
      </w:r>
      <w:proofErr w:type="spellEnd"/>
      <w:r w:rsidR="004A74AF" w:rsidRPr="007720BC">
        <w:rPr>
          <w:rStyle w:val="rynqvb"/>
          <w:rFonts w:ascii="Times New Roman" w:hAnsi="Times New Roman" w:cs="Times New Roman"/>
          <w:sz w:val="24"/>
          <w:szCs w:val="24"/>
          <w:lang w:val="en-US"/>
        </w:rPr>
        <w:t xml:space="preserve"> </w:t>
      </w:r>
      <w:proofErr w:type="spellStart"/>
      <w:r w:rsidR="004A74AF" w:rsidRPr="007720BC">
        <w:rPr>
          <w:rStyle w:val="rynqvb"/>
          <w:rFonts w:ascii="Times New Roman" w:hAnsi="Times New Roman" w:cs="Times New Roman"/>
          <w:sz w:val="24"/>
          <w:szCs w:val="24"/>
          <w:lang w:val="en-US"/>
        </w:rPr>
        <w:t>penelitian</w:t>
      </w:r>
      <w:proofErr w:type="spellEnd"/>
      <w:r w:rsidR="004A74AF" w:rsidRPr="007720BC">
        <w:rPr>
          <w:rStyle w:val="rynqvb"/>
          <w:rFonts w:ascii="Times New Roman" w:hAnsi="Times New Roman" w:cs="Times New Roman"/>
          <w:sz w:val="24"/>
          <w:szCs w:val="24"/>
          <w:lang w:val="en-US"/>
        </w:rPr>
        <w:t xml:space="preserve"> yang </w:t>
      </w:r>
      <w:proofErr w:type="spellStart"/>
      <w:r w:rsidR="004A74AF" w:rsidRPr="007720BC">
        <w:rPr>
          <w:rStyle w:val="rynqvb"/>
          <w:rFonts w:ascii="Times New Roman" w:hAnsi="Times New Roman" w:cs="Times New Roman"/>
          <w:sz w:val="24"/>
          <w:szCs w:val="24"/>
          <w:lang w:val="en-US"/>
        </w:rPr>
        <w:t>menunjukkan</w:t>
      </w:r>
      <w:proofErr w:type="spellEnd"/>
      <w:r w:rsidR="004A74AF" w:rsidRPr="007720BC">
        <w:rPr>
          <w:rStyle w:val="rynqvb"/>
          <w:rFonts w:ascii="Times New Roman" w:hAnsi="Times New Roman" w:cs="Times New Roman"/>
          <w:sz w:val="24"/>
          <w:szCs w:val="24"/>
          <w:lang w:val="en-US"/>
        </w:rPr>
        <w:t xml:space="preserve"> </w:t>
      </w:r>
      <w:proofErr w:type="spellStart"/>
      <w:r w:rsidR="004A74AF" w:rsidRPr="007720BC">
        <w:rPr>
          <w:rStyle w:val="rynqvb"/>
          <w:rFonts w:ascii="Times New Roman" w:hAnsi="Times New Roman" w:cs="Times New Roman"/>
          <w:sz w:val="24"/>
          <w:szCs w:val="24"/>
          <w:lang w:val="en-US"/>
        </w:rPr>
        <w:t>adanya</w:t>
      </w:r>
      <w:proofErr w:type="spellEnd"/>
      <w:r w:rsidR="004A74AF" w:rsidRPr="007720BC">
        <w:rPr>
          <w:rStyle w:val="rynqvb"/>
          <w:rFonts w:ascii="Times New Roman" w:hAnsi="Times New Roman" w:cs="Times New Roman"/>
          <w:sz w:val="24"/>
          <w:szCs w:val="24"/>
          <w:lang w:val="en-US"/>
        </w:rPr>
        <w:t xml:space="preserve"> </w:t>
      </w:r>
      <w:proofErr w:type="spellStart"/>
      <w:r w:rsidR="00F71AA7" w:rsidRPr="007720BC">
        <w:rPr>
          <w:rStyle w:val="rynqvb"/>
          <w:rFonts w:ascii="Times New Roman" w:hAnsi="Times New Roman" w:cs="Times New Roman"/>
          <w:sz w:val="24"/>
          <w:szCs w:val="24"/>
          <w:lang w:val="en-US"/>
        </w:rPr>
        <w:t>g</w:t>
      </w:r>
      <w:r w:rsidR="004A74AF" w:rsidRPr="007720BC">
        <w:rPr>
          <w:rStyle w:val="rynqvb"/>
          <w:rFonts w:ascii="Times New Roman" w:hAnsi="Times New Roman" w:cs="Times New Roman"/>
          <w:sz w:val="24"/>
          <w:szCs w:val="24"/>
          <w:lang w:val="en-US"/>
        </w:rPr>
        <w:t>erakan</w:t>
      </w:r>
      <w:proofErr w:type="spellEnd"/>
      <w:r w:rsidR="004A74AF" w:rsidRPr="007720BC">
        <w:rPr>
          <w:rStyle w:val="rynqvb"/>
          <w:rFonts w:ascii="Times New Roman" w:hAnsi="Times New Roman" w:cs="Times New Roman"/>
          <w:sz w:val="24"/>
          <w:szCs w:val="24"/>
          <w:lang w:val="en-US"/>
        </w:rPr>
        <w:t xml:space="preserve"> </w:t>
      </w:r>
      <w:proofErr w:type="spellStart"/>
      <w:r w:rsidR="004A74AF" w:rsidRPr="007720BC">
        <w:rPr>
          <w:rStyle w:val="rynqvb"/>
          <w:rFonts w:ascii="Times New Roman" w:hAnsi="Times New Roman" w:cs="Times New Roman"/>
          <w:sz w:val="24"/>
          <w:szCs w:val="24"/>
          <w:lang w:val="en-US"/>
        </w:rPr>
        <w:t>kolektif</w:t>
      </w:r>
      <w:proofErr w:type="spellEnd"/>
      <w:r w:rsidR="004A74AF" w:rsidRPr="007720BC">
        <w:rPr>
          <w:rStyle w:val="rynqvb"/>
          <w:rFonts w:ascii="Times New Roman" w:hAnsi="Times New Roman" w:cs="Times New Roman"/>
          <w:sz w:val="24"/>
          <w:szCs w:val="24"/>
          <w:lang w:val="en-US"/>
        </w:rPr>
        <w:t xml:space="preserve"> dan </w:t>
      </w:r>
      <w:proofErr w:type="spellStart"/>
      <w:r w:rsidR="00F71AA7" w:rsidRPr="007720BC">
        <w:rPr>
          <w:rStyle w:val="rynqvb"/>
          <w:rFonts w:ascii="Times New Roman" w:hAnsi="Times New Roman" w:cs="Times New Roman"/>
          <w:sz w:val="24"/>
          <w:szCs w:val="24"/>
          <w:lang w:val="en-US"/>
        </w:rPr>
        <w:t>k</w:t>
      </w:r>
      <w:r w:rsidR="004A74AF" w:rsidRPr="007720BC">
        <w:rPr>
          <w:rStyle w:val="rynqvb"/>
          <w:rFonts w:ascii="Times New Roman" w:hAnsi="Times New Roman" w:cs="Times New Roman"/>
          <w:sz w:val="24"/>
          <w:szCs w:val="24"/>
          <w:lang w:val="en-US"/>
        </w:rPr>
        <w:t>erjasama</w:t>
      </w:r>
      <w:proofErr w:type="spellEnd"/>
      <w:r w:rsidR="004A74AF" w:rsidRPr="007720BC">
        <w:rPr>
          <w:rStyle w:val="rynqvb"/>
          <w:rFonts w:ascii="Times New Roman" w:hAnsi="Times New Roman" w:cs="Times New Roman"/>
          <w:sz w:val="24"/>
          <w:szCs w:val="24"/>
          <w:lang w:val="en-US"/>
        </w:rPr>
        <w:t xml:space="preserve"> </w:t>
      </w:r>
      <w:proofErr w:type="spellStart"/>
      <w:r w:rsidR="004A74AF" w:rsidRPr="007720BC">
        <w:rPr>
          <w:rStyle w:val="rynqvb"/>
          <w:rFonts w:ascii="Times New Roman" w:hAnsi="Times New Roman" w:cs="Times New Roman"/>
          <w:sz w:val="24"/>
          <w:szCs w:val="24"/>
          <w:lang w:val="en-US"/>
        </w:rPr>
        <w:t>antara</w:t>
      </w:r>
      <w:proofErr w:type="spellEnd"/>
      <w:r w:rsidR="004A74AF" w:rsidRPr="007720BC">
        <w:rPr>
          <w:rStyle w:val="rynqvb"/>
          <w:rFonts w:ascii="Times New Roman" w:hAnsi="Times New Roman" w:cs="Times New Roman"/>
          <w:sz w:val="24"/>
          <w:szCs w:val="24"/>
          <w:lang w:val="en-US"/>
        </w:rPr>
        <w:t xml:space="preserve"> </w:t>
      </w:r>
      <w:proofErr w:type="spellStart"/>
      <w:r w:rsidR="004A74AF" w:rsidRPr="007720BC">
        <w:rPr>
          <w:rStyle w:val="rynqvb"/>
          <w:rFonts w:ascii="Times New Roman" w:hAnsi="Times New Roman" w:cs="Times New Roman"/>
          <w:sz w:val="24"/>
          <w:szCs w:val="24"/>
          <w:lang w:val="en-US"/>
        </w:rPr>
        <w:t>kader</w:t>
      </w:r>
      <w:proofErr w:type="spellEnd"/>
      <w:r w:rsidR="00527A8F" w:rsidRPr="007720BC">
        <w:rPr>
          <w:rStyle w:val="rynqvb"/>
          <w:rFonts w:ascii="Times New Roman" w:hAnsi="Times New Roman" w:cs="Times New Roman"/>
          <w:sz w:val="24"/>
          <w:szCs w:val="24"/>
          <w:lang w:val="en-US"/>
        </w:rPr>
        <w:t xml:space="preserve"> Kampung</w:t>
      </w:r>
      <w:r w:rsidR="004A74AF" w:rsidRPr="007720BC">
        <w:rPr>
          <w:rStyle w:val="rynqvb"/>
          <w:rFonts w:ascii="Times New Roman" w:hAnsi="Times New Roman" w:cs="Times New Roman"/>
          <w:sz w:val="24"/>
          <w:szCs w:val="24"/>
          <w:lang w:val="en-US"/>
        </w:rPr>
        <w:t xml:space="preserve"> KB, </w:t>
      </w:r>
      <w:proofErr w:type="spellStart"/>
      <w:r w:rsidR="004A74AF" w:rsidRPr="007720BC">
        <w:rPr>
          <w:rStyle w:val="rynqvb"/>
          <w:rFonts w:ascii="Times New Roman" w:hAnsi="Times New Roman" w:cs="Times New Roman"/>
          <w:sz w:val="24"/>
          <w:szCs w:val="24"/>
          <w:lang w:val="en-US"/>
        </w:rPr>
        <w:t>tokoh</w:t>
      </w:r>
      <w:proofErr w:type="spellEnd"/>
      <w:r w:rsidR="004A74AF" w:rsidRPr="007720BC">
        <w:rPr>
          <w:rStyle w:val="rynqvb"/>
          <w:rFonts w:ascii="Times New Roman" w:hAnsi="Times New Roman" w:cs="Times New Roman"/>
          <w:sz w:val="24"/>
          <w:szCs w:val="24"/>
          <w:lang w:val="en-US"/>
        </w:rPr>
        <w:t xml:space="preserve"> </w:t>
      </w:r>
      <w:proofErr w:type="spellStart"/>
      <w:r w:rsidR="004A74AF" w:rsidRPr="007720BC">
        <w:rPr>
          <w:rStyle w:val="rynqvb"/>
          <w:rFonts w:ascii="Times New Roman" w:hAnsi="Times New Roman" w:cs="Times New Roman"/>
          <w:sz w:val="24"/>
          <w:szCs w:val="24"/>
          <w:lang w:val="en-US"/>
        </w:rPr>
        <w:t>keagamaan</w:t>
      </w:r>
      <w:proofErr w:type="spellEnd"/>
      <w:r w:rsidR="004A74AF" w:rsidRPr="007720BC">
        <w:rPr>
          <w:rStyle w:val="rynqvb"/>
          <w:rFonts w:ascii="Times New Roman" w:hAnsi="Times New Roman" w:cs="Times New Roman"/>
          <w:sz w:val="24"/>
          <w:szCs w:val="24"/>
          <w:lang w:val="en-US"/>
        </w:rPr>
        <w:t xml:space="preserve">, </w:t>
      </w:r>
      <w:proofErr w:type="spellStart"/>
      <w:r w:rsidR="004A74AF" w:rsidRPr="007720BC">
        <w:rPr>
          <w:rStyle w:val="rynqvb"/>
          <w:rFonts w:ascii="Times New Roman" w:hAnsi="Times New Roman" w:cs="Times New Roman"/>
          <w:sz w:val="24"/>
          <w:szCs w:val="24"/>
          <w:lang w:val="en-US"/>
        </w:rPr>
        <w:t>tokoh</w:t>
      </w:r>
      <w:proofErr w:type="spellEnd"/>
      <w:r w:rsidR="004A74AF" w:rsidRPr="007720BC">
        <w:rPr>
          <w:rStyle w:val="rynqvb"/>
          <w:rFonts w:ascii="Times New Roman" w:hAnsi="Times New Roman" w:cs="Times New Roman"/>
          <w:sz w:val="24"/>
          <w:szCs w:val="24"/>
          <w:lang w:val="en-US"/>
        </w:rPr>
        <w:t xml:space="preserve"> </w:t>
      </w:r>
      <w:proofErr w:type="spellStart"/>
      <w:r w:rsidR="00527A8F" w:rsidRPr="007720BC">
        <w:rPr>
          <w:rStyle w:val="rynqvb"/>
          <w:rFonts w:ascii="Times New Roman" w:hAnsi="Times New Roman" w:cs="Times New Roman"/>
          <w:sz w:val="24"/>
          <w:szCs w:val="24"/>
          <w:lang w:val="en-US"/>
        </w:rPr>
        <w:t>m</w:t>
      </w:r>
      <w:r w:rsidR="004A74AF" w:rsidRPr="007720BC">
        <w:rPr>
          <w:rStyle w:val="rynqvb"/>
          <w:rFonts w:ascii="Times New Roman" w:hAnsi="Times New Roman" w:cs="Times New Roman"/>
          <w:sz w:val="24"/>
          <w:szCs w:val="24"/>
          <w:lang w:val="en-US"/>
        </w:rPr>
        <w:t>asyarakat</w:t>
      </w:r>
      <w:proofErr w:type="spellEnd"/>
      <w:r w:rsidR="004A74AF" w:rsidRPr="007720BC">
        <w:rPr>
          <w:rStyle w:val="rynqvb"/>
          <w:rFonts w:ascii="Times New Roman" w:hAnsi="Times New Roman" w:cs="Times New Roman"/>
          <w:sz w:val="24"/>
          <w:szCs w:val="24"/>
          <w:lang w:val="en-US"/>
        </w:rPr>
        <w:t xml:space="preserve"> dan </w:t>
      </w:r>
      <w:proofErr w:type="spellStart"/>
      <w:r w:rsidR="004A74AF" w:rsidRPr="007720BC">
        <w:rPr>
          <w:rStyle w:val="rynqvb"/>
          <w:rFonts w:ascii="Times New Roman" w:hAnsi="Times New Roman" w:cs="Times New Roman"/>
          <w:sz w:val="24"/>
          <w:szCs w:val="24"/>
          <w:lang w:val="en-US"/>
        </w:rPr>
        <w:t>tokoh</w:t>
      </w:r>
      <w:proofErr w:type="spellEnd"/>
      <w:r w:rsidR="004A74AF" w:rsidRPr="007720BC">
        <w:rPr>
          <w:rStyle w:val="rynqvb"/>
          <w:rFonts w:ascii="Times New Roman" w:hAnsi="Times New Roman" w:cs="Times New Roman"/>
          <w:sz w:val="24"/>
          <w:szCs w:val="24"/>
          <w:lang w:val="en-US"/>
        </w:rPr>
        <w:t xml:space="preserve"> </w:t>
      </w:r>
      <w:proofErr w:type="spellStart"/>
      <w:r w:rsidR="004A74AF" w:rsidRPr="007720BC">
        <w:rPr>
          <w:rStyle w:val="rynqvb"/>
          <w:rFonts w:ascii="Times New Roman" w:hAnsi="Times New Roman" w:cs="Times New Roman"/>
          <w:sz w:val="24"/>
          <w:szCs w:val="24"/>
          <w:lang w:val="en-US"/>
        </w:rPr>
        <w:t>kepemudaan</w:t>
      </w:r>
      <w:proofErr w:type="spellEnd"/>
      <w:r w:rsidR="004A74AF" w:rsidRPr="007720BC">
        <w:rPr>
          <w:rStyle w:val="rynqvb"/>
          <w:rFonts w:ascii="Times New Roman" w:hAnsi="Times New Roman" w:cs="Times New Roman"/>
          <w:sz w:val="24"/>
          <w:szCs w:val="24"/>
          <w:lang w:val="en-US"/>
        </w:rPr>
        <w:t xml:space="preserve"> </w:t>
      </w:r>
      <w:proofErr w:type="spellStart"/>
      <w:r w:rsidR="004A74AF" w:rsidRPr="007720BC">
        <w:rPr>
          <w:rStyle w:val="rynqvb"/>
          <w:rFonts w:ascii="Times New Roman" w:hAnsi="Times New Roman" w:cs="Times New Roman"/>
          <w:sz w:val="24"/>
          <w:szCs w:val="24"/>
          <w:lang w:val="en-US"/>
        </w:rPr>
        <w:t>dalam</w:t>
      </w:r>
      <w:proofErr w:type="spellEnd"/>
      <w:r w:rsidR="004A74AF" w:rsidRPr="007720BC">
        <w:rPr>
          <w:rStyle w:val="rynqvb"/>
          <w:rFonts w:ascii="Times New Roman" w:hAnsi="Times New Roman" w:cs="Times New Roman"/>
          <w:sz w:val="24"/>
          <w:szCs w:val="24"/>
          <w:lang w:val="en-US"/>
        </w:rPr>
        <w:t xml:space="preserve"> </w:t>
      </w:r>
      <w:proofErr w:type="spellStart"/>
      <w:r w:rsidR="004A74AF" w:rsidRPr="007720BC">
        <w:rPr>
          <w:rStyle w:val="rynqvb"/>
          <w:rFonts w:ascii="Times New Roman" w:hAnsi="Times New Roman" w:cs="Times New Roman"/>
          <w:sz w:val="24"/>
          <w:szCs w:val="24"/>
          <w:lang w:val="en-US"/>
        </w:rPr>
        <w:t>sosialisasi</w:t>
      </w:r>
      <w:proofErr w:type="spellEnd"/>
      <w:r w:rsidR="004A74AF" w:rsidRPr="007720BC">
        <w:rPr>
          <w:rStyle w:val="rynqvb"/>
          <w:rFonts w:ascii="Times New Roman" w:hAnsi="Times New Roman" w:cs="Times New Roman"/>
          <w:sz w:val="24"/>
          <w:szCs w:val="24"/>
          <w:lang w:val="en-US"/>
        </w:rPr>
        <w:t xml:space="preserve"> PHBS. </w:t>
      </w:r>
    </w:p>
    <w:p w14:paraId="775101A5" w14:textId="5B06E294" w:rsidR="00486FF0" w:rsidRPr="007720BC" w:rsidRDefault="00F71AA7" w:rsidP="00F71AA7">
      <w:pPr>
        <w:shd w:val="clear" w:color="auto" w:fill="FFFFFF"/>
        <w:spacing w:after="0" w:line="240" w:lineRule="auto"/>
        <w:ind w:firstLine="567"/>
        <w:contextualSpacing/>
        <w:jc w:val="both"/>
        <w:textAlignment w:val="baseline"/>
        <w:rPr>
          <w:rStyle w:val="rynqvb"/>
          <w:rFonts w:ascii="Times New Roman" w:hAnsi="Times New Roman" w:cs="Times New Roman"/>
          <w:sz w:val="24"/>
          <w:szCs w:val="24"/>
          <w:lang w:val="en-US"/>
        </w:rPr>
      </w:pPr>
      <w:proofErr w:type="spellStart"/>
      <w:r w:rsidRPr="007720BC">
        <w:rPr>
          <w:rStyle w:val="rynqvb"/>
          <w:rFonts w:ascii="Times New Roman" w:hAnsi="Times New Roman" w:cs="Times New Roman"/>
          <w:sz w:val="24"/>
          <w:szCs w:val="24"/>
          <w:lang w:val="en-US"/>
        </w:rPr>
        <w:t>Kemampuan</w:t>
      </w:r>
      <w:proofErr w:type="spellEnd"/>
      <w:r w:rsidRPr="007720BC">
        <w:rPr>
          <w:rStyle w:val="rynqvb"/>
          <w:rFonts w:ascii="Times New Roman" w:hAnsi="Times New Roman" w:cs="Times New Roman"/>
          <w:sz w:val="24"/>
          <w:szCs w:val="24"/>
          <w:lang w:val="en-US"/>
        </w:rPr>
        <w:t xml:space="preserve"> </w:t>
      </w:r>
      <w:r w:rsidRPr="007720BC">
        <w:rPr>
          <w:rFonts w:ascii="Times New Roman" w:hAnsi="Times New Roman" w:cs="Times New Roman"/>
          <w:sz w:val="24"/>
          <w:szCs w:val="24"/>
          <w:lang w:val="en-US"/>
        </w:rPr>
        <w:t xml:space="preserve">Kampung KB Desa </w:t>
      </w:r>
      <w:proofErr w:type="spellStart"/>
      <w:r w:rsidRPr="007720BC">
        <w:rPr>
          <w:rFonts w:ascii="Times New Roman" w:hAnsi="Times New Roman" w:cs="Times New Roman"/>
          <w:sz w:val="24"/>
          <w:szCs w:val="24"/>
          <w:lang w:val="en-US"/>
        </w:rPr>
        <w:t>Mongpok</w:t>
      </w:r>
      <w:proofErr w:type="spellEnd"/>
      <w:r w:rsidRPr="007720BC">
        <w:rPr>
          <w:rFonts w:ascii="Times New Roman" w:hAnsi="Times New Roman" w:cs="Times New Roman"/>
          <w:sz w:val="24"/>
          <w:szCs w:val="24"/>
          <w:lang w:val="en-US"/>
        </w:rPr>
        <w:t xml:space="preserve"> yang focus pada </w:t>
      </w:r>
      <w:proofErr w:type="spellStart"/>
      <w:r w:rsidRPr="007720BC">
        <w:rPr>
          <w:rFonts w:ascii="Times New Roman" w:hAnsi="Times New Roman" w:cs="Times New Roman"/>
          <w:sz w:val="24"/>
          <w:szCs w:val="24"/>
          <w:lang w:val="en-US"/>
        </w:rPr>
        <w:t>perencanaan</w:t>
      </w:r>
      <w:proofErr w:type="spellEnd"/>
      <w:r w:rsidRPr="007720BC">
        <w:rPr>
          <w:rFonts w:ascii="Times New Roman" w:hAnsi="Times New Roman" w:cs="Times New Roman"/>
          <w:sz w:val="24"/>
          <w:szCs w:val="24"/>
          <w:lang w:val="en-US"/>
        </w:rPr>
        <w:t xml:space="preserve"> dan </w:t>
      </w:r>
      <w:proofErr w:type="spellStart"/>
      <w:r w:rsidRPr="007720BC">
        <w:rPr>
          <w:rFonts w:ascii="Times New Roman" w:hAnsi="Times New Roman" w:cs="Times New Roman"/>
          <w:sz w:val="24"/>
          <w:szCs w:val="24"/>
          <w:lang w:val="en-US"/>
        </w:rPr>
        <w:t>tindakan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menunjukkan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adanya</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sinergitas</w:t>
      </w:r>
      <w:proofErr w:type="spellEnd"/>
      <w:r w:rsidR="00486FF0" w:rsidRPr="007720BC">
        <w:rPr>
          <w:rFonts w:ascii="Times New Roman" w:hAnsi="Times New Roman" w:cs="Times New Roman"/>
          <w:sz w:val="24"/>
          <w:szCs w:val="24"/>
          <w:lang w:val="en-US"/>
        </w:rPr>
        <w:t xml:space="preserve"> </w:t>
      </w:r>
      <w:r w:rsidRPr="007720BC">
        <w:rPr>
          <w:rFonts w:ascii="Times New Roman" w:hAnsi="Times New Roman" w:cs="Times New Roman"/>
          <w:sz w:val="24"/>
          <w:szCs w:val="24"/>
          <w:lang w:val="en-US"/>
        </w:rPr>
        <w:t xml:space="preserve">dan </w:t>
      </w:r>
      <w:proofErr w:type="spellStart"/>
      <w:r w:rsidRPr="007720BC">
        <w:rPr>
          <w:rFonts w:ascii="Times New Roman" w:hAnsi="Times New Roman" w:cs="Times New Roman"/>
          <w:sz w:val="24"/>
          <w:szCs w:val="24"/>
          <w:lang w:val="en-US"/>
        </w:rPr>
        <w:t>partisipasi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antara</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berbagai</w:t>
      </w:r>
      <w:proofErr w:type="spellEnd"/>
      <w:r w:rsidRPr="007720BC">
        <w:rPr>
          <w:rFonts w:ascii="Times New Roman" w:hAnsi="Times New Roman" w:cs="Times New Roman"/>
          <w:sz w:val="24"/>
          <w:szCs w:val="24"/>
          <w:lang w:val="en-US"/>
        </w:rPr>
        <w:t xml:space="preserve"> stakeholder </w:t>
      </w:r>
      <w:proofErr w:type="spellStart"/>
      <w:r w:rsidRPr="007720BC">
        <w:rPr>
          <w:rFonts w:ascii="Times New Roman" w:hAnsi="Times New Roman" w:cs="Times New Roman"/>
          <w:sz w:val="24"/>
          <w:szCs w:val="24"/>
          <w:lang w:val="en-US"/>
        </w:rPr>
        <w:t>dalam</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mengembangkan</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inovasi</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berkelanjutan</w:t>
      </w:r>
      <w:proofErr w:type="spellEnd"/>
      <w:r w:rsidRPr="007720BC">
        <w:rPr>
          <w:rFonts w:ascii="Times New Roman" w:hAnsi="Times New Roman" w:cs="Times New Roman"/>
          <w:sz w:val="24"/>
          <w:szCs w:val="24"/>
          <w:lang w:val="en-US"/>
        </w:rPr>
        <w:t xml:space="preserve">. </w:t>
      </w:r>
      <w:r w:rsidR="00486FF0" w:rsidRPr="007720BC">
        <w:rPr>
          <w:rFonts w:ascii="Times New Roman" w:hAnsi="Times New Roman" w:cs="Times New Roman"/>
          <w:sz w:val="24"/>
          <w:szCs w:val="24"/>
          <w:lang w:val="en-US"/>
        </w:rPr>
        <w:t xml:space="preserve">Hal </w:t>
      </w:r>
      <w:proofErr w:type="spellStart"/>
      <w:r w:rsidR="00486FF0" w:rsidRPr="007720BC">
        <w:rPr>
          <w:rFonts w:ascii="Times New Roman" w:hAnsi="Times New Roman" w:cs="Times New Roman"/>
          <w:sz w:val="24"/>
          <w:szCs w:val="24"/>
          <w:lang w:val="en-US"/>
        </w:rPr>
        <w:t>ini</w:t>
      </w:r>
      <w:proofErr w:type="spellEnd"/>
      <w:r w:rsidR="00486FF0" w:rsidRPr="007720BC">
        <w:rPr>
          <w:rFonts w:ascii="Times New Roman" w:hAnsi="Times New Roman" w:cs="Times New Roman"/>
          <w:sz w:val="24"/>
          <w:szCs w:val="24"/>
          <w:lang w:val="en-US"/>
        </w:rPr>
        <w:t xml:space="preserve"> </w:t>
      </w:r>
      <w:proofErr w:type="spellStart"/>
      <w:r w:rsidR="00486FF0" w:rsidRPr="007720BC">
        <w:rPr>
          <w:rFonts w:ascii="Times New Roman" w:hAnsi="Times New Roman" w:cs="Times New Roman"/>
          <w:sz w:val="24"/>
          <w:szCs w:val="24"/>
          <w:lang w:val="en-US"/>
        </w:rPr>
        <w:t>sejalan</w:t>
      </w:r>
      <w:proofErr w:type="spellEnd"/>
      <w:r w:rsidR="00486FF0" w:rsidRPr="007720BC">
        <w:rPr>
          <w:rFonts w:ascii="Times New Roman" w:hAnsi="Times New Roman" w:cs="Times New Roman"/>
          <w:sz w:val="24"/>
          <w:szCs w:val="24"/>
          <w:lang w:val="en-US"/>
        </w:rPr>
        <w:t xml:space="preserve"> </w:t>
      </w:r>
      <w:proofErr w:type="spellStart"/>
      <w:r w:rsidR="00486FF0" w:rsidRPr="007720BC">
        <w:rPr>
          <w:rFonts w:ascii="Times New Roman" w:hAnsi="Times New Roman" w:cs="Times New Roman"/>
          <w:sz w:val="24"/>
          <w:szCs w:val="24"/>
          <w:lang w:val="en-US"/>
        </w:rPr>
        <w:t>dengan</w:t>
      </w:r>
      <w:proofErr w:type="spellEnd"/>
      <w:r w:rsidR="00486FF0" w:rsidRPr="007720BC">
        <w:rPr>
          <w:rFonts w:ascii="Times New Roman" w:hAnsi="Times New Roman" w:cs="Times New Roman"/>
          <w:sz w:val="24"/>
          <w:szCs w:val="24"/>
          <w:lang w:val="en-US"/>
        </w:rPr>
        <w:t xml:space="preserve"> </w:t>
      </w:r>
      <w:proofErr w:type="spellStart"/>
      <w:r w:rsidR="00486FF0" w:rsidRPr="007720BC">
        <w:rPr>
          <w:rFonts w:ascii="Times New Roman" w:hAnsi="Times New Roman" w:cs="Times New Roman"/>
          <w:sz w:val="24"/>
          <w:szCs w:val="24"/>
          <w:lang w:val="en-US"/>
        </w:rPr>
        <w:t>penelitian</w:t>
      </w:r>
      <w:proofErr w:type="spellEnd"/>
      <w:r w:rsidR="00486FF0" w:rsidRPr="007720BC">
        <w:rPr>
          <w:rFonts w:ascii="Times New Roman" w:hAnsi="Times New Roman" w:cs="Times New Roman"/>
          <w:sz w:val="24"/>
          <w:szCs w:val="24"/>
          <w:lang w:val="en-US"/>
        </w:rPr>
        <w:t xml:space="preserve"> </w:t>
      </w:r>
      <w:r w:rsidR="00486FF0" w:rsidRPr="007720BC">
        <w:rPr>
          <w:rFonts w:ascii="Times New Roman" w:hAnsi="Times New Roman" w:cs="Times New Roman"/>
          <w:sz w:val="24"/>
          <w:szCs w:val="24"/>
          <w:lang w:val="en-US"/>
        </w:rPr>
        <w:fldChar w:fldCharType="begin" w:fldLock="1"/>
      </w:r>
      <w:r w:rsidR="005C25D3" w:rsidRPr="007720BC">
        <w:rPr>
          <w:rFonts w:ascii="Times New Roman" w:hAnsi="Times New Roman" w:cs="Times New Roman"/>
          <w:sz w:val="24"/>
          <w:szCs w:val="24"/>
          <w:lang w:val="en-US"/>
        </w:rPr>
        <w:instrText>ADDIN CSL_CITATION {"citationItems":[{"id":"ITEM-1","itemData":{"abstract":"This article describes the efforts of increasing the awareness of the development stakeholders at the village level in order to prevent stunting in Cangkuang Wetan Village, Dayeuhkolot Sub District, Bandung Regency as a form of community service that has been integrated with the research of Unpad lecturers and also Unpad Students. Stunting is a national strategic issue that can be observed in many regions of Indonesia, which in turn pushes the goverment to implement prevention efforts. This article mainly uses the qualitative research method with many participatory techniques, which include observations, interviews, FGD's, and socialization. The activities was around 7 months long and started with field research preparation, issue mapping, activity planning, and socialization of the importance of stopping stunting to the Village Development Stakeholders. The team found that the Village Apparatus, the locals that work at the Posyandu, mothers of Balita, and also the Balita were very active and enthusiastic during the socialization process. However, there are still many obstacles in the efforts to prevent stunting that should be overcome through a more comprehensive and integrated with the development plan of the village in order to achieve a more optimal result","author":[{"dropping-particle":"","family":"Widianingsih","given":"Ida","non-dropping-particle":"","parse-names":false,"suffix":""},{"dropping-particle":"","family":"Gunawan","given":"Budhi","non-dropping-particle":"","parse-names":false,"suffix":""},{"dropping-particle":"","family":"Rusyidi","given":"Binahayati","non-dropping-particle":"","parse-names":false,"suffix":""}],"container-title":"Jurnal Pengabdian Kepada Masyarakat","id":"ITEM-1","issue":"2","issued":{"date-parts":[["2018"]]},"page":"120-130","title":"Peningkatan Kepedulian Stakeholder Pembangunan Dalam Mencegah Stunting Di Desa Cangkuang Wetan Kecamatan Dayeuhkolot Kabupaten Bandung","type":"article-journal","volume":"1"},"uris":["http://www.mendeley.com/documents/?uuid=1aed3964-d343-4cd7-856c-b7ffdff6b531"]}],"mendeley":{"formattedCitation":"(Widianingsih, Gunawan, dan Rusyidi 2018)","plainTextFormattedCitation":"(Widianingsih, Gunawan, dan Rusyidi 2018)","previouslyFormattedCitation":"(Widianingsih, Gunawan, dan Rusyidi 2018)"},"properties":{"noteIndex":0},"schema":"https://github.com/citation-style-language/schema/raw/master/csl-citation.json"}</w:instrText>
      </w:r>
      <w:r w:rsidR="00486FF0" w:rsidRPr="007720BC">
        <w:rPr>
          <w:rFonts w:ascii="Times New Roman" w:hAnsi="Times New Roman" w:cs="Times New Roman"/>
          <w:sz w:val="24"/>
          <w:szCs w:val="24"/>
          <w:lang w:val="en-US"/>
        </w:rPr>
        <w:fldChar w:fldCharType="separate"/>
      </w:r>
      <w:r w:rsidR="00486FF0" w:rsidRPr="007720BC">
        <w:rPr>
          <w:rFonts w:ascii="Times New Roman" w:hAnsi="Times New Roman" w:cs="Times New Roman"/>
          <w:noProof/>
          <w:sz w:val="24"/>
          <w:szCs w:val="24"/>
          <w:lang w:val="en-US"/>
        </w:rPr>
        <w:t>(Widianingsih, Gunawan, dan Rusyidi 2018)</w:t>
      </w:r>
      <w:r w:rsidR="00486FF0" w:rsidRPr="007720BC">
        <w:rPr>
          <w:rFonts w:ascii="Times New Roman" w:hAnsi="Times New Roman" w:cs="Times New Roman"/>
          <w:sz w:val="24"/>
          <w:szCs w:val="24"/>
          <w:lang w:val="en-US"/>
        </w:rPr>
        <w:fldChar w:fldCharType="end"/>
      </w:r>
      <w:r w:rsidR="00486FF0" w:rsidRPr="007720BC">
        <w:rPr>
          <w:rStyle w:val="rynqvb"/>
          <w:rFonts w:ascii="Times New Roman" w:hAnsi="Times New Roman" w:cs="Times New Roman"/>
          <w:sz w:val="24"/>
          <w:szCs w:val="24"/>
          <w:lang w:val="id-ID"/>
        </w:rPr>
        <w:t xml:space="preserve"> </w:t>
      </w:r>
      <w:r w:rsidR="00486FF0" w:rsidRPr="007720BC">
        <w:rPr>
          <w:rStyle w:val="rynqvb"/>
          <w:rFonts w:ascii="Times New Roman" w:hAnsi="Times New Roman" w:cs="Times New Roman"/>
          <w:sz w:val="24"/>
          <w:szCs w:val="24"/>
          <w:lang w:val="en-US"/>
        </w:rPr>
        <w:t xml:space="preserve">yang </w:t>
      </w:r>
      <w:r w:rsidR="00486FF0" w:rsidRPr="007720BC">
        <w:rPr>
          <w:rStyle w:val="rynqvb"/>
          <w:rFonts w:ascii="Times New Roman" w:hAnsi="Times New Roman" w:cs="Times New Roman"/>
          <w:sz w:val="24"/>
          <w:szCs w:val="24"/>
          <w:lang w:val="id-ID"/>
        </w:rPr>
        <w:t>menemukan bahwa Perangkat Desa, masyarakat yang bekerja di Posyandu, ibu-ibu Balita, dan juga Balita sangat aktif dan antusias selama proses sosialisasi</w:t>
      </w:r>
      <w:r w:rsidR="00486FF0" w:rsidRPr="007720BC">
        <w:rPr>
          <w:rStyle w:val="rynqvb"/>
          <w:rFonts w:ascii="Times New Roman" w:hAnsi="Times New Roman" w:cs="Times New Roman"/>
          <w:sz w:val="24"/>
          <w:szCs w:val="24"/>
          <w:lang w:val="en-US"/>
        </w:rPr>
        <w:t xml:space="preserve"> </w:t>
      </w:r>
      <w:proofErr w:type="spellStart"/>
      <w:r w:rsidR="00486FF0" w:rsidRPr="007720BC">
        <w:rPr>
          <w:rStyle w:val="rynqvb"/>
          <w:rFonts w:ascii="Times New Roman" w:hAnsi="Times New Roman" w:cs="Times New Roman"/>
          <w:sz w:val="24"/>
          <w:szCs w:val="24"/>
          <w:lang w:val="en-US"/>
        </w:rPr>
        <w:t>penanganan</w:t>
      </w:r>
      <w:proofErr w:type="spellEnd"/>
      <w:r w:rsidR="00486FF0" w:rsidRPr="007720BC">
        <w:rPr>
          <w:rStyle w:val="rynqvb"/>
          <w:rFonts w:ascii="Times New Roman" w:hAnsi="Times New Roman" w:cs="Times New Roman"/>
          <w:sz w:val="24"/>
          <w:szCs w:val="24"/>
          <w:lang w:val="en-US"/>
        </w:rPr>
        <w:t xml:space="preserve"> stunting </w:t>
      </w:r>
      <w:proofErr w:type="spellStart"/>
      <w:r w:rsidR="00486FF0" w:rsidRPr="007720BC">
        <w:rPr>
          <w:rStyle w:val="rynqvb"/>
          <w:rFonts w:ascii="Times New Roman" w:hAnsi="Times New Roman" w:cs="Times New Roman"/>
          <w:sz w:val="24"/>
          <w:szCs w:val="24"/>
          <w:lang w:val="en-US"/>
        </w:rPr>
        <w:t>sedangkan</w:t>
      </w:r>
      <w:proofErr w:type="spellEnd"/>
      <w:r w:rsidR="00486FF0" w:rsidRPr="007720BC">
        <w:rPr>
          <w:rStyle w:val="rynqvb"/>
          <w:rFonts w:ascii="Times New Roman" w:hAnsi="Times New Roman" w:cs="Times New Roman"/>
          <w:sz w:val="24"/>
          <w:szCs w:val="24"/>
          <w:lang w:val="en-US"/>
        </w:rPr>
        <w:t xml:space="preserve"> </w:t>
      </w:r>
      <w:r w:rsidR="00AE3783" w:rsidRPr="007720BC">
        <w:rPr>
          <w:rStyle w:val="rynqvb"/>
          <w:rFonts w:ascii="Times New Roman" w:hAnsi="Times New Roman" w:cs="Times New Roman"/>
          <w:sz w:val="24"/>
          <w:szCs w:val="24"/>
          <w:lang w:val="en-US"/>
        </w:rPr>
        <w:fldChar w:fldCharType="begin" w:fldLock="1"/>
      </w:r>
      <w:r w:rsidR="0040400D" w:rsidRPr="007720BC">
        <w:rPr>
          <w:rStyle w:val="rynqvb"/>
          <w:rFonts w:ascii="Times New Roman" w:hAnsi="Times New Roman" w:cs="Times New Roman"/>
          <w:sz w:val="24"/>
          <w:szCs w:val="24"/>
          <w:lang w:val="en-US"/>
        </w:rPr>
        <w:instrText>ADDIN CSL_CITATION {"citationItems":[{"id":"ITEM-1","itemData":{"DOI":"10.21787/jbp.13.2021.15-28","ISSN":"20854323","abstract":"Despite being one of the metropolitan cities in Indonesia, the prevalence of stunting in Bandung City is more than the World Health Organization (WHO) standard. Stunting is a threat to the quality of human development, also lowering economic productivity. A strategy to reduce and handle stunting is needed so that social and environmental aspects are essential to facilitate the policymaker. This study analyzes the stunting situation in Bandung City and then arranges villages based on the stunting risk index to get an operative recommendation. The quantitative method analysis uses climate change adaptation which includes hazard and vulnerability indicators. At the same time, Focus Group Discussion (FGD) forms the qualitative method with key persons to identify problems and formulate impressive strategies. The results showed that 14 villages have the highest risk of stunting in Bandung City, to be intervention priority. These villages have relatively high poverty, poor access to sanitation, and low adaptive capacity. Recommendations from this study are focused on regional development planning, increasing community participation, and multi-stakeholder cooperation through strengthening innovation, collaboration, and innovation.","author":[{"dropping-particle":"","family":"Essa","given":"Wiedy Yang","non-dropping-particle":"","parse-names":false,"suffix":""},{"dropping-particle":"","family":"Nurfindarti","given":"Erti","non-dropping-particle":"","parse-names":false,"suffix":""},{"dropping-particle":"","family":"Ruhyana","given":"Nugrahana Fitria","non-dropping-particle":"","parse-names":false,"suffix":""}],"container-title":"Jurnal Bina Praja","id":"ITEM-1","issued":{"date-parts":[["2021"]]},"page":"15-28","title":"Strategies for Handling Stunting in Bandung City","type":"article-journal","volume":"13"},"uris":["http://www.mendeley.com/documents/?uuid=f5e2245f-4a94-4aec-9e6b-98ce0687e32c"]}],"mendeley":{"formattedCitation":"(Essa, Nurfindarti, dan Ruhyana 2021)","plainTextFormattedCitation":"(Essa, Nurfindarti, dan Ruhyana 2021)","previouslyFormattedCitation":"(Essa, Nurfindarti, dan Ruhyana 2021)"},"properties":{"noteIndex":0},"schema":"https://github.com/citation-style-language/schema/raw/master/csl-citation.json"}</w:instrText>
      </w:r>
      <w:r w:rsidR="00AE3783" w:rsidRPr="007720BC">
        <w:rPr>
          <w:rStyle w:val="rynqvb"/>
          <w:rFonts w:ascii="Times New Roman" w:hAnsi="Times New Roman" w:cs="Times New Roman"/>
          <w:sz w:val="24"/>
          <w:szCs w:val="24"/>
          <w:lang w:val="en-US"/>
        </w:rPr>
        <w:fldChar w:fldCharType="separate"/>
      </w:r>
      <w:r w:rsidR="00AE3783" w:rsidRPr="007720BC">
        <w:rPr>
          <w:rStyle w:val="rynqvb"/>
          <w:rFonts w:ascii="Times New Roman" w:hAnsi="Times New Roman" w:cs="Times New Roman"/>
          <w:noProof/>
          <w:sz w:val="24"/>
          <w:szCs w:val="24"/>
          <w:lang w:val="en-US"/>
        </w:rPr>
        <w:t>(Essa, Nurfindarti, dan Ruhyana 2021)</w:t>
      </w:r>
      <w:r w:rsidR="00AE3783" w:rsidRPr="007720BC">
        <w:rPr>
          <w:rStyle w:val="rynqvb"/>
          <w:rFonts w:ascii="Times New Roman" w:hAnsi="Times New Roman" w:cs="Times New Roman"/>
          <w:sz w:val="24"/>
          <w:szCs w:val="24"/>
          <w:lang w:val="en-US"/>
        </w:rPr>
        <w:fldChar w:fldCharType="end"/>
      </w:r>
      <w:r w:rsidR="00F64C61" w:rsidRPr="007720BC">
        <w:rPr>
          <w:rStyle w:val="rynqvb"/>
          <w:rFonts w:ascii="Times New Roman" w:hAnsi="Times New Roman" w:cs="Times New Roman"/>
          <w:sz w:val="24"/>
          <w:szCs w:val="24"/>
          <w:lang w:val="en-US"/>
        </w:rPr>
        <w:t xml:space="preserve"> </w:t>
      </w:r>
      <w:proofErr w:type="spellStart"/>
      <w:r w:rsidR="00486FF0" w:rsidRPr="007720BC">
        <w:rPr>
          <w:rStyle w:val="rynqvb"/>
          <w:rFonts w:ascii="Times New Roman" w:hAnsi="Times New Roman" w:cs="Times New Roman"/>
          <w:sz w:val="24"/>
          <w:szCs w:val="24"/>
          <w:lang w:val="en-US"/>
        </w:rPr>
        <w:t>menyimpulkan</w:t>
      </w:r>
      <w:proofErr w:type="spellEnd"/>
      <w:r w:rsidR="00486FF0" w:rsidRPr="007720BC">
        <w:rPr>
          <w:rStyle w:val="rynqvb"/>
          <w:rFonts w:ascii="Times New Roman" w:hAnsi="Times New Roman" w:cs="Times New Roman"/>
          <w:sz w:val="24"/>
          <w:szCs w:val="24"/>
          <w:lang w:val="en-US"/>
        </w:rPr>
        <w:t xml:space="preserve"> </w:t>
      </w:r>
      <w:proofErr w:type="spellStart"/>
      <w:r w:rsidR="00486FF0" w:rsidRPr="007720BC">
        <w:rPr>
          <w:rStyle w:val="rynqvb"/>
          <w:rFonts w:ascii="Times New Roman" w:hAnsi="Times New Roman" w:cs="Times New Roman"/>
          <w:sz w:val="24"/>
          <w:szCs w:val="24"/>
          <w:lang w:val="en-US"/>
        </w:rPr>
        <w:t>bahwa</w:t>
      </w:r>
      <w:proofErr w:type="spellEnd"/>
      <w:r w:rsidR="00486FF0" w:rsidRPr="007720BC">
        <w:rPr>
          <w:rStyle w:val="rynqvb"/>
          <w:rFonts w:ascii="Times New Roman" w:hAnsi="Times New Roman" w:cs="Times New Roman"/>
          <w:sz w:val="24"/>
          <w:szCs w:val="24"/>
          <w:lang w:val="en-US"/>
        </w:rPr>
        <w:t xml:space="preserve"> </w:t>
      </w:r>
      <w:proofErr w:type="spellStart"/>
      <w:r w:rsidR="00F64C61" w:rsidRPr="007720BC">
        <w:rPr>
          <w:rStyle w:val="rynqvb"/>
          <w:rFonts w:ascii="Times New Roman" w:hAnsi="Times New Roman" w:cs="Times New Roman"/>
          <w:sz w:val="24"/>
          <w:szCs w:val="24"/>
          <w:lang w:val="en-US"/>
        </w:rPr>
        <w:t>untuk</w:t>
      </w:r>
      <w:proofErr w:type="spellEnd"/>
      <w:r w:rsidR="00F64C61" w:rsidRPr="007720BC">
        <w:rPr>
          <w:rStyle w:val="rynqvb"/>
          <w:rFonts w:ascii="Times New Roman" w:hAnsi="Times New Roman" w:cs="Times New Roman"/>
          <w:sz w:val="24"/>
          <w:szCs w:val="24"/>
          <w:lang w:val="en-US"/>
        </w:rPr>
        <w:t xml:space="preserve"> </w:t>
      </w:r>
      <w:proofErr w:type="spellStart"/>
      <w:r w:rsidR="00F64C61" w:rsidRPr="007720BC">
        <w:rPr>
          <w:rStyle w:val="rynqvb"/>
          <w:rFonts w:ascii="Times New Roman" w:hAnsi="Times New Roman" w:cs="Times New Roman"/>
          <w:sz w:val="24"/>
          <w:szCs w:val="24"/>
          <w:lang w:val="en-US"/>
        </w:rPr>
        <w:t>dapat</w:t>
      </w:r>
      <w:proofErr w:type="spellEnd"/>
      <w:r w:rsidR="00F64C61" w:rsidRPr="007720BC">
        <w:rPr>
          <w:rStyle w:val="rynqvb"/>
          <w:rFonts w:ascii="Times New Roman" w:hAnsi="Times New Roman" w:cs="Times New Roman"/>
          <w:sz w:val="24"/>
          <w:szCs w:val="24"/>
          <w:lang w:val="en-US"/>
        </w:rPr>
        <w:t xml:space="preserve"> </w:t>
      </w:r>
      <w:proofErr w:type="spellStart"/>
      <w:r w:rsidR="00F64C61" w:rsidRPr="007720BC">
        <w:rPr>
          <w:rStyle w:val="rynqvb"/>
          <w:rFonts w:ascii="Times New Roman" w:hAnsi="Times New Roman" w:cs="Times New Roman"/>
          <w:sz w:val="24"/>
          <w:szCs w:val="24"/>
          <w:lang w:val="en-US"/>
        </w:rPr>
        <w:t>meningkatkan</w:t>
      </w:r>
      <w:proofErr w:type="spellEnd"/>
      <w:r w:rsidR="00F64C61" w:rsidRPr="007720BC">
        <w:rPr>
          <w:rStyle w:val="rynqvb"/>
          <w:rFonts w:ascii="Times New Roman" w:hAnsi="Times New Roman" w:cs="Times New Roman"/>
          <w:sz w:val="24"/>
          <w:szCs w:val="24"/>
          <w:lang w:val="en-US"/>
        </w:rPr>
        <w:t xml:space="preserve"> pa</w:t>
      </w:r>
      <w:r w:rsidRPr="007720BC">
        <w:rPr>
          <w:rStyle w:val="rynqvb"/>
          <w:rFonts w:ascii="Times New Roman" w:hAnsi="Times New Roman" w:cs="Times New Roman"/>
          <w:sz w:val="24"/>
          <w:szCs w:val="24"/>
          <w:lang w:val="id-ID"/>
        </w:rPr>
        <w:t>rtisipasi masyarakat</w:t>
      </w:r>
      <w:r w:rsidR="00F64C61" w:rsidRPr="007720BC">
        <w:rPr>
          <w:rStyle w:val="rynqvb"/>
          <w:rFonts w:ascii="Times New Roman" w:hAnsi="Times New Roman" w:cs="Times New Roman"/>
          <w:sz w:val="24"/>
          <w:szCs w:val="24"/>
          <w:lang w:val="en-US"/>
        </w:rPr>
        <w:t xml:space="preserve"> </w:t>
      </w:r>
      <w:r w:rsidRPr="007720BC">
        <w:rPr>
          <w:rStyle w:val="rynqvb"/>
          <w:rFonts w:ascii="Times New Roman" w:hAnsi="Times New Roman" w:cs="Times New Roman"/>
          <w:sz w:val="24"/>
          <w:szCs w:val="24"/>
          <w:lang w:val="id-ID"/>
        </w:rPr>
        <w:t xml:space="preserve">dan kerjasama multi pihak </w:t>
      </w:r>
      <w:proofErr w:type="spellStart"/>
      <w:r w:rsidR="00F64C61" w:rsidRPr="007720BC">
        <w:rPr>
          <w:rStyle w:val="rynqvb"/>
          <w:rFonts w:ascii="Times New Roman" w:hAnsi="Times New Roman" w:cs="Times New Roman"/>
          <w:sz w:val="24"/>
          <w:szCs w:val="24"/>
          <w:lang w:val="en-US"/>
        </w:rPr>
        <w:t>dapat</w:t>
      </w:r>
      <w:proofErr w:type="spellEnd"/>
      <w:r w:rsidR="00F64C61" w:rsidRPr="007720BC">
        <w:rPr>
          <w:rStyle w:val="rynqvb"/>
          <w:rFonts w:ascii="Times New Roman" w:hAnsi="Times New Roman" w:cs="Times New Roman"/>
          <w:sz w:val="24"/>
          <w:szCs w:val="24"/>
          <w:lang w:val="en-US"/>
        </w:rPr>
        <w:t xml:space="preserve"> </w:t>
      </w:r>
      <w:proofErr w:type="spellStart"/>
      <w:r w:rsidR="00F64C61" w:rsidRPr="007720BC">
        <w:rPr>
          <w:rStyle w:val="rynqvb"/>
          <w:rFonts w:ascii="Times New Roman" w:hAnsi="Times New Roman" w:cs="Times New Roman"/>
          <w:sz w:val="24"/>
          <w:szCs w:val="24"/>
          <w:lang w:val="en-US"/>
        </w:rPr>
        <w:t>dilakukan</w:t>
      </w:r>
      <w:proofErr w:type="spellEnd"/>
      <w:r w:rsidR="00F64C61" w:rsidRPr="007720BC">
        <w:rPr>
          <w:rStyle w:val="rynqvb"/>
          <w:rFonts w:ascii="Times New Roman" w:hAnsi="Times New Roman" w:cs="Times New Roman"/>
          <w:sz w:val="24"/>
          <w:szCs w:val="24"/>
          <w:lang w:val="en-US"/>
        </w:rPr>
        <w:t xml:space="preserve"> </w:t>
      </w:r>
      <w:r w:rsidRPr="007720BC">
        <w:rPr>
          <w:rStyle w:val="rynqvb"/>
          <w:rFonts w:ascii="Times New Roman" w:hAnsi="Times New Roman" w:cs="Times New Roman"/>
          <w:sz w:val="24"/>
          <w:szCs w:val="24"/>
          <w:lang w:val="id-ID"/>
        </w:rPr>
        <w:t>melalui penguatan inovasi, kolaborasi, dan inovasi</w:t>
      </w:r>
      <w:r w:rsidRPr="007720BC">
        <w:rPr>
          <w:rStyle w:val="rynqvb"/>
          <w:rFonts w:ascii="Times New Roman" w:hAnsi="Times New Roman" w:cs="Times New Roman"/>
          <w:sz w:val="24"/>
          <w:szCs w:val="24"/>
          <w:lang w:val="en-US"/>
        </w:rPr>
        <w:t xml:space="preserve">. </w:t>
      </w:r>
    </w:p>
    <w:p w14:paraId="7F5813BA" w14:textId="3D53FB55" w:rsidR="000D7D4D" w:rsidRPr="007720BC" w:rsidRDefault="000D7D4D" w:rsidP="00F71AA7">
      <w:pPr>
        <w:shd w:val="clear" w:color="auto" w:fill="FFFFFF"/>
        <w:spacing w:after="0" w:line="240" w:lineRule="auto"/>
        <w:ind w:firstLine="567"/>
        <w:contextualSpacing/>
        <w:jc w:val="both"/>
        <w:textAlignment w:val="baseline"/>
        <w:rPr>
          <w:rStyle w:val="rynqvb"/>
          <w:rFonts w:ascii="Times New Roman" w:hAnsi="Times New Roman" w:cs="Times New Roman"/>
          <w:sz w:val="24"/>
          <w:szCs w:val="24"/>
          <w:lang w:val="en-US"/>
        </w:rPr>
      </w:pPr>
      <w:proofErr w:type="spellStart"/>
      <w:r w:rsidRPr="007720BC">
        <w:rPr>
          <w:rStyle w:val="rynqvb"/>
          <w:rFonts w:ascii="Times New Roman" w:hAnsi="Times New Roman" w:cs="Times New Roman"/>
          <w:sz w:val="24"/>
          <w:szCs w:val="24"/>
          <w:lang w:val="en-US"/>
        </w:rPr>
        <w:t>Inovasi</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s</w:t>
      </w:r>
      <w:r w:rsidR="008A4451" w:rsidRPr="007720BC">
        <w:rPr>
          <w:rStyle w:val="rynqvb"/>
          <w:rFonts w:ascii="Times New Roman" w:hAnsi="Times New Roman" w:cs="Times New Roman"/>
          <w:sz w:val="24"/>
          <w:szCs w:val="24"/>
          <w:lang w:val="en-US"/>
        </w:rPr>
        <w:t>ecara</w:t>
      </w:r>
      <w:proofErr w:type="spellEnd"/>
      <w:r w:rsidR="008A4451" w:rsidRPr="007720BC">
        <w:rPr>
          <w:rStyle w:val="rynqvb"/>
          <w:rFonts w:ascii="Times New Roman" w:hAnsi="Times New Roman" w:cs="Times New Roman"/>
          <w:sz w:val="24"/>
          <w:szCs w:val="24"/>
          <w:lang w:val="en-US"/>
        </w:rPr>
        <w:t xml:space="preserve"> </w:t>
      </w:r>
      <w:proofErr w:type="spellStart"/>
      <w:r w:rsidR="008A4451" w:rsidRPr="007720BC">
        <w:rPr>
          <w:rStyle w:val="rynqvb"/>
          <w:rFonts w:ascii="Times New Roman" w:hAnsi="Times New Roman" w:cs="Times New Roman"/>
          <w:sz w:val="24"/>
          <w:szCs w:val="24"/>
          <w:lang w:val="en-US"/>
        </w:rPr>
        <w:t>prinsip</w:t>
      </w:r>
      <w:proofErr w:type="spellEnd"/>
      <w:r w:rsidR="008A4451" w:rsidRPr="007720BC">
        <w:rPr>
          <w:rStyle w:val="rynqvb"/>
          <w:rFonts w:ascii="Times New Roman" w:hAnsi="Times New Roman" w:cs="Times New Roman"/>
          <w:sz w:val="24"/>
          <w:szCs w:val="24"/>
          <w:lang w:val="en-US"/>
        </w:rPr>
        <w:t xml:space="preserve"> dan </w:t>
      </w:r>
      <w:proofErr w:type="spellStart"/>
      <w:r w:rsidR="008A4451" w:rsidRPr="007720BC">
        <w:rPr>
          <w:rStyle w:val="rynqvb"/>
          <w:rFonts w:ascii="Times New Roman" w:hAnsi="Times New Roman" w:cs="Times New Roman"/>
          <w:sz w:val="24"/>
          <w:szCs w:val="24"/>
          <w:lang w:val="en-US"/>
        </w:rPr>
        <w:t>substantif</w:t>
      </w:r>
      <w:proofErr w:type="spellEnd"/>
      <w:r w:rsidR="008A4451" w:rsidRPr="007720BC">
        <w:rPr>
          <w:rStyle w:val="rynqvb"/>
          <w:rFonts w:ascii="Times New Roman" w:hAnsi="Times New Roman" w:cs="Times New Roman"/>
          <w:sz w:val="24"/>
          <w:szCs w:val="24"/>
          <w:lang w:val="en-US"/>
        </w:rPr>
        <w:t xml:space="preserve"> </w:t>
      </w:r>
      <w:proofErr w:type="spellStart"/>
      <w:r w:rsidR="008A4451" w:rsidRPr="007720BC">
        <w:rPr>
          <w:rStyle w:val="rynqvb"/>
          <w:rFonts w:ascii="Times New Roman" w:hAnsi="Times New Roman" w:cs="Times New Roman"/>
          <w:sz w:val="24"/>
          <w:szCs w:val="24"/>
          <w:lang w:val="en-US"/>
        </w:rPr>
        <w:t>akan</w:t>
      </w:r>
      <w:proofErr w:type="spellEnd"/>
      <w:r w:rsidR="008A4451" w:rsidRPr="007720BC">
        <w:rPr>
          <w:rStyle w:val="rynqvb"/>
          <w:rFonts w:ascii="Times New Roman" w:hAnsi="Times New Roman" w:cs="Times New Roman"/>
          <w:sz w:val="24"/>
          <w:szCs w:val="24"/>
          <w:lang w:val="en-US"/>
        </w:rPr>
        <w:t xml:space="preserve"> </w:t>
      </w:r>
      <w:proofErr w:type="spellStart"/>
      <w:r w:rsidR="008A4451" w:rsidRPr="007720BC">
        <w:rPr>
          <w:rStyle w:val="rynqvb"/>
          <w:rFonts w:ascii="Times New Roman" w:hAnsi="Times New Roman" w:cs="Times New Roman"/>
          <w:sz w:val="24"/>
          <w:szCs w:val="24"/>
          <w:lang w:val="en-US"/>
        </w:rPr>
        <w:t>memberikan</w:t>
      </w:r>
      <w:proofErr w:type="spellEnd"/>
      <w:r w:rsidR="008A4451" w:rsidRPr="007720BC">
        <w:rPr>
          <w:rStyle w:val="rynqvb"/>
          <w:rFonts w:ascii="Times New Roman" w:hAnsi="Times New Roman" w:cs="Times New Roman"/>
          <w:sz w:val="24"/>
          <w:szCs w:val="24"/>
          <w:lang w:val="en-US"/>
        </w:rPr>
        <w:t xml:space="preserve"> </w:t>
      </w:r>
      <w:proofErr w:type="spellStart"/>
      <w:r w:rsidR="008A4451" w:rsidRPr="007720BC">
        <w:rPr>
          <w:rStyle w:val="rynqvb"/>
          <w:rFonts w:ascii="Times New Roman" w:hAnsi="Times New Roman" w:cs="Times New Roman"/>
          <w:sz w:val="24"/>
          <w:szCs w:val="24"/>
          <w:lang w:val="en-US"/>
        </w:rPr>
        <w:t>penguatan</w:t>
      </w:r>
      <w:proofErr w:type="spellEnd"/>
      <w:r w:rsidR="008A4451" w:rsidRPr="007720BC">
        <w:rPr>
          <w:rStyle w:val="rynqvb"/>
          <w:rFonts w:ascii="Times New Roman" w:hAnsi="Times New Roman" w:cs="Times New Roman"/>
          <w:sz w:val="24"/>
          <w:szCs w:val="24"/>
          <w:lang w:val="en-US"/>
        </w:rPr>
        <w:t xml:space="preserve"> </w:t>
      </w:r>
      <w:proofErr w:type="spellStart"/>
      <w:r w:rsidR="008A4451" w:rsidRPr="007720BC">
        <w:rPr>
          <w:rStyle w:val="rynqvb"/>
          <w:rFonts w:ascii="Times New Roman" w:hAnsi="Times New Roman" w:cs="Times New Roman"/>
          <w:sz w:val="24"/>
          <w:szCs w:val="24"/>
          <w:lang w:val="en-US"/>
        </w:rPr>
        <w:t>dalam</w:t>
      </w:r>
      <w:proofErr w:type="spellEnd"/>
      <w:r w:rsidR="008A4451" w:rsidRPr="007720BC">
        <w:rPr>
          <w:rStyle w:val="rynqvb"/>
          <w:rFonts w:ascii="Times New Roman" w:hAnsi="Times New Roman" w:cs="Times New Roman"/>
          <w:sz w:val="24"/>
          <w:szCs w:val="24"/>
          <w:lang w:val="en-US"/>
        </w:rPr>
        <w:t xml:space="preserve"> </w:t>
      </w:r>
      <w:proofErr w:type="spellStart"/>
      <w:r w:rsidR="008A4451" w:rsidRPr="007720BC">
        <w:rPr>
          <w:rStyle w:val="rynqvb"/>
          <w:rFonts w:ascii="Times New Roman" w:hAnsi="Times New Roman" w:cs="Times New Roman"/>
          <w:sz w:val="24"/>
          <w:szCs w:val="24"/>
          <w:lang w:val="en-US"/>
        </w:rPr>
        <w:t>merespon</w:t>
      </w:r>
      <w:proofErr w:type="spellEnd"/>
      <w:r w:rsidR="008A4451" w:rsidRPr="007720BC">
        <w:rPr>
          <w:rStyle w:val="rynqvb"/>
          <w:rFonts w:ascii="Times New Roman" w:hAnsi="Times New Roman" w:cs="Times New Roman"/>
          <w:sz w:val="24"/>
          <w:szCs w:val="24"/>
          <w:lang w:val="en-US"/>
        </w:rPr>
        <w:t xml:space="preserve"> dan </w:t>
      </w:r>
      <w:proofErr w:type="spellStart"/>
      <w:r w:rsidR="008A4451" w:rsidRPr="007720BC">
        <w:rPr>
          <w:rStyle w:val="rynqvb"/>
          <w:rFonts w:ascii="Times New Roman" w:hAnsi="Times New Roman" w:cs="Times New Roman"/>
          <w:sz w:val="24"/>
          <w:szCs w:val="24"/>
          <w:lang w:val="en-US"/>
        </w:rPr>
        <w:t>menyelesaikan</w:t>
      </w:r>
      <w:proofErr w:type="spellEnd"/>
      <w:r w:rsidR="008A4451" w:rsidRPr="007720BC">
        <w:rPr>
          <w:rStyle w:val="rynqvb"/>
          <w:rFonts w:ascii="Times New Roman" w:hAnsi="Times New Roman" w:cs="Times New Roman"/>
          <w:sz w:val="24"/>
          <w:szCs w:val="24"/>
          <w:lang w:val="en-US"/>
        </w:rPr>
        <w:t xml:space="preserve"> </w:t>
      </w:r>
      <w:proofErr w:type="spellStart"/>
      <w:r w:rsidR="008A4451" w:rsidRPr="007720BC">
        <w:rPr>
          <w:rStyle w:val="rynqvb"/>
          <w:rFonts w:ascii="Times New Roman" w:hAnsi="Times New Roman" w:cs="Times New Roman"/>
          <w:sz w:val="24"/>
          <w:szCs w:val="24"/>
          <w:lang w:val="en-US"/>
        </w:rPr>
        <w:t>problematika</w:t>
      </w:r>
      <w:proofErr w:type="spellEnd"/>
      <w:r w:rsidR="008A4451" w:rsidRPr="007720BC">
        <w:rPr>
          <w:rStyle w:val="rynqvb"/>
          <w:rFonts w:ascii="Times New Roman" w:hAnsi="Times New Roman" w:cs="Times New Roman"/>
          <w:sz w:val="24"/>
          <w:szCs w:val="24"/>
          <w:lang w:val="en-US"/>
        </w:rPr>
        <w:t xml:space="preserve"> di </w:t>
      </w:r>
      <w:proofErr w:type="spellStart"/>
      <w:r w:rsidR="008A4451" w:rsidRPr="007720BC">
        <w:rPr>
          <w:rStyle w:val="rynqvb"/>
          <w:rFonts w:ascii="Times New Roman" w:hAnsi="Times New Roman" w:cs="Times New Roman"/>
          <w:sz w:val="24"/>
          <w:szCs w:val="24"/>
          <w:lang w:val="en-US"/>
        </w:rPr>
        <w:t>tengah</w:t>
      </w:r>
      <w:proofErr w:type="spellEnd"/>
      <w:r w:rsidR="008A4451" w:rsidRPr="007720BC">
        <w:rPr>
          <w:rStyle w:val="rynqvb"/>
          <w:rFonts w:ascii="Times New Roman" w:hAnsi="Times New Roman" w:cs="Times New Roman"/>
          <w:sz w:val="24"/>
          <w:szCs w:val="24"/>
          <w:lang w:val="en-US"/>
        </w:rPr>
        <w:t xml:space="preserve"> </w:t>
      </w:r>
      <w:proofErr w:type="spellStart"/>
      <w:r w:rsidR="008A4451" w:rsidRPr="007720BC">
        <w:rPr>
          <w:rStyle w:val="rynqvb"/>
          <w:rFonts w:ascii="Times New Roman" w:hAnsi="Times New Roman" w:cs="Times New Roman"/>
          <w:sz w:val="24"/>
          <w:szCs w:val="24"/>
          <w:lang w:val="en-US"/>
        </w:rPr>
        <w:t>masyarakat</w:t>
      </w:r>
      <w:proofErr w:type="spellEnd"/>
      <w:r w:rsidR="008A4451" w:rsidRPr="007720BC">
        <w:rPr>
          <w:rStyle w:val="rynqvb"/>
          <w:rFonts w:ascii="Times New Roman" w:hAnsi="Times New Roman" w:cs="Times New Roman"/>
          <w:sz w:val="24"/>
          <w:szCs w:val="24"/>
          <w:lang w:val="en-US"/>
        </w:rPr>
        <w:t xml:space="preserve"> </w:t>
      </w:r>
      <w:r w:rsidR="008A4451" w:rsidRPr="007720BC">
        <w:rPr>
          <w:rStyle w:val="rynqvb"/>
          <w:rFonts w:ascii="Times New Roman" w:hAnsi="Times New Roman" w:cs="Times New Roman"/>
          <w:sz w:val="24"/>
          <w:szCs w:val="24"/>
          <w:lang w:val="en-US"/>
        </w:rPr>
        <w:fldChar w:fldCharType="begin" w:fldLock="1"/>
      </w:r>
      <w:r w:rsidR="007127C4" w:rsidRPr="007720BC">
        <w:rPr>
          <w:rStyle w:val="rynqvb"/>
          <w:rFonts w:ascii="Times New Roman" w:hAnsi="Times New Roman" w:cs="Times New Roman"/>
          <w:sz w:val="24"/>
          <w:szCs w:val="24"/>
          <w:lang w:val="en-US"/>
        </w:rPr>
        <w:instrText>ADDIN CSL_CITATION {"citationItems":[{"id":"ITEM-1","itemData":{"abstract":"Tujuan dari penelitian ini adalah menganalisis inovasi kebijakan publik dalam perspektif konseptual dan empiris disertai dengan berbagai contoh penerapan kebijakan publik yang berbasis inovatif dari berbagai daerah. Inovasi kebijakan publik sebagai sebuah keniscayaan secara prinsip dan substantif akan memberikan penguatan dalam merespon dan menyelesaikan problematika kebijakan publik yang berlangsung di tengah masyarakat. Metode yang digunakan adalah pendekatan kualitatif. Teknik yang dilakukan oleh peneliti adalah survei literatur akademis di bidang keilmuan kebijakan publik guna memperoleh konsep-konsep yang relevan dengan kajian inovasi kebijakan publik. Sedangkan pengumpulan data dilakukan melalui penelusuran berbagai sumber baik dari dokumen pemerintah maupun pemberitaan media massa cetak dan elektronik sebagai data sekunder yang kemudian diolah dan dideskripsikan dalam bentuk narasi sesuai dengan kebutuhan data. Kemudian dilakukan analisis data berdasarkan teori dan konsep kebijakan publik serta selanjutnya dilakukan proses intreprtasi data. Hasil yang ingin dicapai dalam penelitian ini adalah adanya upaya-upaya inovasi kebijakan publik yang berdimensi kebaruan dan kemanfaatan sehingga diharapkan dapat memberikan dampak pada upaya yang lebih kongkrit dan membangun partisipasi masyarakat secara berkesinambungan. Inovasi diterapkan bukan hanya pada tahap evaluasi kebijakan publik akan tetapi diterapkan sejak awal perencanaan kebijakan publik, implementasi dan evaluasi kebijakan publik","author":[{"dropping-particle":"","family":"Sururi","given":"Ahmad","non-dropping-particle":"","parse-names":false,"suffix":""}],"container-title":"Sawala Jurnal Administrasi Negara","id":"ITEM-1","issue":"3","issued":{"date-parts":[["2016"]]},"page":"1-14","title":"Inovasi Kebijakan Publik, Tinjauan Konseptual dan Empiris","type":"article-journal","volume":"4"},"uris":["http://www.mendeley.com/documents/?uuid=6a307b20-7459-486c-b9d3-a885c0203640"]}],"mendeley":{"formattedCitation":"(Sururi 2016)","plainTextFormattedCitation":"(Sururi 2016)","previouslyFormattedCitation":"(Sururi 2016)"},"properties":{"noteIndex":0},"schema":"https://github.com/citation-style-language/schema/raw/master/csl-citation.json"}</w:instrText>
      </w:r>
      <w:r w:rsidR="008A4451" w:rsidRPr="007720BC">
        <w:rPr>
          <w:rStyle w:val="rynqvb"/>
          <w:rFonts w:ascii="Times New Roman" w:hAnsi="Times New Roman" w:cs="Times New Roman"/>
          <w:sz w:val="24"/>
          <w:szCs w:val="24"/>
          <w:lang w:val="en-US"/>
        </w:rPr>
        <w:fldChar w:fldCharType="separate"/>
      </w:r>
      <w:r w:rsidR="008A4451" w:rsidRPr="007720BC">
        <w:rPr>
          <w:rStyle w:val="rynqvb"/>
          <w:rFonts w:ascii="Times New Roman" w:hAnsi="Times New Roman" w:cs="Times New Roman"/>
          <w:noProof/>
          <w:sz w:val="24"/>
          <w:szCs w:val="24"/>
          <w:lang w:val="en-US"/>
        </w:rPr>
        <w:t>(Sururi 2016)</w:t>
      </w:r>
      <w:r w:rsidR="008A4451" w:rsidRPr="007720BC">
        <w:rPr>
          <w:rStyle w:val="rynqvb"/>
          <w:rFonts w:ascii="Times New Roman" w:hAnsi="Times New Roman" w:cs="Times New Roman"/>
          <w:sz w:val="24"/>
          <w:szCs w:val="24"/>
          <w:lang w:val="en-US"/>
        </w:rPr>
        <w:fldChar w:fldCharType="end"/>
      </w:r>
      <w:r w:rsidR="005C25D3" w:rsidRPr="007720BC">
        <w:rPr>
          <w:rStyle w:val="rynqvb"/>
          <w:rFonts w:ascii="Times New Roman" w:hAnsi="Times New Roman" w:cs="Times New Roman"/>
          <w:sz w:val="24"/>
          <w:szCs w:val="24"/>
          <w:lang w:val="en-US"/>
        </w:rPr>
        <w:t>, o</w:t>
      </w:r>
      <w:r w:rsidR="00486FF0" w:rsidRPr="007720BC">
        <w:rPr>
          <w:rStyle w:val="rynqvb"/>
          <w:rFonts w:ascii="Times New Roman" w:hAnsi="Times New Roman" w:cs="Times New Roman"/>
          <w:sz w:val="24"/>
          <w:szCs w:val="24"/>
          <w:lang w:val="en-US"/>
        </w:rPr>
        <w:t xml:space="preserve">leh </w:t>
      </w:r>
      <w:proofErr w:type="spellStart"/>
      <w:r w:rsidR="00486FF0" w:rsidRPr="007720BC">
        <w:rPr>
          <w:rStyle w:val="rynqvb"/>
          <w:rFonts w:ascii="Times New Roman" w:hAnsi="Times New Roman" w:cs="Times New Roman"/>
          <w:sz w:val="24"/>
          <w:szCs w:val="24"/>
          <w:lang w:val="en-US"/>
        </w:rPr>
        <w:t>sebab</w:t>
      </w:r>
      <w:proofErr w:type="spellEnd"/>
      <w:r w:rsidR="00486FF0" w:rsidRPr="007720BC">
        <w:rPr>
          <w:rStyle w:val="rynqvb"/>
          <w:rFonts w:ascii="Times New Roman" w:hAnsi="Times New Roman" w:cs="Times New Roman"/>
          <w:sz w:val="24"/>
          <w:szCs w:val="24"/>
          <w:lang w:val="en-US"/>
        </w:rPr>
        <w:t xml:space="preserve"> </w:t>
      </w:r>
      <w:proofErr w:type="spellStart"/>
      <w:r w:rsidR="00486FF0" w:rsidRPr="007720BC">
        <w:rPr>
          <w:rStyle w:val="rynqvb"/>
          <w:rFonts w:ascii="Times New Roman" w:hAnsi="Times New Roman" w:cs="Times New Roman"/>
          <w:sz w:val="24"/>
          <w:szCs w:val="24"/>
          <w:lang w:val="en-US"/>
        </w:rPr>
        <w:t>itu</w:t>
      </w:r>
      <w:proofErr w:type="spellEnd"/>
      <w:r w:rsidR="00486FF0" w:rsidRPr="007720BC">
        <w:rPr>
          <w:rStyle w:val="rynqvb"/>
          <w:rFonts w:ascii="Times New Roman" w:hAnsi="Times New Roman" w:cs="Times New Roman"/>
          <w:sz w:val="24"/>
          <w:szCs w:val="24"/>
          <w:lang w:val="en-US"/>
        </w:rPr>
        <w:t xml:space="preserve"> </w:t>
      </w:r>
      <w:proofErr w:type="spellStart"/>
      <w:r w:rsidR="005C25D3" w:rsidRPr="007720BC">
        <w:rPr>
          <w:rStyle w:val="rynqvb"/>
          <w:rFonts w:ascii="Times New Roman" w:hAnsi="Times New Roman" w:cs="Times New Roman"/>
          <w:sz w:val="24"/>
          <w:szCs w:val="24"/>
          <w:lang w:val="en-US"/>
        </w:rPr>
        <w:t>dukungan</w:t>
      </w:r>
      <w:proofErr w:type="spellEnd"/>
      <w:r w:rsidR="005C25D3" w:rsidRPr="007720BC">
        <w:rPr>
          <w:rStyle w:val="rynqvb"/>
          <w:rFonts w:ascii="Times New Roman" w:hAnsi="Times New Roman" w:cs="Times New Roman"/>
          <w:sz w:val="24"/>
          <w:szCs w:val="24"/>
          <w:lang w:val="en-US"/>
        </w:rPr>
        <w:t xml:space="preserve"> </w:t>
      </w:r>
      <w:proofErr w:type="spellStart"/>
      <w:r w:rsidR="005C25D3" w:rsidRPr="007720BC">
        <w:rPr>
          <w:rStyle w:val="rynqvb"/>
          <w:rFonts w:ascii="Times New Roman" w:hAnsi="Times New Roman" w:cs="Times New Roman"/>
          <w:sz w:val="24"/>
          <w:szCs w:val="24"/>
          <w:lang w:val="en-US"/>
        </w:rPr>
        <w:t>kolaborasi</w:t>
      </w:r>
      <w:proofErr w:type="spellEnd"/>
      <w:r w:rsidR="005C25D3" w:rsidRPr="007720BC">
        <w:rPr>
          <w:rStyle w:val="rynqvb"/>
          <w:rFonts w:ascii="Times New Roman" w:hAnsi="Times New Roman" w:cs="Times New Roman"/>
          <w:sz w:val="24"/>
          <w:szCs w:val="24"/>
          <w:lang w:val="en-US"/>
        </w:rPr>
        <w:t xml:space="preserve"> </w:t>
      </w:r>
      <w:proofErr w:type="spellStart"/>
      <w:r w:rsidR="005C25D3" w:rsidRPr="007720BC">
        <w:rPr>
          <w:rStyle w:val="rynqvb"/>
          <w:rFonts w:ascii="Times New Roman" w:hAnsi="Times New Roman" w:cs="Times New Roman"/>
          <w:sz w:val="24"/>
          <w:szCs w:val="24"/>
          <w:lang w:val="en-US"/>
        </w:rPr>
        <w:t>terhadap</w:t>
      </w:r>
      <w:proofErr w:type="spellEnd"/>
      <w:r w:rsidR="005C25D3" w:rsidRPr="007720BC">
        <w:rPr>
          <w:rStyle w:val="rynqvb"/>
          <w:rFonts w:ascii="Times New Roman" w:hAnsi="Times New Roman" w:cs="Times New Roman"/>
          <w:sz w:val="24"/>
          <w:szCs w:val="24"/>
          <w:lang w:val="en-US"/>
        </w:rPr>
        <w:t xml:space="preserve"> </w:t>
      </w:r>
      <w:proofErr w:type="spellStart"/>
      <w:r w:rsidR="005C25D3" w:rsidRPr="007720BC">
        <w:rPr>
          <w:rStyle w:val="rynqvb"/>
          <w:rFonts w:ascii="Times New Roman" w:hAnsi="Times New Roman" w:cs="Times New Roman"/>
          <w:sz w:val="24"/>
          <w:szCs w:val="24"/>
          <w:lang w:val="en-US"/>
        </w:rPr>
        <w:t>inovasi</w:t>
      </w:r>
      <w:proofErr w:type="spellEnd"/>
      <w:r w:rsidR="005C25D3" w:rsidRPr="007720BC">
        <w:rPr>
          <w:rStyle w:val="rynqvb"/>
          <w:rFonts w:ascii="Times New Roman" w:hAnsi="Times New Roman" w:cs="Times New Roman"/>
          <w:sz w:val="24"/>
          <w:szCs w:val="24"/>
          <w:lang w:val="en-US"/>
        </w:rPr>
        <w:t xml:space="preserve"> </w:t>
      </w:r>
      <w:r w:rsidR="005C25D3" w:rsidRPr="007720BC">
        <w:rPr>
          <w:rStyle w:val="rynqvb"/>
          <w:rFonts w:ascii="Times New Roman" w:hAnsi="Times New Roman" w:cs="Times New Roman"/>
          <w:sz w:val="24"/>
          <w:szCs w:val="24"/>
          <w:lang w:val="en-US"/>
        </w:rPr>
        <w:fldChar w:fldCharType="begin" w:fldLock="1"/>
      </w:r>
      <w:r w:rsidR="005C25D3" w:rsidRPr="007720BC">
        <w:rPr>
          <w:rStyle w:val="rynqvb"/>
          <w:rFonts w:ascii="Times New Roman" w:hAnsi="Times New Roman" w:cs="Times New Roman"/>
          <w:sz w:val="24"/>
          <w:szCs w:val="24"/>
          <w:lang w:val="en-US"/>
        </w:rPr>
        <w:instrText>ADDIN CSL_CITATION {"citationItems":[{"id":"ITEM-1","itemData":{"DOI":"10.3846/16111699.2013.823103","ISSN":"20294433","abstract":"Abstract: This article analyses the role of collaboration in the contribution of innovation to business performance. Moreover, the analysis considers business size as a key control variable to understand the moderating role of collaboration in innovation success. A survey administered to Spanish firms from industrial, building, agriculture, and trade-service sectors measured two levels of innovation, incremental and radical, and two dimensions of collaboration, channel and consulting advice. The findings show that the probability of success increases when firms use collaboration to support innovation efforts. In addition, small businesses take more advantage of channel collaboration, whereas large businesses rely more on consulting advice-based collaboration. These findings suggest that the convenience of different collaboration approaches depend on business size. Also small and large firms differ on the way they might get additional advantages from alternative ways of collaboration. Therefore, the main contribution is the understanding of how innovation success depends on the interaction between the collaboration approach and business size.","author":[{"dropping-particle":"","family":"González-Benito","given":"Óscar","non-dropping-particle":"","parse-names":false,"suffix":""},{"dropping-particle":"","family":"Muñoz-Gallego","given":"Pablo A.","non-dropping-particle":"","parse-names":false,"suffix":""},{"dropping-particle":"","family":"García-Zamora","given":"Evelyn","non-dropping-particle":"","parse-names":false,"suffix":""}],"container-title":"Journal of Business Economics and Management","id":"ITEM-1","issue":"4","issued":{"date-parts":[["2016"]]},"page":"645-662","title":"Role of Collaboration in Innovation Success: Differences for Large and Small Businesses","type":"article-journal","volume":"17"},"uris":["http://www.mendeley.com/documents/?uuid=cf0d9dc6-7210-4d27-8ce9-8d42773f78c0"]}],"mendeley":{"formattedCitation":"(González-Benito, Muñoz-Gallego, dan García-Zamora 2016)","plainTextFormattedCitation":"(González-Benito, Muñoz-Gallego, dan García-Zamora 2016)","previouslyFormattedCitation":"(González-Benito, Muñoz-Gallego, dan García-Zamora 2016)"},"properties":{"noteIndex":0},"schema":"https://github.com/citation-style-language/schema/raw/master/csl-citation.json"}</w:instrText>
      </w:r>
      <w:r w:rsidR="005C25D3" w:rsidRPr="007720BC">
        <w:rPr>
          <w:rStyle w:val="rynqvb"/>
          <w:rFonts w:ascii="Times New Roman" w:hAnsi="Times New Roman" w:cs="Times New Roman"/>
          <w:sz w:val="24"/>
          <w:szCs w:val="24"/>
          <w:lang w:val="en-US"/>
        </w:rPr>
        <w:fldChar w:fldCharType="separate"/>
      </w:r>
      <w:r w:rsidR="005C25D3" w:rsidRPr="007720BC">
        <w:rPr>
          <w:rStyle w:val="rynqvb"/>
          <w:rFonts w:ascii="Times New Roman" w:hAnsi="Times New Roman" w:cs="Times New Roman"/>
          <w:noProof/>
          <w:sz w:val="24"/>
          <w:szCs w:val="24"/>
          <w:lang w:val="en-US"/>
        </w:rPr>
        <w:t>(González-Benito, Muñoz-Gallego, dan García-Zamora 2016)</w:t>
      </w:r>
      <w:r w:rsidR="005C25D3" w:rsidRPr="007720BC">
        <w:rPr>
          <w:rStyle w:val="rynqvb"/>
          <w:rFonts w:ascii="Times New Roman" w:hAnsi="Times New Roman" w:cs="Times New Roman"/>
          <w:sz w:val="24"/>
          <w:szCs w:val="24"/>
          <w:lang w:val="en-US"/>
        </w:rPr>
        <w:fldChar w:fldCharType="end"/>
      </w:r>
      <w:r w:rsidR="005C25D3" w:rsidRPr="007720BC">
        <w:rPr>
          <w:rStyle w:val="rynqvb"/>
          <w:rFonts w:ascii="Times New Roman" w:hAnsi="Times New Roman" w:cs="Times New Roman"/>
          <w:sz w:val="24"/>
          <w:szCs w:val="24"/>
          <w:lang w:val="en-US"/>
        </w:rPr>
        <w:t xml:space="preserve"> yang</w:t>
      </w:r>
      <w:r w:rsidR="005C25D3" w:rsidRPr="007720BC">
        <w:rPr>
          <w:rStyle w:val="rynqvb"/>
          <w:rFonts w:ascii="Times New Roman" w:hAnsi="Times New Roman" w:cs="Times New Roman"/>
          <w:sz w:val="24"/>
          <w:szCs w:val="24"/>
          <w:lang w:val="id-ID"/>
        </w:rPr>
        <w:t xml:space="preserve"> terwujud sebagai sarana penting bagi inovasi sektor publik</w:t>
      </w:r>
      <w:r w:rsidR="005C25D3" w:rsidRPr="007720BC">
        <w:rPr>
          <w:rStyle w:val="rynqvb"/>
          <w:rFonts w:ascii="Times New Roman" w:hAnsi="Times New Roman" w:cs="Times New Roman"/>
          <w:sz w:val="24"/>
          <w:szCs w:val="24"/>
          <w:lang w:val="en-US"/>
        </w:rPr>
        <w:t xml:space="preserve"> </w:t>
      </w:r>
      <w:r w:rsidR="005C25D3" w:rsidRPr="007720BC">
        <w:rPr>
          <w:rStyle w:val="rynqvb"/>
          <w:rFonts w:ascii="Times New Roman" w:hAnsi="Times New Roman" w:cs="Times New Roman"/>
          <w:sz w:val="24"/>
          <w:szCs w:val="24"/>
          <w:lang w:val="en-US"/>
        </w:rPr>
        <w:fldChar w:fldCharType="begin" w:fldLock="1"/>
      </w:r>
      <w:r w:rsidR="00DF4F28" w:rsidRPr="007720BC">
        <w:rPr>
          <w:rStyle w:val="rynqvb"/>
          <w:rFonts w:ascii="Times New Roman" w:hAnsi="Times New Roman" w:cs="Times New Roman"/>
          <w:sz w:val="24"/>
          <w:szCs w:val="24"/>
          <w:lang w:val="en-US"/>
        </w:rPr>
        <w:instrText>ADDIN CSL_CITATION {"citationItems":[{"id":"ITEM-1","itemData":{"DOI":"10.1080/01900692.2022.2062382","ISSN":"15324265","abstract":"Research has shown that red tape negatively affects both innovation and collaboration. Yet studies on barriers to collaborative innovation rarely consider red tape. Through a systematic literature review, we examined 74 empirical studies linking red tape to innovation and collaboration. They were analyzed taking into account the dimensions of red tape discussed (budget, communication and information, personnel, and procurement red tape) and red tape’s effects on collaboration and innovation. This way we identified four different categories of effects red tape can have on collaborative innovation. We discovered that these effects could be linked to specific red tape dimensions.","author":[{"dropping-particle":"","family":"Dijck","given":"Charlotte","non-dropping-particle":"Van","parse-names":false,"suffix":""},{"dropping-particle":"","family":"Steen","given":"Trui","non-dropping-particle":"","parse-names":false,"suffix":""}],"container-title":"International Journal of Public Administration","id":"ITEM-1","issue":"14","issued":{"date-parts":[["2022"]]},"page":"994-1005","publisher":"Routledge","title":"Collaborating for Innovation: A Systematic Review of the Red Tape Effects at Play","type":"article-journal","volume":"46"},"uris":["http://www.mendeley.com/documents/?uuid=6260ad3b-9bb4-405b-8b2a-409cead38fde"]}],"mendeley":{"formattedCitation":"(Van Dijck dan Steen 2022)","plainTextFormattedCitation":"(Van Dijck dan Steen 2022)","previouslyFormattedCitation":"(Van Dijck dan Steen 2022)"},"properties":{"noteIndex":0},"schema":"https://github.com/citation-style-language/schema/raw/master/csl-citation.json"}</w:instrText>
      </w:r>
      <w:r w:rsidR="005C25D3" w:rsidRPr="007720BC">
        <w:rPr>
          <w:rStyle w:val="rynqvb"/>
          <w:rFonts w:ascii="Times New Roman" w:hAnsi="Times New Roman" w:cs="Times New Roman"/>
          <w:sz w:val="24"/>
          <w:szCs w:val="24"/>
          <w:lang w:val="en-US"/>
        </w:rPr>
        <w:fldChar w:fldCharType="separate"/>
      </w:r>
      <w:r w:rsidR="005C25D3" w:rsidRPr="007720BC">
        <w:rPr>
          <w:rStyle w:val="rynqvb"/>
          <w:rFonts w:ascii="Times New Roman" w:hAnsi="Times New Roman" w:cs="Times New Roman"/>
          <w:noProof/>
          <w:sz w:val="24"/>
          <w:szCs w:val="24"/>
          <w:lang w:val="en-US"/>
        </w:rPr>
        <w:t>(Van Dijck dan Steen 2022)</w:t>
      </w:r>
      <w:r w:rsidR="005C25D3" w:rsidRPr="007720BC">
        <w:rPr>
          <w:rStyle w:val="rynqvb"/>
          <w:rFonts w:ascii="Times New Roman" w:hAnsi="Times New Roman" w:cs="Times New Roman"/>
          <w:sz w:val="24"/>
          <w:szCs w:val="24"/>
          <w:lang w:val="en-US"/>
        </w:rPr>
        <w:fldChar w:fldCharType="end"/>
      </w:r>
      <w:r w:rsidR="005C25D3" w:rsidRPr="007720BC">
        <w:rPr>
          <w:rStyle w:val="rynqvb"/>
          <w:rFonts w:ascii="Times New Roman" w:hAnsi="Times New Roman" w:cs="Times New Roman"/>
          <w:sz w:val="24"/>
          <w:szCs w:val="24"/>
          <w:lang w:val="en-US"/>
        </w:rPr>
        <w:t xml:space="preserve"> </w:t>
      </w:r>
      <w:proofErr w:type="spellStart"/>
      <w:r w:rsidR="005C25D3" w:rsidRPr="007720BC">
        <w:rPr>
          <w:rStyle w:val="rynqvb"/>
          <w:rFonts w:ascii="Times New Roman" w:hAnsi="Times New Roman" w:cs="Times New Roman"/>
          <w:sz w:val="24"/>
          <w:szCs w:val="24"/>
          <w:lang w:val="en-US"/>
        </w:rPr>
        <w:t>dapat</w:t>
      </w:r>
      <w:proofErr w:type="spellEnd"/>
      <w:r w:rsidR="005C25D3" w:rsidRPr="007720BC">
        <w:rPr>
          <w:rStyle w:val="rynqvb"/>
          <w:rFonts w:ascii="Times New Roman" w:hAnsi="Times New Roman" w:cs="Times New Roman"/>
          <w:sz w:val="24"/>
          <w:szCs w:val="24"/>
          <w:lang w:val="en-US"/>
        </w:rPr>
        <w:t xml:space="preserve"> </w:t>
      </w:r>
      <w:proofErr w:type="spellStart"/>
      <w:r w:rsidR="005C25D3" w:rsidRPr="007720BC">
        <w:rPr>
          <w:rStyle w:val="rynqvb"/>
          <w:rFonts w:ascii="Times New Roman" w:hAnsi="Times New Roman" w:cs="Times New Roman"/>
          <w:sz w:val="24"/>
          <w:szCs w:val="24"/>
          <w:lang w:val="en-US"/>
        </w:rPr>
        <w:t>menjadi</w:t>
      </w:r>
      <w:proofErr w:type="spellEnd"/>
      <w:r w:rsidR="005C25D3" w:rsidRPr="007720BC">
        <w:rPr>
          <w:rStyle w:val="rynqvb"/>
          <w:rFonts w:ascii="Times New Roman" w:hAnsi="Times New Roman" w:cs="Times New Roman"/>
          <w:sz w:val="24"/>
          <w:szCs w:val="24"/>
          <w:lang w:val="en-US"/>
        </w:rPr>
        <w:t xml:space="preserve"> instrument </w:t>
      </w:r>
      <w:proofErr w:type="spellStart"/>
      <w:r w:rsidR="005C25D3" w:rsidRPr="007720BC">
        <w:rPr>
          <w:rStyle w:val="rynqvb"/>
          <w:rFonts w:ascii="Times New Roman" w:hAnsi="Times New Roman" w:cs="Times New Roman"/>
          <w:sz w:val="24"/>
          <w:szCs w:val="24"/>
          <w:lang w:val="en-US"/>
        </w:rPr>
        <w:t>penurunan</w:t>
      </w:r>
      <w:proofErr w:type="spellEnd"/>
      <w:r w:rsidR="005C25D3" w:rsidRPr="007720BC">
        <w:rPr>
          <w:rStyle w:val="rynqvb"/>
          <w:rFonts w:ascii="Times New Roman" w:hAnsi="Times New Roman" w:cs="Times New Roman"/>
          <w:sz w:val="24"/>
          <w:szCs w:val="24"/>
          <w:lang w:val="en-US"/>
        </w:rPr>
        <w:t xml:space="preserve"> </w:t>
      </w:r>
      <w:proofErr w:type="spellStart"/>
      <w:r w:rsidR="005C25D3" w:rsidRPr="007720BC">
        <w:rPr>
          <w:rStyle w:val="rynqvb"/>
          <w:rFonts w:ascii="Times New Roman" w:hAnsi="Times New Roman" w:cs="Times New Roman"/>
          <w:sz w:val="24"/>
          <w:szCs w:val="24"/>
          <w:lang w:val="en-US"/>
        </w:rPr>
        <w:t>percepatan</w:t>
      </w:r>
      <w:proofErr w:type="spellEnd"/>
      <w:r w:rsidR="005C25D3" w:rsidRPr="007720BC">
        <w:rPr>
          <w:rStyle w:val="rynqvb"/>
          <w:rFonts w:ascii="Times New Roman" w:hAnsi="Times New Roman" w:cs="Times New Roman"/>
          <w:sz w:val="24"/>
          <w:szCs w:val="24"/>
          <w:lang w:val="en-US"/>
        </w:rPr>
        <w:t xml:space="preserve"> stunting </w:t>
      </w:r>
      <w:proofErr w:type="spellStart"/>
      <w:r w:rsidR="005C25D3" w:rsidRPr="007720BC">
        <w:rPr>
          <w:rStyle w:val="rynqvb"/>
          <w:rFonts w:ascii="Times New Roman" w:hAnsi="Times New Roman" w:cs="Times New Roman"/>
          <w:sz w:val="24"/>
          <w:szCs w:val="24"/>
          <w:lang w:val="en-US"/>
        </w:rPr>
        <w:t>berkelanjutan</w:t>
      </w:r>
      <w:proofErr w:type="spellEnd"/>
      <w:r w:rsidR="005C25D3" w:rsidRPr="007720BC">
        <w:rPr>
          <w:rStyle w:val="rynqvb"/>
          <w:rFonts w:ascii="Times New Roman" w:hAnsi="Times New Roman" w:cs="Times New Roman"/>
          <w:sz w:val="24"/>
          <w:szCs w:val="24"/>
          <w:lang w:val="en-US"/>
        </w:rPr>
        <w:t xml:space="preserve"> di Kampung KB Desa </w:t>
      </w:r>
      <w:proofErr w:type="spellStart"/>
      <w:r w:rsidR="005C25D3" w:rsidRPr="007720BC">
        <w:rPr>
          <w:rStyle w:val="rynqvb"/>
          <w:rFonts w:ascii="Times New Roman" w:hAnsi="Times New Roman" w:cs="Times New Roman"/>
          <w:sz w:val="24"/>
          <w:szCs w:val="24"/>
          <w:lang w:val="en-US"/>
        </w:rPr>
        <w:t>Mongpok</w:t>
      </w:r>
      <w:proofErr w:type="spellEnd"/>
      <w:r w:rsidR="005C25D3" w:rsidRPr="007720BC">
        <w:rPr>
          <w:rStyle w:val="rynqvb"/>
          <w:rFonts w:ascii="Times New Roman" w:hAnsi="Times New Roman" w:cs="Times New Roman"/>
          <w:sz w:val="24"/>
          <w:szCs w:val="24"/>
          <w:lang w:val="en-US"/>
        </w:rPr>
        <w:t xml:space="preserve">. </w:t>
      </w:r>
    </w:p>
    <w:p w14:paraId="623B87F4" w14:textId="77777777" w:rsidR="00AE3783" w:rsidRPr="007720BC" w:rsidRDefault="00AE3783" w:rsidP="00CB2900">
      <w:pPr>
        <w:shd w:val="clear" w:color="auto" w:fill="FFFFFF"/>
        <w:spacing w:after="0" w:line="240" w:lineRule="auto"/>
        <w:contextualSpacing/>
        <w:jc w:val="both"/>
        <w:textAlignment w:val="baseline"/>
        <w:rPr>
          <w:rFonts w:ascii="Times New Roman" w:hAnsi="Times New Roman" w:cs="Times New Roman"/>
          <w:b/>
          <w:bCs/>
          <w:sz w:val="24"/>
          <w:szCs w:val="24"/>
        </w:rPr>
      </w:pPr>
    </w:p>
    <w:p w14:paraId="6B7FA582" w14:textId="455ED6F8" w:rsidR="00A638A7" w:rsidRPr="007720BC" w:rsidRDefault="00A638A7" w:rsidP="00CB2900">
      <w:pPr>
        <w:spacing w:after="0" w:line="240" w:lineRule="auto"/>
        <w:rPr>
          <w:rFonts w:ascii="Times New Roman" w:hAnsi="Times New Roman" w:cs="Times New Roman"/>
          <w:b/>
          <w:bCs/>
          <w:sz w:val="24"/>
          <w:szCs w:val="24"/>
        </w:rPr>
      </w:pPr>
      <w:proofErr w:type="spellStart"/>
      <w:r w:rsidRPr="007720BC">
        <w:rPr>
          <w:rFonts w:ascii="Times New Roman" w:hAnsi="Times New Roman" w:cs="Times New Roman"/>
          <w:b/>
          <w:bCs/>
          <w:sz w:val="24"/>
          <w:szCs w:val="24"/>
        </w:rPr>
        <w:t>Dukungan</w:t>
      </w:r>
      <w:proofErr w:type="spellEnd"/>
      <w:r w:rsidRPr="007720BC">
        <w:rPr>
          <w:rFonts w:ascii="Times New Roman" w:hAnsi="Times New Roman" w:cs="Times New Roman"/>
          <w:b/>
          <w:bCs/>
          <w:sz w:val="24"/>
          <w:szCs w:val="24"/>
        </w:rPr>
        <w:t xml:space="preserve"> </w:t>
      </w:r>
      <w:proofErr w:type="spellStart"/>
      <w:r w:rsidRPr="007720BC">
        <w:rPr>
          <w:rFonts w:ascii="Times New Roman" w:hAnsi="Times New Roman" w:cs="Times New Roman"/>
          <w:b/>
          <w:bCs/>
          <w:sz w:val="24"/>
          <w:szCs w:val="24"/>
        </w:rPr>
        <w:t>Pemerintah</w:t>
      </w:r>
      <w:proofErr w:type="spellEnd"/>
      <w:r w:rsidRPr="007720BC">
        <w:rPr>
          <w:rFonts w:ascii="Times New Roman" w:hAnsi="Times New Roman" w:cs="Times New Roman"/>
          <w:b/>
          <w:bCs/>
          <w:sz w:val="24"/>
          <w:szCs w:val="24"/>
        </w:rPr>
        <w:t xml:space="preserve"> yang </w:t>
      </w:r>
      <w:proofErr w:type="spellStart"/>
      <w:r w:rsidRPr="007720BC">
        <w:rPr>
          <w:rFonts w:ascii="Times New Roman" w:hAnsi="Times New Roman" w:cs="Times New Roman"/>
          <w:b/>
          <w:bCs/>
          <w:sz w:val="24"/>
          <w:szCs w:val="24"/>
        </w:rPr>
        <w:t>Efektif</w:t>
      </w:r>
      <w:proofErr w:type="spellEnd"/>
    </w:p>
    <w:p w14:paraId="5774E0EC" w14:textId="56185243" w:rsidR="008F301C" w:rsidRPr="007720BC" w:rsidRDefault="008F301C" w:rsidP="008F301C">
      <w:pPr>
        <w:spacing w:after="0" w:line="240" w:lineRule="auto"/>
        <w:ind w:firstLine="720"/>
        <w:jc w:val="both"/>
        <w:rPr>
          <w:rFonts w:ascii="Times New Roman" w:hAnsi="Times New Roman" w:cs="Times New Roman"/>
          <w:sz w:val="24"/>
          <w:szCs w:val="24"/>
        </w:rPr>
      </w:pPr>
      <w:proofErr w:type="spellStart"/>
      <w:r w:rsidRPr="007720BC">
        <w:rPr>
          <w:rFonts w:ascii="Times New Roman" w:hAnsi="Times New Roman" w:cs="Times New Roman"/>
          <w:sz w:val="24"/>
          <w:szCs w:val="24"/>
        </w:rPr>
        <w:t>Komitmen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Pemerintah</w:t>
      </w:r>
      <w:proofErr w:type="spellEnd"/>
      <w:r w:rsidRPr="007720BC">
        <w:rPr>
          <w:rFonts w:ascii="Times New Roman" w:hAnsi="Times New Roman" w:cs="Times New Roman"/>
          <w:sz w:val="24"/>
          <w:szCs w:val="24"/>
        </w:rPr>
        <w:t xml:space="preserve"> Indonesia </w:t>
      </w:r>
      <w:proofErr w:type="spellStart"/>
      <w:r w:rsidRPr="007720BC">
        <w:rPr>
          <w:rFonts w:ascii="Times New Roman" w:hAnsi="Times New Roman" w:cs="Times New Roman"/>
          <w:sz w:val="24"/>
          <w:szCs w:val="24"/>
        </w:rPr>
        <w:t>dalam</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mengatasi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permasalahan</w:t>
      </w:r>
      <w:proofErr w:type="spellEnd"/>
      <w:r w:rsidRPr="007720BC">
        <w:rPr>
          <w:rFonts w:ascii="Times New Roman" w:hAnsi="Times New Roman" w:cs="Times New Roman"/>
          <w:sz w:val="24"/>
          <w:szCs w:val="24"/>
        </w:rPr>
        <w:t xml:space="preserve"> stunting </w:t>
      </w:r>
      <w:proofErr w:type="spellStart"/>
      <w:r w:rsidRPr="007720BC">
        <w:rPr>
          <w:rFonts w:ascii="Times New Roman" w:hAnsi="Times New Roman" w:cs="Times New Roman"/>
          <w:sz w:val="24"/>
          <w:szCs w:val="24"/>
        </w:rPr>
        <w:t>yaitu</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bergabung</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dengan</w:t>
      </w:r>
      <w:proofErr w:type="spellEnd"/>
      <w:r w:rsidRPr="007720BC">
        <w:rPr>
          <w:rFonts w:ascii="Times New Roman" w:hAnsi="Times New Roman" w:cs="Times New Roman"/>
          <w:sz w:val="24"/>
          <w:szCs w:val="24"/>
        </w:rPr>
        <w:t xml:space="preserve"> Gerakan Scaling Up Nutrition (SUN) Network pada </w:t>
      </w:r>
      <w:proofErr w:type="spellStart"/>
      <w:r w:rsidRPr="007720BC">
        <w:rPr>
          <w:rFonts w:ascii="Times New Roman" w:hAnsi="Times New Roman" w:cs="Times New Roman"/>
          <w:sz w:val="24"/>
          <w:szCs w:val="24"/>
        </w:rPr>
        <w:t>tahun</w:t>
      </w:r>
      <w:proofErr w:type="spellEnd"/>
      <w:r w:rsidRPr="007720BC">
        <w:rPr>
          <w:rFonts w:ascii="Times New Roman" w:hAnsi="Times New Roman" w:cs="Times New Roman"/>
          <w:sz w:val="24"/>
          <w:szCs w:val="24"/>
        </w:rPr>
        <w:t xml:space="preserve"> 2011. </w:t>
      </w:r>
      <w:proofErr w:type="spellStart"/>
      <w:r w:rsidRPr="007720BC">
        <w:rPr>
          <w:rFonts w:ascii="Times New Roman" w:hAnsi="Times New Roman" w:cs="Times New Roman"/>
          <w:sz w:val="24"/>
          <w:szCs w:val="24"/>
        </w:rPr>
        <w:t>Sebagai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bentuk</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komitmennya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pemerintah</w:t>
      </w:r>
      <w:proofErr w:type="spellEnd"/>
      <w:r w:rsidRPr="007720BC">
        <w:rPr>
          <w:rFonts w:ascii="Times New Roman" w:hAnsi="Times New Roman" w:cs="Times New Roman"/>
          <w:sz w:val="24"/>
          <w:szCs w:val="24"/>
        </w:rPr>
        <w:t xml:space="preserve"> Indonesia </w:t>
      </w:r>
      <w:proofErr w:type="spellStart"/>
      <w:r w:rsidRPr="007720BC">
        <w:rPr>
          <w:rFonts w:ascii="Times New Roman" w:hAnsi="Times New Roman" w:cs="Times New Roman"/>
          <w:sz w:val="24"/>
          <w:szCs w:val="24"/>
        </w:rPr>
        <w:t>mengeluarkan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Peraturan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Presiden</w:t>
      </w:r>
      <w:proofErr w:type="spellEnd"/>
      <w:r w:rsidRPr="007720BC">
        <w:rPr>
          <w:rFonts w:ascii="Times New Roman" w:hAnsi="Times New Roman" w:cs="Times New Roman"/>
          <w:sz w:val="24"/>
          <w:szCs w:val="24"/>
        </w:rPr>
        <w:t xml:space="preserve"> No. 42 </w:t>
      </w:r>
      <w:proofErr w:type="spellStart"/>
      <w:r w:rsidRPr="007720BC">
        <w:rPr>
          <w:rFonts w:ascii="Times New Roman" w:hAnsi="Times New Roman" w:cs="Times New Roman"/>
          <w:sz w:val="24"/>
          <w:szCs w:val="24"/>
        </w:rPr>
        <w:t>Tahun</w:t>
      </w:r>
      <w:proofErr w:type="spellEnd"/>
      <w:r w:rsidRPr="007720BC">
        <w:rPr>
          <w:rFonts w:ascii="Times New Roman" w:hAnsi="Times New Roman" w:cs="Times New Roman"/>
          <w:sz w:val="24"/>
          <w:szCs w:val="24"/>
        </w:rPr>
        <w:t xml:space="preserve"> 2013 </w:t>
      </w:r>
      <w:proofErr w:type="spellStart"/>
      <w:r w:rsidRPr="007720BC">
        <w:rPr>
          <w:rFonts w:ascii="Times New Roman" w:hAnsi="Times New Roman" w:cs="Times New Roman"/>
          <w:sz w:val="24"/>
          <w:szCs w:val="24"/>
        </w:rPr>
        <w:t>tentang</w:t>
      </w:r>
      <w:proofErr w:type="spellEnd"/>
      <w:r w:rsidRPr="007720BC">
        <w:rPr>
          <w:rFonts w:ascii="Times New Roman" w:hAnsi="Times New Roman" w:cs="Times New Roman"/>
          <w:sz w:val="24"/>
          <w:szCs w:val="24"/>
        </w:rPr>
        <w:t xml:space="preserve"> Gerakan Nasional </w:t>
      </w:r>
      <w:proofErr w:type="spellStart"/>
      <w:r w:rsidRPr="007720BC">
        <w:rPr>
          <w:rFonts w:ascii="Times New Roman" w:hAnsi="Times New Roman" w:cs="Times New Roman"/>
          <w:sz w:val="24"/>
          <w:szCs w:val="24"/>
        </w:rPr>
        <w:t>Percepatan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Perbaikan</w:t>
      </w:r>
      <w:proofErr w:type="spellEnd"/>
      <w:r w:rsidRPr="007720BC">
        <w:rPr>
          <w:rFonts w:ascii="Times New Roman" w:hAnsi="Times New Roman" w:cs="Times New Roman"/>
          <w:sz w:val="24"/>
          <w:szCs w:val="24"/>
        </w:rPr>
        <w:t xml:space="preserve"> Gizi yang </w:t>
      </w:r>
      <w:proofErr w:type="spellStart"/>
      <w:r w:rsidRPr="007720BC">
        <w:rPr>
          <w:rFonts w:ascii="Times New Roman" w:hAnsi="Times New Roman" w:cs="Times New Roman"/>
          <w:sz w:val="24"/>
          <w:szCs w:val="24"/>
        </w:rPr>
        <w:t>berfokus</w:t>
      </w:r>
      <w:proofErr w:type="spellEnd"/>
      <w:r w:rsidRPr="007720BC">
        <w:rPr>
          <w:rFonts w:ascii="Times New Roman" w:hAnsi="Times New Roman" w:cs="Times New Roman"/>
          <w:sz w:val="24"/>
          <w:szCs w:val="24"/>
        </w:rPr>
        <w:t xml:space="preserve"> pada 1000 Hari </w:t>
      </w:r>
      <w:proofErr w:type="spellStart"/>
      <w:r w:rsidRPr="007720BC">
        <w:rPr>
          <w:rFonts w:ascii="Times New Roman" w:hAnsi="Times New Roman" w:cs="Times New Roman"/>
          <w:sz w:val="24"/>
          <w:szCs w:val="24"/>
        </w:rPr>
        <w:t>Pertama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Kehidupan</w:t>
      </w:r>
      <w:proofErr w:type="spellEnd"/>
      <w:r w:rsidRPr="007720BC">
        <w:rPr>
          <w:rFonts w:ascii="Times New Roman" w:hAnsi="Times New Roman" w:cs="Times New Roman"/>
          <w:sz w:val="24"/>
          <w:szCs w:val="24"/>
        </w:rPr>
        <w:t xml:space="preserve"> (1000 HPK). Gerakan Scaling Up Nutrition (SUN) </w:t>
      </w:r>
      <w:proofErr w:type="spellStart"/>
      <w:r w:rsidRPr="007720BC">
        <w:rPr>
          <w:rFonts w:ascii="Times New Roman" w:hAnsi="Times New Roman" w:cs="Times New Roman"/>
          <w:sz w:val="24"/>
          <w:szCs w:val="24"/>
        </w:rPr>
        <w:t>merupakan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upaya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terpadu</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untuk</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mengatasi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semua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bentuk</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malnutrisi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dengan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keterlibatan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multisektor</w:t>
      </w:r>
      <w:proofErr w:type="spellEnd"/>
      <w:r w:rsidRPr="007720BC">
        <w:rPr>
          <w:rFonts w:ascii="Times New Roman" w:hAnsi="Times New Roman" w:cs="Times New Roman"/>
          <w:sz w:val="24"/>
          <w:szCs w:val="24"/>
        </w:rPr>
        <w:t xml:space="preserve">. Kerjasama </w:t>
      </w:r>
      <w:proofErr w:type="spellStart"/>
      <w:r w:rsidRPr="007720BC">
        <w:rPr>
          <w:rFonts w:ascii="Times New Roman" w:hAnsi="Times New Roman" w:cs="Times New Roman"/>
          <w:sz w:val="24"/>
          <w:szCs w:val="24"/>
        </w:rPr>
        <w:t>antara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pemerintah</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organisasi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masyarakat</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sipil</w:t>
      </w:r>
      <w:proofErr w:type="spellEnd"/>
      <w:r w:rsidRPr="007720BC">
        <w:rPr>
          <w:rFonts w:ascii="Times New Roman" w:hAnsi="Times New Roman" w:cs="Times New Roman"/>
          <w:sz w:val="24"/>
          <w:szCs w:val="24"/>
        </w:rPr>
        <w:t xml:space="preserve">, dunia </w:t>
      </w:r>
      <w:proofErr w:type="spellStart"/>
      <w:r w:rsidRPr="007720BC">
        <w:rPr>
          <w:rFonts w:ascii="Times New Roman" w:hAnsi="Times New Roman" w:cs="Times New Roman"/>
          <w:sz w:val="24"/>
          <w:szCs w:val="24"/>
        </w:rPr>
        <w:t>usaha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mitra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pembangunan</w:t>
      </w:r>
      <w:proofErr w:type="spellEnd"/>
      <w:r w:rsidRPr="007720BC">
        <w:rPr>
          <w:rFonts w:ascii="Times New Roman" w:hAnsi="Times New Roman" w:cs="Times New Roman"/>
          <w:sz w:val="24"/>
          <w:szCs w:val="24"/>
        </w:rPr>
        <w:t xml:space="preserve"> dan </w:t>
      </w:r>
      <w:proofErr w:type="spellStart"/>
      <w:r w:rsidRPr="007720BC">
        <w:rPr>
          <w:rFonts w:ascii="Times New Roman" w:hAnsi="Times New Roman" w:cs="Times New Roman"/>
          <w:sz w:val="24"/>
          <w:szCs w:val="24"/>
        </w:rPr>
        <w:t>akademisi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merupakan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ciri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khas</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dari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gerakan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ini</w:t>
      </w:r>
      <w:proofErr w:type="spellEnd"/>
      <w:r w:rsidRPr="007720BC">
        <w:rPr>
          <w:rFonts w:ascii="Times New Roman" w:hAnsi="Times New Roman" w:cs="Times New Roman"/>
          <w:sz w:val="24"/>
          <w:szCs w:val="24"/>
        </w:rPr>
        <w:t xml:space="preserve">. </w:t>
      </w:r>
      <w:r w:rsidRPr="007720BC">
        <w:rPr>
          <w:rFonts w:ascii="Times New Roman" w:hAnsi="Times New Roman" w:cs="Times New Roman"/>
          <w:sz w:val="24"/>
          <w:szCs w:val="24"/>
        </w:rPr>
        <w:fldChar w:fldCharType="begin" w:fldLock="1"/>
      </w:r>
      <w:r w:rsidR="000B49C3" w:rsidRPr="007720BC">
        <w:rPr>
          <w:rFonts w:ascii="Times New Roman" w:hAnsi="Times New Roman" w:cs="Times New Roman"/>
          <w:sz w:val="24"/>
          <w:szCs w:val="24"/>
        </w:rPr>
        <w:instrText>ADDIN CSL_CITATION {"citationItems":[{"id":"ITEM-1","itemData":{"author":[{"dropping-particle":"","family":"Scaling Up Nutrition","given":"","non-dropping-particle":"","parse-names":false,"suffix":""}],"id":"ITEM-1","issued":{"date-parts":[["2021"]]},"number-of-pages":"43","publisher":"Scaling Up Nutrition. Engage-Inspire-Invest","title":"Scaling Up Nutrition. SUN Strategy 3.0 2021-2025","type":"book"},"uris":["http://www.mendeley.com/documents/?uuid=85d94e0a-e9bb-4944-8db7-42835328092a"]}],"mendeley":{"formattedCitation":"(Scaling Up Nutrition 2021)","plainTextFormattedCitation":"(Scaling Up Nutrition 2021)","previouslyFormattedCitation":"(Scaling Up Nutrition 2021)"},"properties":{"noteIndex":0},"schema":"https://github.com/citation-style-language/schema/raw/master/csl-citation.json"}</w:instrText>
      </w:r>
      <w:r w:rsidRPr="007720BC">
        <w:rPr>
          <w:rFonts w:ascii="Times New Roman" w:hAnsi="Times New Roman" w:cs="Times New Roman"/>
          <w:sz w:val="24"/>
          <w:szCs w:val="24"/>
        </w:rPr>
        <w:fldChar w:fldCharType="separate"/>
      </w:r>
      <w:r w:rsidRPr="007720BC">
        <w:rPr>
          <w:rFonts w:ascii="Times New Roman" w:hAnsi="Times New Roman" w:cs="Times New Roman"/>
          <w:noProof/>
          <w:sz w:val="24"/>
          <w:szCs w:val="24"/>
        </w:rPr>
        <w:t>(Scaling Up Nutrition 2021)</w:t>
      </w:r>
      <w:r w:rsidRPr="007720BC">
        <w:rPr>
          <w:rFonts w:ascii="Times New Roman" w:hAnsi="Times New Roman" w:cs="Times New Roman"/>
          <w:sz w:val="24"/>
          <w:szCs w:val="24"/>
        </w:rPr>
        <w:fldChar w:fldCharType="end"/>
      </w:r>
      <w:r w:rsidRPr="007720BC">
        <w:rPr>
          <w:rFonts w:ascii="Times New Roman" w:hAnsi="Times New Roman" w:cs="Times New Roman"/>
          <w:sz w:val="24"/>
          <w:szCs w:val="24"/>
        </w:rPr>
        <w:t>.</w:t>
      </w:r>
    </w:p>
    <w:p w14:paraId="00FDA8E8" w14:textId="4A63B5F4" w:rsidR="000B49C3" w:rsidRPr="007720BC" w:rsidRDefault="008F301C" w:rsidP="008F301C">
      <w:pPr>
        <w:spacing w:after="0" w:line="240" w:lineRule="auto"/>
        <w:ind w:firstLine="720"/>
        <w:jc w:val="both"/>
        <w:rPr>
          <w:rFonts w:ascii="Times New Roman" w:hAnsi="Times New Roman" w:cs="Times New Roman"/>
          <w:sz w:val="24"/>
          <w:szCs w:val="24"/>
        </w:rPr>
      </w:pPr>
      <w:proofErr w:type="spellStart"/>
      <w:r w:rsidRPr="007720BC">
        <w:rPr>
          <w:rFonts w:ascii="Times New Roman" w:hAnsi="Times New Roman" w:cs="Times New Roman"/>
          <w:sz w:val="24"/>
          <w:szCs w:val="24"/>
        </w:rPr>
        <w:t>Dukungan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pemerintah</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diwujudkan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melalui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kebijakan</w:t>
      </w:r>
      <w:proofErr w:type="spellEnd"/>
      <w:r w:rsidRPr="007720BC">
        <w:rPr>
          <w:rFonts w:ascii="Times New Roman" w:hAnsi="Times New Roman" w:cs="Times New Roman"/>
          <w:sz w:val="24"/>
          <w:szCs w:val="24"/>
        </w:rPr>
        <w:t xml:space="preserve"> dan strategi </w:t>
      </w:r>
      <w:proofErr w:type="spellStart"/>
      <w:r w:rsidRPr="007720BC">
        <w:rPr>
          <w:rFonts w:ascii="Times New Roman" w:hAnsi="Times New Roman" w:cs="Times New Roman"/>
          <w:sz w:val="24"/>
          <w:szCs w:val="24"/>
        </w:rPr>
        <w:t>nasional</w:t>
      </w:r>
      <w:proofErr w:type="spellEnd"/>
      <w:r w:rsidRPr="007720BC">
        <w:rPr>
          <w:rFonts w:ascii="Times New Roman" w:hAnsi="Times New Roman" w:cs="Times New Roman"/>
          <w:sz w:val="24"/>
          <w:szCs w:val="24"/>
        </w:rPr>
        <w:t xml:space="preserve"> stunting yang </w:t>
      </w:r>
      <w:proofErr w:type="spellStart"/>
      <w:r w:rsidRPr="007720BC">
        <w:rPr>
          <w:rFonts w:ascii="Times New Roman" w:hAnsi="Times New Roman" w:cs="Times New Roman"/>
          <w:sz w:val="24"/>
          <w:szCs w:val="24"/>
        </w:rPr>
        <w:t>meliputi</w:t>
      </w:r>
      <w:proofErr w:type="spellEnd"/>
      <w:r w:rsidRPr="007720BC">
        <w:rPr>
          <w:rFonts w:ascii="Times New Roman" w:hAnsi="Times New Roman" w:cs="Times New Roman"/>
          <w:sz w:val="24"/>
          <w:szCs w:val="24"/>
        </w:rPr>
        <w:t xml:space="preserve"> Lima Pilar </w:t>
      </w:r>
      <w:proofErr w:type="spellStart"/>
      <w:r w:rsidRPr="007720BC">
        <w:rPr>
          <w:rFonts w:ascii="Times New Roman" w:hAnsi="Times New Roman" w:cs="Times New Roman"/>
          <w:sz w:val="24"/>
          <w:szCs w:val="24"/>
        </w:rPr>
        <w:t>Pencegahan</w:t>
      </w:r>
      <w:proofErr w:type="spellEnd"/>
      <w:r w:rsidRPr="007720BC">
        <w:rPr>
          <w:rFonts w:ascii="Times New Roman" w:hAnsi="Times New Roman" w:cs="Times New Roman"/>
          <w:sz w:val="24"/>
          <w:szCs w:val="24"/>
        </w:rPr>
        <w:t xml:space="preserve"> Stunting yang </w:t>
      </w:r>
      <w:proofErr w:type="spellStart"/>
      <w:r w:rsidRPr="007720BC">
        <w:rPr>
          <w:rFonts w:ascii="Times New Roman" w:hAnsi="Times New Roman" w:cs="Times New Roman"/>
          <w:sz w:val="24"/>
          <w:szCs w:val="24"/>
        </w:rPr>
        <w:t>merujuk</w:t>
      </w:r>
      <w:proofErr w:type="spellEnd"/>
      <w:r w:rsidRPr="007720BC">
        <w:rPr>
          <w:rFonts w:ascii="Times New Roman" w:hAnsi="Times New Roman" w:cs="Times New Roman"/>
          <w:sz w:val="24"/>
          <w:szCs w:val="24"/>
        </w:rPr>
        <w:t xml:space="preserve"> pada Keputusan Wakil </w:t>
      </w:r>
      <w:proofErr w:type="spellStart"/>
      <w:r w:rsidRPr="007720BC">
        <w:rPr>
          <w:rFonts w:ascii="Times New Roman" w:hAnsi="Times New Roman" w:cs="Times New Roman"/>
          <w:sz w:val="24"/>
          <w:szCs w:val="24"/>
        </w:rPr>
        <w:lastRenderedPageBreak/>
        <w:t>Presiden</w:t>
      </w:r>
      <w:proofErr w:type="spellEnd"/>
      <w:r w:rsidRPr="007720BC">
        <w:rPr>
          <w:rFonts w:ascii="Times New Roman" w:hAnsi="Times New Roman" w:cs="Times New Roman"/>
          <w:sz w:val="24"/>
          <w:szCs w:val="24"/>
        </w:rPr>
        <w:t xml:space="preserve"> pada </w:t>
      </w:r>
      <w:proofErr w:type="spellStart"/>
      <w:r w:rsidRPr="007720BC">
        <w:rPr>
          <w:rFonts w:ascii="Times New Roman" w:hAnsi="Times New Roman" w:cs="Times New Roman"/>
          <w:sz w:val="24"/>
          <w:szCs w:val="24"/>
        </w:rPr>
        <w:t>Rapat</w:t>
      </w:r>
      <w:proofErr w:type="spellEnd"/>
      <w:r w:rsidRPr="007720BC">
        <w:rPr>
          <w:rFonts w:ascii="Times New Roman" w:hAnsi="Times New Roman" w:cs="Times New Roman"/>
          <w:sz w:val="24"/>
          <w:szCs w:val="24"/>
        </w:rPr>
        <w:t xml:space="preserve"> Tingkat Menteri </w:t>
      </w:r>
      <w:proofErr w:type="spellStart"/>
      <w:r w:rsidRPr="007720BC">
        <w:rPr>
          <w:rFonts w:ascii="Times New Roman" w:hAnsi="Times New Roman" w:cs="Times New Roman"/>
          <w:sz w:val="24"/>
          <w:szCs w:val="24"/>
        </w:rPr>
        <w:t>tentang</w:t>
      </w:r>
      <w:proofErr w:type="spellEnd"/>
      <w:r w:rsidRPr="007720BC">
        <w:rPr>
          <w:rFonts w:ascii="Times New Roman" w:hAnsi="Times New Roman" w:cs="Times New Roman"/>
          <w:sz w:val="24"/>
          <w:szCs w:val="24"/>
        </w:rPr>
        <w:t xml:space="preserve"> stunting pada 9 Agustus 2017. Lima Pilar </w:t>
      </w:r>
      <w:proofErr w:type="spellStart"/>
      <w:r w:rsidRPr="007720BC">
        <w:rPr>
          <w:rFonts w:ascii="Times New Roman" w:hAnsi="Times New Roman" w:cs="Times New Roman"/>
          <w:sz w:val="24"/>
          <w:szCs w:val="24"/>
        </w:rPr>
        <w:t>tersebut</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adalah</w:t>
      </w:r>
      <w:proofErr w:type="spellEnd"/>
      <w:r w:rsidRPr="007720BC">
        <w:rPr>
          <w:rFonts w:ascii="Times New Roman" w:hAnsi="Times New Roman" w:cs="Times New Roman"/>
          <w:sz w:val="24"/>
          <w:szCs w:val="24"/>
        </w:rPr>
        <w:t xml:space="preserve">: 1) </w:t>
      </w:r>
      <w:proofErr w:type="spellStart"/>
      <w:r w:rsidRPr="007720BC">
        <w:rPr>
          <w:rFonts w:ascii="Times New Roman" w:hAnsi="Times New Roman" w:cs="Times New Roman"/>
          <w:sz w:val="24"/>
          <w:szCs w:val="24"/>
        </w:rPr>
        <w:t>Komitmen</w:t>
      </w:r>
      <w:proofErr w:type="spellEnd"/>
      <w:r w:rsidRPr="007720BC">
        <w:rPr>
          <w:rFonts w:ascii="Times New Roman" w:hAnsi="Times New Roman" w:cs="Times New Roman"/>
          <w:sz w:val="24"/>
          <w:szCs w:val="24"/>
        </w:rPr>
        <w:t xml:space="preserve"> dan </w:t>
      </w:r>
      <w:proofErr w:type="spellStart"/>
      <w:r w:rsidRPr="007720BC">
        <w:rPr>
          <w:rFonts w:ascii="Times New Roman" w:hAnsi="Times New Roman" w:cs="Times New Roman"/>
          <w:sz w:val="24"/>
          <w:szCs w:val="24"/>
        </w:rPr>
        <w:t>visi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pemimpinan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tertinggi</w:t>
      </w:r>
      <w:proofErr w:type="spellEnd"/>
      <w:r w:rsidRPr="007720BC">
        <w:rPr>
          <w:rFonts w:ascii="Times New Roman" w:hAnsi="Times New Roman" w:cs="Times New Roman"/>
          <w:sz w:val="24"/>
          <w:szCs w:val="24"/>
        </w:rPr>
        <w:t xml:space="preserve"> negara; 2) </w:t>
      </w:r>
      <w:proofErr w:type="spellStart"/>
      <w:r w:rsidRPr="007720BC">
        <w:rPr>
          <w:rFonts w:ascii="Times New Roman" w:hAnsi="Times New Roman" w:cs="Times New Roman"/>
          <w:sz w:val="24"/>
          <w:szCs w:val="24"/>
        </w:rPr>
        <w:t>Kampanye</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nasional</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berfokus</w:t>
      </w:r>
      <w:proofErr w:type="spellEnd"/>
      <w:r w:rsidRPr="007720BC">
        <w:rPr>
          <w:rFonts w:ascii="Times New Roman" w:hAnsi="Times New Roman" w:cs="Times New Roman"/>
          <w:sz w:val="24"/>
          <w:szCs w:val="24"/>
        </w:rPr>
        <w:t xml:space="preserve"> pada </w:t>
      </w:r>
      <w:proofErr w:type="spellStart"/>
      <w:r w:rsidRPr="007720BC">
        <w:rPr>
          <w:rFonts w:ascii="Times New Roman" w:hAnsi="Times New Roman" w:cs="Times New Roman"/>
          <w:sz w:val="24"/>
          <w:szCs w:val="24"/>
        </w:rPr>
        <w:t>pemahaman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perubahan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perilaku</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komitmen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politik</w:t>
      </w:r>
      <w:proofErr w:type="spellEnd"/>
      <w:r w:rsidRPr="007720BC">
        <w:rPr>
          <w:rFonts w:ascii="Times New Roman" w:hAnsi="Times New Roman" w:cs="Times New Roman"/>
          <w:sz w:val="24"/>
          <w:szCs w:val="24"/>
        </w:rPr>
        <w:t xml:space="preserve">, dan </w:t>
      </w:r>
      <w:proofErr w:type="spellStart"/>
      <w:r w:rsidRPr="007720BC">
        <w:rPr>
          <w:rFonts w:ascii="Times New Roman" w:hAnsi="Times New Roman" w:cs="Times New Roman"/>
          <w:sz w:val="24"/>
          <w:szCs w:val="24"/>
        </w:rPr>
        <w:t>akuntabilitas</w:t>
      </w:r>
      <w:proofErr w:type="spellEnd"/>
      <w:r w:rsidRPr="007720BC">
        <w:rPr>
          <w:rFonts w:ascii="Times New Roman" w:hAnsi="Times New Roman" w:cs="Times New Roman"/>
          <w:sz w:val="24"/>
          <w:szCs w:val="24"/>
        </w:rPr>
        <w:t xml:space="preserve">; 3) </w:t>
      </w:r>
      <w:proofErr w:type="spellStart"/>
      <w:r w:rsidRPr="007720BC">
        <w:rPr>
          <w:rFonts w:ascii="Times New Roman" w:hAnsi="Times New Roman" w:cs="Times New Roman"/>
          <w:sz w:val="24"/>
          <w:szCs w:val="24"/>
        </w:rPr>
        <w:t>Konvergensi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koordinasi</w:t>
      </w:r>
      <w:proofErr w:type="spellEnd"/>
      <w:r w:rsidRPr="007720BC">
        <w:rPr>
          <w:rFonts w:ascii="Times New Roman" w:hAnsi="Times New Roman" w:cs="Times New Roman"/>
          <w:sz w:val="24"/>
          <w:szCs w:val="24"/>
        </w:rPr>
        <w:t xml:space="preserve">, dan </w:t>
      </w:r>
      <w:proofErr w:type="spellStart"/>
      <w:r w:rsidRPr="007720BC">
        <w:rPr>
          <w:rFonts w:ascii="Times New Roman" w:hAnsi="Times New Roman" w:cs="Times New Roman"/>
          <w:sz w:val="24"/>
          <w:szCs w:val="24"/>
        </w:rPr>
        <w:t>konsolidasi</w:t>
      </w:r>
      <w:proofErr w:type="spellEnd"/>
      <w:r w:rsidRPr="007720BC">
        <w:rPr>
          <w:rFonts w:ascii="Times New Roman" w:hAnsi="Times New Roman" w:cs="Times New Roman"/>
          <w:sz w:val="24"/>
          <w:szCs w:val="24"/>
        </w:rPr>
        <w:t xml:space="preserve"> program </w:t>
      </w:r>
      <w:proofErr w:type="spellStart"/>
      <w:r w:rsidRPr="007720BC">
        <w:rPr>
          <w:rFonts w:ascii="Times New Roman" w:hAnsi="Times New Roman" w:cs="Times New Roman"/>
          <w:sz w:val="24"/>
          <w:szCs w:val="24"/>
        </w:rPr>
        <w:t>nasional</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daerah</w:t>
      </w:r>
      <w:proofErr w:type="spellEnd"/>
      <w:r w:rsidRPr="007720BC">
        <w:rPr>
          <w:rFonts w:ascii="Times New Roman" w:hAnsi="Times New Roman" w:cs="Times New Roman"/>
          <w:sz w:val="24"/>
          <w:szCs w:val="24"/>
        </w:rPr>
        <w:t xml:space="preserve">, dan </w:t>
      </w:r>
      <w:proofErr w:type="spellStart"/>
      <w:r w:rsidRPr="007720BC">
        <w:rPr>
          <w:rFonts w:ascii="Times New Roman" w:hAnsi="Times New Roman" w:cs="Times New Roman"/>
          <w:sz w:val="24"/>
          <w:szCs w:val="24"/>
        </w:rPr>
        <w:t>masyarakat</w:t>
      </w:r>
      <w:proofErr w:type="spellEnd"/>
      <w:r w:rsidRPr="007720BC">
        <w:rPr>
          <w:rFonts w:ascii="Times New Roman" w:hAnsi="Times New Roman" w:cs="Times New Roman"/>
          <w:sz w:val="24"/>
          <w:szCs w:val="24"/>
        </w:rPr>
        <w:t xml:space="preserve">; 4) </w:t>
      </w:r>
      <w:proofErr w:type="spellStart"/>
      <w:r w:rsidRPr="007720BC">
        <w:rPr>
          <w:rFonts w:ascii="Times New Roman" w:hAnsi="Times New Roman" w:cs="Times New Roman"/>
          <w:sz w:val="24"/>
          <w:szCs w:val="24"/>
        </w:rPr>
        <w:t>Mendorong</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kebijakan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ketahanan</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pangan</w:t>
      </w:r>
      <w:proofErr w:type="spellEnd"/>
      <w:r w:rsidRPr="007720BC">
        <w:rPr>
          <w:rFonts w:ascii="Times New Roman" w:hAnsi="Times New Roman" w:cs="Times New Roman"/>
          <w:sz w:val="24"/>
          <w:szCs w:val="24"/>
        </w:rPr>
        <w:t xml:space="preserve"> dan 5) </w:t>
      </w:r>
      <w:proofErr w:type="spellStart"/>
      <w:r w:rsidRPr="007720BC">
        <w:rPr>
          <w:rFonts w:ascii="Times New Roman" w:hAnsi="Times New Roman" w:cs="Times New Roman"/>
          <w:sz w:val="24"/>
          <w:szCs w:val="24"/>
        </w:rPr>
        <w:t>Pemantauan</w:t>
      </w:r>
      <w:proofErr w:type="spellEnd"/>
      <w:r w:rsidRPr="007720BC">
        <w:rPr>
          <w:rFonts w:ascii="Times New Roman" w:hAnsi="Times New Roman" w:cs="Times New Roman"/>
          <w:sz w:val="24"/>
          <w:szCs w:val="24"/>
        </w:rPr>
        <w:t xml:space="preserve"> dan </w:t>
      </w:r>
      <w:proofErr w:type="spellStart"/>
      <w:r w:rsidRPr="007720BC">
        <w:rPr>
          <w:rFonts w:ascii="Times New Roman" w:hAnsi="Times New Roman" w:cs="Times New Roman"/>
          <w:sz w:val="24"/>
          <w:szCs w:val="24"/>
        </w:rPr>
        <w:t>evaluasi</w:t>
      </w:r>
      <w:proofErr w:type="spellEnd"/>
      <w:r w:rsidR="000B49C3" w:rsidRPr="007720BC">
        <w:rPr>
          <w:rFonts w:ascii="Times New Roman" w:hAnsi="Times New Roman" w:cs="Times New Roman"/>
          <w:sz w:val="24"/>
          <w:szCs w:val="24"/>
        </w:rPr>
        <w:t xml:space="preserve"> </w:t>
      </w:r>
      <w:r w:rsidR="000B49C3" w:rsidRPr="007720BC">
        <w:rPr>
          <w:rFonts w:ascii="Times New Roman" w:hAnsi="Times New Roman" w:cs="Times New Roman"/>
          <w:sz w:val="24"/>
          <w:szCs w:val="24"/>
        </w:rPr>
        <w:fldChar w:fldCharType="begin" w:fldLock="1"/>
      </w:r>
      <w:r w:rsidR="00D811EE" w:rsidRPr="007720BC">
        <w:rPr>
          <w:rFonts w:ascii="Times New Roman" w:hAnsi="Times New Roman" w:cs="Times New Roman"/>
          <w:sz w:val="24"/>
          <w:szCs w:val="24"/>
        </w:rPr>
        <w:instrText>ADDIN CSL_CITATION {"citationItems":[{"id":"ITEM-1","itemData":{"ISBN":"9786021018187","ISSN":"2252-3405","abstract":"Buku ini disusun sebagai upaya untuk memberikan wawasan kepada para pendidik serta calon pendidik dalam melakukan kegiatan pembelajaran yang menitik- beratkan pada metode-metode yang digunakan. Para pendidik yang memiliki bekal banyak metode pembelajaran diharapkan nantinya dapat menumbuhkan semangat belajar para peserta didik. Pada","author":[{"dropping-particle":"","family":"Sekretariat Wakil Presiden Republik Indonesia","given":"","non-dropping-particle":"","parse-names":false,"suffix":""}],"id":"ITEM-1","issued":{"date-parts":[["2019"]]},"publisher":"Kementerian Koordinator Bidang Pembangunan Manusia dan Kebudayaan","title":"Strategi Nasional Percepatan Pencegahan Anak Kerdil (Stunting) Periode 2018-2024","type":"book"},"uris":["http://www.mendeley.com/documents/?uuid=96223538-8656-4ac7-b4c3-21cfff815143"]}],"mendeley":{"formattedCitation":"(Sekretariat Wakil Presiden Republik Indonesia 2019)","plainTextFormattedCitation":"(Sekretariat Wakil Presiden Republik Indonesia 2019)","previouslyFormattedCitation":"(Sekretariat Wakil Presiden Republik Indonesia 2019)"},"properties":{"noteIndex":0},"schema":"https://github.com/citation-style-language/schema/raw/master/csl-citation.json"}</w:instrText>
      </w:r>
      <w:r w:rsidR="000B49C3" w:rsidRPr="007720BC">
        <w:rPr>
          <w:rFonts w:ascii="Times New Roman" w:hAnsi="Times New Roman" w:cs="Times New Roman"/>
          <w:sz w:val="24"/>
          <w:szCs w:val="24"/>
        </w:rPr>
        <w:fldChar w:fldCharType="separate"/>
      </w:r>
      <w:r w:rsidR="000B49C3" w:rsidRPr="007720BC">
        <w:rPr>
          <w:rFonts w:ascii="Times New Roman" w:hAnsi="Times New Roman" w:cs="Times New Roman"/>
          <w:noProof/>
          <w:sz w:val="24"/>
          <w:szCs w:val="24"/>
        </w:rPr>
        <w:t>(Sekretariat Wakil Presiden Republik Indonesia 2019)</w:t>
      </w:r>
      <w:r w:rsidR="000B49C3" w:rsidRPr="007720BC">
        <w:rPr>
          <w:rFonts w:ascii="Times New Roman" w:hAnsi="Times New Roman" w:cs="Times New Roman"/>
          <w:sz w:val="24"/>
          <w:szCs w:val="24"/>
        </w:rPr>
        <w:fldChar w:fldCharType="end"/>
      </w:r>
      <w:r w:rsidR="000B49C3" w:rsidRPr="007720BC">
        <w:rPr>
          <w:rFonts w:ascii="Times New Roman" w:hAnsi="Times New Roman" w:cs="Times New Roman"/>
          <w:sz w:val="24"/>
          <w:szCs w:val="24"/>
        </w:rPr>
        <w:t xml:space="preserve">. </w:t>
      </w:r>
    </w:p>
    <w:p w14:paraId="31B5BB0B" w14:textId="0E930886" w:rsidR="00A638A7" w:rsidRPr="007720BC" w:rsidRDefault="00DF4F28" w:rsidP="00CB2900">
      <w:pPr>
        <w:shd w:val="clear" w:color="auto" w:fill="FFFFFF"/>
        <w:spacing w:after="0" w:line="240" w:lineRule="auto"/>
        <w:ind w:firstLine="720"/>
        <w:contextualSpacing/>
        <w:jc w:val="both"/>
        <w:textAlignment w:val="baseline"/>
        <w:rPr>
          <w:rFonts w:ascii="Times New Roman" w:hAnsi="Times New Roman" w:cs="Times New Roman"/>
          <w:sz w:val="24"/>
          <w:szCs w:val="24"/>
          <w:lang w:val="en-US"/>
        </w:rPr>
      </w:pPr>
      <w:proofErr w:type="spellStart"/>
      <w:r w:rsidRPr="007720BC">
        <w:rPr>
          <w:rFonts w:ascii="Times New Roman" w:hAnsi="Times New Roman" w:cs="Times New Roman"/>
          <w:sz w:val="24"/>
          <w:szCs w:val="24"/>
        </w:rPr>
        <w:t>Secara</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regulasi</w:t>
      </w:r>
      <w:proofErr w:type="spellEnd"/>
      <w:r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operasional</w:t>
      </w:r>
      <w:proofErr w:type="spellEnd"/>
      <w:r w:rsidRPr="007720BC">
        <w:rPr>
          <w:rFonts w:ascii="Times New Roman" w:hAnsi="Times New Roman" w:cs="Times New Roman"/>
          <w:sz w:val="24"/>
          <w:szCs w:val="24"/>
        </w:rPr>
        <w:t xml:space="preserve"> </w:t>
      </w:r>
      <w:r w:rsidR="00A638A7" w:rsidRPr="007720BC">
        <w:rPr>
          <w:rFonts w:ascii="Times New Roman" w:hAnsi="Times New Roman" w:cs="Times New Roman"/>
          <w:sz w:val="24"/>
          <w:szCs w:val="24"/>
        </w:rPr>
        <w:t>Kampung KB</w:t>
      </w:r>
      <w:r w:rsidR="00A638A7" w:rsidRPr="007720BC">
        <w:rPr>
          <w:rFonts w:ascii="Times New Roman" w:hAnsi="Times New Roman" w:cs="Times New Roman"/>
          <w:sz w:val="24"/>
          <w:szCs w:val="24"/>
          <w:lang w:val="en-US"/>
        </w:rPr>
        <w:t xml:space="preserve"> </w:t>
      </w:r>
      <w:r w:rsidR="00A638A7" w:rsidRPr="007720BC">
        <w:rPr>
          <w:rFonts w:ascii="Times New Roman" w:hAnsi="Times New Roman" w:cs="Times New Roman"/>
          <w:sz w:val="24"/>
          <w:szCs w:val="24"/>
        </w:rPr>
        <w:t xml:space="preserve">Desa </w:t>
      </w:r>
      <w:proofErr w:type="spellStart"/>
      <w:r w:rsidR="00A638A7" w:rsidRPr="007720BC">
        <w:rPr>
          <w:rFonts w:ascii="Times New Roman" w:hAnsi="Times New Roman" w:cs="Times New Roman"/>
          <w:sz w:val="24"/>
          <w:szCs w:val="24"/>
        </w:rPr>
        <w:t>Mongpok</w:t>
      </w:r>
      <w:proofErr w:type="spellEnd"/>
      <w:r w:rsidR="00A638A7" w:rsidRPr="007720BC">
        <w:rPr>
          <w:rFonts w:ascii="Times New Roman" w:hAnsi="Times New Roman" w:cs="Times New Roman"/>
          <w:sz w:val="24"/>
          <w:szCs w:val="24"/>
        </w:rPr>
        <w:t xml:space="preserve"> </w:t>
      </w:r>
      <w:bookmarkStart w:id="9" w:name="_Hlk142433234"/>
      <w:proofErr w:type="spellStart"/>
      <w:r w:rsidRPr="007720BC">
        <w:rPr>
          <w:rFonts w:ascii="Times New Roman" w:hAnsi="Times New Roman" w:cs="Times New Roman"/>
          <w:sz w:val="24"/>
          <w:szCs w:val="24"/>
          <w:lang w:val="en-US"/>
        </w:rPr>
        <w:t>sudah</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tertuang</w:t>
      </w:r>
      <w:proofErr w:type="spellEnd"/>
      <w:r w:rsidRPr="007720BC">
        <w:rPr>
          <w:rFonts w:ascii="Times New Roman" w:hAnsi="Times New Roman" w:cs="Times New Roman"/>
          <w:sz w:val="24"/>
          <w:szCs w:val="24"/>
          <w:lang w:val="en-US"/>
        </w:rPr>
        <w:t xml:space="preserve"> </w:t>
      </w:r>
      <w:proofErr w:type="spellStart"/>
      <w:r w:rsidRPr="007720BC">
        <w:rPr>
          <w:rFonts w:ascii="Times New Roman" w:hAnsi="Times New Roman" w:cs="Times New Roman"/>
          <w:sz w:val="24"/>
          <w:szCs w:val="24"/>
          <w:lang w:val="en-US"/>
        </w:rPr>
        <w:t>melalui</w:t>
      </w:r>
      <w:proofErr w:type="spellEnd"/>
      <w:r w:rsidRPr="007720BC">
        <w:rPr>
          <w:rFonts w:ascii="Times New Roman" w:hAnsi="Times New Roman" w:cs="Times New Roman"/>
          <w:sz w:val="24"/>
          <w:szCs w:val="24"/>
          <w:lang w:val="en-US"/>
        </w:rPr>
        <w:t xml:space="preserve"> </w:t>
      </w:r>
      <w:r w:rsidR="00A638A7" w:rsidRPr="007720BC">
        <w:rPr>
          <w:rFonts w:ascii="Times New Roman" w:hAnsi="Times New Roman" w:cs="Times New Roman"/>
          <w:sz w:val="24"/>
          <w:szCs w:val="24"/>
          <w:lang w:val="en-US"/>
        </w:rPr>
        <w:t xml:space="preserve">Surat Keputusan Camat </w:t>
      </w:r>
      <w:proofErr w:type="spellStart"/>
      <w:r w:rsidR="00A638A7" w:rsidRPr="007720BC">
        <w:rPr>
          <w:rFonts w:ascii="Times New Roman" w:hAnsi="Times New Roman" w:cs="Times New Roman"/>
          <w:sz w:val="24"/>
          <w:szCs w:val="24"/>
          <w:lang w:val="en-US"/>
        </w:rPr>
        <w:t>Cikeusal</w:t>
      </w:r>
      <w:proofErr w:type="spellEnd"/>
      <w:r w:rsidR="00A638A7" w:rsidRPr="007720BC">
        <w:rPr>
          <w:rFonts w:ascii="Times New Roman" w:hAnsi="Times New Roman" w:cs="Times New Roman"/>
          <w:sz w:val="24"/>
          <w:szCs w:val="24"/>
          <w:lang w:val="en-US"/>
        </w:rPr>
        <w:t xml:space="preserve"> </w:t>
      </w:r>
      <w:proofErr w:type="spellStart"/>
      <w:r w:rsidR="00A638A7" w:rsidRPr="007720BC">
        <w:rPr>
          <w:rFonts w:ascii="Times New Roman" w:hAnsi="Times New Roman" w:cs="Times New Roman"/>
          <w:sz w:val="24"/>
          <w:szCs w:val="24"/>
          <w:lang w:val="en-US"/>
        </w:rPr>
        <w:t>Nomor</w:t>
      </w:r>
      <w:proofErr w:type="spellEnd"/>
      <w:r w:rsidR="00A638A7" w:rsidRPr="007720BC">
        <w:rPr>
          <w:rFonts w:ascii="Times New Roman" w:hAnsi="Times New Roman" w:cs="Times New Roman"/>
          <w:sz w:val="24"/>
          <w:szCs w:val="24"/>
          <w:lang w:val="en-US"/>
        </w:rPr>
        <w:t xml:space="preserve"> 463/10/</w:t>
      </w:r>
      <w:proofErr w:type="spellStart"/>
      <w:r w:rsidR="00A638A7" w:rsidRPr="007720BC">
        <w:rPr>
          <w:rFonts w:ascii="Times New Roman" w:hAnsi="Times New Roman" w:cs="Times New Roman"/>
          <w:sz w:val="24"/>
          <w:szCs w:val="24"/>
          <w:lang w:val="en-US"/>
        </w:rPr>
        <w:t>Kec</w:t>
      </w:r>
      <w:proofErr w:type="spellEnd"/>
      <w:r w:rsidR="00A638A7" w:rsidRPr="007720BC">
        <w:rPr>
          <w:rFonts w:ascii="Times New Roman" w:hAnsi="Times New Roman" w:cs="Times New Roman"/>
          <w:sz w:val="24"/>
          <w:szCs w:val="24"/>
          <w:lang w:val="en-US"/>
        </w:rPr>
        <w:t xml:space="preserve">/II/2023 </w:t>
      </w:r>
      <w:proofErr w:type="spellStart"/>
      <w:r w:rsidR="00A638A7" w:rsidRPr="007720BC">
        <w:rPr>
          <w:rFonts w:ascii="Times New Roman" w:hAnsi="Times New Roman" w:cs="Times New Roman"/>
          <w:sz w:val="24"/>
          <w:szCs w:val="24"/>
          <w:lang w:val="en-US"/>
        </w:rPr>
        <w:t>tentang</w:t>
      </w:r>
      <w:proofErr w:type="spellEnd"/>
      <w:r w:rsidR="00A638A7" w:rsidRPr="007720BC">
        <w:rPr>
          <w:rFonts w:ascii="Times New Roman" w:hAnsi="Times New Roman" w:cs="Times New Roman"/>
          <w:sz w:val="24"/>
          <w:szCs w:val="24"/>
          <w:lang w:val="en-US"/>
        </w:rPr>
        <w:t xml:space="preserve"> </w:t>
      </w:r>
      <w:proofErr w:type="spellStart"/>
      <w:r w:rsidR="00A638A7" w:rsidRPr="007720BC">
        <w:rPr>
          <w:rFonts w:ascii="Times New Roman" w:hAnsi="Times New Roman" w:cs="Times New Roman"/>
          <w:sz w:val="24"/>
          <w:szCs w:val="24"/>
          <w:lang w:val="en-US"/>
        </w:rPr>
        <w:t>pembentukan</w:t>
      </w:r>
      <w:proofErr w:type="spellEnd"/>
      <w:r w:rsidR="00A638A7" w:rsidRPr="007720BC">
        <w:rPr>
          <w:rFonts w:ascii="Times New Roman" w:hAnsi="Times New Roman" w:cs="Times New Roman"/>
          <w:sz w:val="24"/>
          <w:szCs w:val="24"/>
          <w:lang w:val="en-US"/>
        </w:rPr>
        <w:t xml:space="preserve"> </w:t>
      </w:r>
      <w:proofErr w:type="spellStart"/>
      <w:r w:rsidR="00A638A7" w:rsidRPr="007720BC">
        <w:rPr>
          <w:rFonts w:ascii="Times New Roman" w:hAnsi="Times New Roman" w:cs="Times New Roman"/>
          <w:sz w:val="24"/>
          <w:szCs w:val="24"/>
          <w:lang w:val="en-US"/>
        </w:rPr>
        <w:t>Kelompok</w:t>
      </w:r>
      <w:proofErr w:type="spellEnd"/>
      <w:r w:rsidR="00A638A7" w:rsidRPr="007720BC">
        <w:rPr>
          <w:rFonts w:ascii="Times New Roman" w:hAnsi="Times New Roman" w:cs="Times New Roman"/>
          <w:sz w:val="24"/>
          <w:szCs w:val="24"/>
          <w:lang w:val="en-US"/>
        </w:rPr>
        <w:t xml:space="preserve"> </w:t>
      </w:r>
      <w:proofErr w:type="spellStart"/>
      <w:r w:rsidR="00A638A7" w:rsidRPr="007720BC">
        <w:rPr>
          <w:rFonts w:ascii="Times New Roman" w:hAnsi="Times New Roman" w:cs="Times New Roman"/>
          <w:sz w:val="24"/>
          <w:szCs w:val="24"/>
          <w:lang w:val="en-US"/>
        </w:rPr>
        <w:t>Kerja</w:t>
      </w:r>
      <w:proofErr w:type="spellEnd"/>
      <w:r w:rsidR="00A638A7" w:rsidRPr="007720BC">
        <w:rPr>
          <w:rFonts w:ascii="Times New Roman" w:hAnsi="Times New Roman" w:cs="Times New Roman"/>
          <w:sz w:val="24"/>
          <w:szCs w:val="24"/>
          <w:lang w:val="en-US"/>
        </w:rPr>
        <w:t xml:space="preserve"> (</w:t>
      </w:r>
      <w:proofErr w:type="spellStart"/>
      <w:r w:rsidR="00A638A7" w:rsidRPr="007720BC">
        <w:rPr>
          <w:rFonts w:ascii="Times New Roman" w:hAnsi="Times New Roman" w:cs="Times New Roman"/>
          <w:sz w:val="24"/>
          <w:szCs w:val="24"/>
          <w:lang w:val="en-US"/>
        </w:rPr>
        <w:t>Pokja</w:t>
      </w:r>
      <w:proofErr w:type="spellEnd"/>
      <w:r w:rsidR="00A638A7" w:rsidRPr="007720BC">
        <w:rPr>
          <w:rFonts w:ascii="Times New Roman" w:hAnsi="Times New Roman" w:cs="Times New Roman"/>
          <w:sz w:val="24"/>
          <w:szCs w:val="24"/>
          <w:lang w:val="en-US"/>
        </w:rPr>
        <w:t xml:space="preserve">) Kampung </w:t>
      </w:r>
      <w:proofErr w:type="spellStart"/>
      <w:r w:rsidR="00A638A7" w:rsidRPr="007720BC">
        <w:rPr>
          <w:rFonts w:ascii="Times New Roman" w:hAnsi="Times New Roman" w:cs="Times New Roman"/>
          <w:sz w:val="24"/>
          <w:szCs w:val="24"/>
          <w:lang w:val="en-US"/>
        </w:rPr>
        <w:t>Keluarga</w:t>
      </w:r>
      <w:proofErr w:type="spellEnd"/>
      <w:r w:rsidR="00A638A7" w:rsidRPr="007720BC">
        <w:rPr>
          <w:rFonts w:ascii="Times New Roman" w:hAnsi="Times New Roman" w:cs="Times New Roman"/>
          <w:sz w:val="24"/>
          <w:szCs w:val="24"/>
          <w:lang w:val="en-US"/>
        </w:rPr>
        <w:t xml:space="preserve"> </w:t>
      </w:r>
      <w:proofErr w:type="spellStart"/>
      <w:r w:rsidR="00A638A7" w:rsidRPr="007720BC">
        <w:rPr>
          <w:rFonts w:ascii="Times New Roman" w:hAnsi="Times New Roman" w:cs="Times New Roman"/>
          <w:sz w:val="24"/>
          <w:szCs w:val="24"/>
          <w:lang w:val="en-US"/>
        </w:rPr>
        <w:t>Berkualitas</w:t>
      </w:r>
      <w:proofErr w:type="spellEnd"/>
      <w:r w:rsidR="00A638A7" w:rsidRPr="007720BC">
        <w:rPr>
          <w:rFonts w:ascii="Times New Roman" w:hAnsi="Times New Roman" w:cs="Times New Roman"/>
          <w:sz w:val="24"/>
          <w:szCs w:val="24"/>
          <w:lang w:val="en-US"/>
        </w:rPr>
        <w:t xml:space="preserve"> Desa </w:t>
      </w:r>
      <w:proofErr w:type="spellStart"/>
      <w:r w:rsidR="00A638A7" w:rsidRPr="007720BC">
        <w:rPr>
          <w:rFonts w:ascii="Times New Roman" w:hAnsi="Times New Roman" w:cs="Times New Roman"/>
          <w:sz w:val="24"/>
          <w:szCs w:val="24"/>
          <w:lang w:val="en-US"/>
        </w:rPr>
        <w:t>Mongpok</w:t>
      </w:r>
      <w:proofErr w:type="spellEnd"/>
      <w:r w:rsidR="00A638A7" w:rsidRPr="007720BC">
        <w:rPr>
          <w:rFonts w:ascii="Times New Roman" w:hAnsi="Times New Roman" w:cs="Times New Roman"/>
          <w:sz w:val="24"/>
          <w:szCs w:val="24"/>
          <w:lang w:val="en-US"/>
        </w:rPr>
        <w:t xml:space="preserve"> dan </w:t>
      </w:r>
      <w:r w:rsidR="00A638A7" w:rsidRPr="007720BC">
        <w:rPr>
          <w:rFonts w:ascii="Times New Roman" w:hAnsi="Times New Roman" w:cs="Times New Roman"/>
          <w:sz w:val="24"/>
          <w:szCs w:val="24"/>
        </w:rPr>
        <w:t xml:space="preserve">Surat Keputusan </w:t>
      </w:r>
      <w:proofErr w:type="spellStart"/>
      <w:r w:rsidR="00A638A7" w:rsidRPr="007720BC">
        <w:rPr>
          <w:rFonts w:ascii="Times New Roman" w:hAnsi="Times New Roman" w:cs="Times New Roman"/>
          <w:sz w:val="24"/>
          <w:szCs w:val="24"/>
        </w:rPr>
        <w:t>Kepala</w:t>
      </w:r>
      <w:proofErr w:type="spellEnd"/>
      <w:r w:rsidR="00A638A7" w:rsidRPr="007720BC">
        <w:rPr>
          <w:rFonts w:ascii="Times New Roman" w:hAnsi="Times New Roman" w:cs="Times New Roman"/>
          <w:sz w:val="24"/>
          <w:szCs w:val="24"/>
        </w:rPr>
        <w:t xml:space="preserve"> Desa No.476.4/05/</w:t>
      </w:r>
      <w:r w:rsidR="008653D9" w:rsidRPr="007720BC">
        <w:rPr>
          <w:rFonts w:ascii="Times New Roman" w:hAnsi="Times New Roman" w:cs="Times New Roman"/>
          <w:sz w:val="24"/>
          <w:szCs w:val="24"/>
        </w:rPr>
        <w:t xml:space="preserve"> </w:t>
      </w:r>
      <w:r w:rsidR="00A638A7" w:rsidRPr="007720BC">
        <w:rPr>
          <w:rFonts w:ascii="Times New Roman" w:hAnsi="Times New Roman" w:cs="Times New Roman"/>
          <w:sz w:val="24"/>
          <w:szCs w:val="24"/>
        </w:rPr>
        <w:t>Ds.2015/IV/2022</w:t>
      </w:r>
      <w:r w:rsidR="00A638A7" w:rsidRPr="007720BC">
        <w:rPr>
          <w:rFonts w:ascii="Times New Roman" w:hAnsi="Times New Roman" w:cs="Times New Roman"/>
          <w:sz w:val="24"/>
          <w:szCs w:val="24"/>
          <w:lang w:val="en-US"/>
        </w:rPr>
        <w:t xml:space="preserve"> </w:t>
      </w:r>
      <w:bookmarkEnd w:id="9"/>
      <w:r w:rsidR="008653D9" w:rsidRPr="007720BC">
        <w:rPr>
          <w:rFonts w:ascii="Times New Roman" w:hAnsi="Times New Roman" w:cs="Times New Roman"/>
          <w:sz w:val="24"/>
          <w:szCs w:val="24"/>
          <w:lang w:val="en-US"/>
        </w:rPr>
        <w:t xml:space="preserve">yang </w:t>
      </w:r>
      <w:proofErr w:type="spellStart"/>
      <w:r w:rsidR="00A638A7" w:rsidRPr="007720BC">
        <w:rPr>
          <w:rFonts w:ascii="Times New Roman" w:hAnsi="Times New Roman" w:cs="Times New Roman"/>
          <w:sz w:val="24"/>
          <w:szCs w:val="24"/>
        </w:rPr>
        <w:t>mengacu</w:t>
      </w:r>
      <w:proofErr w:type="spellEnd"/>
      <w:r w:rsidR="00A638A7" w:rsidRPr="007720BC">
        <w:rPr>
          <w:rFonts w:ascii="Times New Roman" w:hAnsi="Times New Roman" w:cs="Times New Roman"/>
          <w:sz w:val="24"/>
          <w:szCs w:val="24"/>
        </w:rPr>
        <w:t xml:space="preserve"> pada</w:t>
      </w:r>
      <w:r w:rsidR="00A638A7" w:rsidRPr="007720BC">
        <w:rPr>
          <w:rFonts w:ascii="Times New Roman" w:hAnsi="Times New Roman" w:cs="Times New Roman"/>
          <w:sz w:val="24"/>
          <w:szCs w:val="24"/>
          <w:lang w:val="en-US"/>
        </w:rPr>
        <w:t xml:space="preserve"> </w:t>
      </w:r>
      <w:proofErr w:type="spellStart"/>
      <w:r w:rsidR="00A638A7" w:rsidRPr="007720BC">
        <w:rPr>
          <w:rFonts w:ascii="Times New Roman" w:hAnsi="Times New Roman" w:cs="Times New Roman"/>
          <w:sz w:val="24"/>
          <w:szCs w:val="24"/>
          <w:lang w:val="en-US"/>
        </w:rPr>
        <w:t>empat</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fungsi</w:t>
      </w:r>
      <w:proofErr w:type="spellEnd"/>
      <w:r w:rsidR="00A638A7" w:rsidRPr="007720BC">
        <w:rPr>
          <w:rFonts w:ascii="Times New Roman" w:hAnsi="Times New Roman" w:cs="Times New Roman"/>
          <w:sz w:val="24"/>
          <w:szCs w:val="24"/>
          <w:lang w:val="en-US"/>
        </w:rPr>
        <w:t xml:space="preserve"> </w:t>
      </w:r>
      <w:proofErr w:type="spellStart"/>
      <w:r w:rsidR="00A638A7" w:rsidRPr="007720BC">
        <w:rPr>
          <w:rFonts w:ascii="Times New Roman" w:hAnsi="Times New Roman" w:cs="Times New Roman"/>
          <w:sz w:val="24"/>
          <w:szCs w:val="24"/>
          <w:lang w:val="en-US"/>
        </w:rPr>
        <w:t>yaitu</w:t>
      </w:r>
      <w:proofErr w:type="spellEnd"/>
      <w:r w:rsidR="00A638A7" w:rsidRPr="007720BC">
        <w:rPr>
          <w:rFonts w:ascii="Times New Roman" w:hAnsi="Times New Roman" w:cs="Times New Roman"/>
          <w:sz w:val="24"/>
          <w:szCs w:val="24"/>
          <w:lang w:val="en-US"/>
        </w:rPr>
        <w:t xml:space="preserve"> 1)</w:t>
      </w:r>
      <w:proofErr w:type="spellStart"/>
      <w:r w:rsidR="00A638A7" w:rsidRPr="007720BC">
        <w:rPr>
          <w:rFonts w:ascii="Times New Roman" w:hAnsi="Times New Roman" w:cs="Times New Roman"/>
          <w:bCs/>
          <w:sz w:val="24"/>
          <w:szCs w:val="24"/>
        </w:rPr>
        <w:t>Penyediaan</w:t>
      </w:r>
      <w:proofErr w:type="spellEnd"/>
      <w:r w:rsidR="00A638A7" w:rsidRPr="007720BC">
        <w:rPr>
          <w:rFonts w:ascii="Times New Roman" w:hAnsi="Times New Roman" w:cs="Times New Roman"/>
          <w:bCs/>
          <w:sz w:val="24"/>
          <w:szCs w:val="24"/>
        </w:rPr>
        <w:t xml:space="preserve"> data </w:t>
      </w:r>
      <w:proofErr w:type="spellStart"/>
      <w:r w:rsidR="00A638A7" w:rsidRPr="007720BC">
        <w:rPr>
          <w:rFonts w:ascii="Times New Roman" w:hAnsi="Times New Roman" w:cs="Times New Roman"/>
          <w:bCs/>
          <w:sz w:val="24"/>
          <w:szCs w:val="24"/>
        </w:rPr>
        <w:t>keluarga</w:t>
      </w:r>
      <w:proofErr w:type="spellEnd"/>
      <w:r w:rsidR="00A638A7" w:rsidRPr="007720BC">
        <w:rPr>
          <w:rFonts w:ascii="Times New Roman" w:hAnsi="Times New Roman" w:cs="Times New Roman"/>
          <w:bCs/>
          <w:sz w:val="24"/>
          <w:szCs w:val="24"/>
        </w:rPr>
        <w:t xml:space="preserve"> dan data </w:t>
      </w:r>
      <w:proofErr w:type="spellStart"/>
      <w:r w:rsidR="00A638A7" w:rsidRPr="007720BC">
        <w:rPr>
          <w:rFonts w:ascii="Times New Roman" w:hAnsi="Times New Roman" w:cs="Times New Roman"/>
          <w:bCs/>
          <w:sz w:val="24"/>
          <w:szCs w:val="24"/>
        </w:rPr>
        <w:t>kependudukan</w:t>
      </w:r>
      <w:proofErr w:type="spellEnd"/>
      <w:r w:rsidR="00A638A7" w:rsidRPr="007720BC">
        <w:rPr>
          <w:rFonts w:ascii="Times New Roman" w:hAnsi="Times New Roman" w:cs="Times New Roman"/>
          <w:bCs/>
          <w:sz w:val="24"/>
          <w:szCs w:val="24"/>
          <w:lang w:val="en-US"/>
        </w:rPr>
        <w:t>; 2)</w:t>
      </w:r>
      <w:proofErr w:type="spellStart"/>
      <w:r w:rsidR="00A638A7" w:rsidRPr="007720BC">
        <w:rPr>
          <w:rFonts w:ascii="Times New Roman" w:hAnsi="Times New Roman" w:cs="Times New Roman"/>
          <w:bCs/>
          <w:sz w:val="24"/>
          <w:szCs w:val="24"/>
        </w:rPr>
        <w:t>Perubahan</w:t>
      </w:r>
      <w:proofErr w:type="spellEnd"/>
      <w:r w:rsidR="00A638A7" w:rsidRPr="007720BC">
        <w:rPr>
          <w:rFonts w:ascii="Times New Roman" w:hAnsi="Times New Roman" w:cs="Times New Roman"/>
          <w:bCs/>
          <w:sz w:val="24"/>
          <w:szCs w:val="24"/>
        </w:rPr>
        <w:t xml:space="preserve"> </w:t>
      </w:r>
      <w:proofErr w:type="spellStart"/>
      <w:r w:rsidR="00A638A7" w:rsidRPr="007720BC">
        <w:rPr>
          <w:rFonts w:ascii="Times New Roman" w:hAnsi="Times New Roman" w:cs="Times New Roman"/>
          <w:bCs/>
          <w:sz w:val="24"/>
          <w:szCs w:val="24"/>
        </w:rPr>
        <w:t>perilaku</w:t>
      </w:r>
      <w:proofErr w:type="spellEnd"/>
      <w:r w:rsidR="00A638A7" w:rsidRPr="007720BC">
        <w:rPr>
          <w:rFonts w:ascii="Times New Roman" w:hAnsi="Times New Roman" w:cs="Times New Roman"/>
          <w:bCs/>
          <w:sz w:val="24"/>
          <w:szCs w:val="24"/>
        </w:rPr>
        <w:t xml:space="preserve"> </w:t>
      </w:r>
      <w:proofErr w:type="spellStart"/>
      <w:r w:rsidR="00A638A7" w:rsidRPr="007720BC">
        <w:rPr>
          <w:rFonts w:ascii="Times New Roman" w:hAnsi="Times New Roman" w:cs="Times New Roman"/>
          <w:bCs/>
          <w:sz w:val="24"/>
          <w:szCs w:val="24"/>
        </w:rPr>
        <w:t>keluarga</w:t>
      </w:r>
      <w:proofErr w:type="spellEnd"/>
      <w:r w:rsidR="00A638A7" w:rsidRPr="007720BC">
        <w:rPr>
          <w:rFonts w:ascii="Times New Roman" w:hAnsi="Times New Roman" w:cs="Times New Roman"/>
          <w:bCs/>
          <w:sz w:val="24"/>
          <w:szCs w:val="24"/>
          <w:lang w:val="en-US"/>
        </w:rPr>
        <w:t>; 3)</w:t>
      </w:r>
      <w:proofErr w:type="spellStart"/>
      <w:r w:rsidR="00A638A7" w:rsidRPr="007720BC">
        <w:rPr>
          <w:rFonts w:ascii="Times New Roman" w:hAnsi="Times New Roman" w:cs="Times New Roman"/>
          <w:bCs/>
          <w:sz w:val="24"/>
          <w:szCs w:val="24"/>
        </w:rPr>
        <w:t>Peningkatan</w:t>
      </w:r>
      <w:proofErr w:type="spellEnd"/>
      <w:r w:rsidR="00A638A7" w:rsidRPr="007720BC">
        <w:rPr>
          <w:rFonts w:ascii="Times New Roman" w:hAnsi="Times New Roman" w:cs="Times New Roman"/>
          <w:bCs/>
          <w:sz w:val="24"/>
          <w:szCs w:val="24"/>
        </w:rPr>
        <w:t xml:space="preserve"> </w:t>
      </w:r>
      <w:proofErr w:type="spellStart"/>
      <w:r w:rsidR="00A638A7" w:rsidRPr="007720BC">
        <w:rPr>
          <w:rFonts w:ascii="Times New Roman" w:hAnsi="Times New Roman" w:cs="Times New Roman"/>
          <w:bCs/>
          <w:sz w:val="24"/>
          <w:szCs w:val="24"/>
        </w:rPr>
        <w:t>cakupan</w:t>
      </w:r>
      <w:proofErr w:type="spellEnd"/>
      <w:r w:rsidR="00A638A7" w:rsidRPr="007720BC">
        <w:rPr>
          <w:rFonts w:ascii="Times New Roman" w:hAnsi="Times New Roman" w:cs="Times New Roman"/>
          <w:bCs/>
          <w:sz w:val="24"/>
          <w:szCs w:val="24"/>
        </w:rPr>
        <w:t xml:space="preserve"> </w:t>
      </w:r>
      <w:proofErr w:type="spellStart"/>
      <w:r w:rsidR="00A638A7" w:rsidRPr="007720BC">
        <w:rPr>
          <w:rFonts w:ascii="Times New Roman" w:hAnsi="Times New Roman" w:cs="Times New Roman"/>
          <w:bCs/>
          <w:sz w:val="24"/>
          <w:szCs w:val="24"/>
        </w:rPr>
        <w:t>layanan</w:t>
      </w:r>
      <w:proofErr w:type="spellEnd"/>
      <w:r w:rsidR="00A638A7" w:rsidRPr="007720BC">
        <w:rPr>
          <w:rFonts w:ascii="Times New Roman" w:hAnsi="Times New Roman" w:cs="Times New Roman"/>
          <w:bCs/>
          <w:sz w:val="24"/>
          <w:szCs w:val="24"/>
        </w:rPr>
        <w:t xml:space="preserve"> dan </w:t>
      </w:r>
      <w:proofErr w:type="spellStart"/>
      <w:r w:rsidR="00A638A7" w:rsidRPr="007720BC">
        <w:rPr>
          <w:rFonts w:ascii="Times New Roman" w:hAnsi="Times New Roman" w:cs="Times New Roman"/>
          <w:bCs/>
          <w:sz w:val="24"/>
          <w:szCs w:val="24"/>
        </w:rPr>
        <w:t>rujukan</w:t>
      </w:r>
      <w:proofErr w:type="spellEnd"/>
      <w:r w:rsidR="00A638A7" w:rsidRPr="007720BC">
        <w:rPr>
          <w:rFonts w:ascii="Times New Roman" w:hAnsi="Times New Roman" w:cs="Times New Roman"/>
          <w:bCs/>
          <w:sz w:val="24"/>
          <w:szCs w:val="24"/>
        </w:rPr>
        <w:t xml:space="preserve"> pada </w:t>
      </w:r>
      <w:proofErr w:type="spellStart"/>
      <w:r w:rsidR="00A638A7" w:rsidRPr="007720BC">
        <w:rPr>
          <w:rFonts w:ascii="Times New Roman" w:hAnsi="Times New Roman" w:cs="Times New Roman"/>
          <w:bCs/>
          <w:sz w:val="24"/>
          <w:szCs w:val="24"/>
        </w:rPr>
        <w:t>keluarg</w:t>
      </w:r>
      <w:proofErr w:type="spellEnd"/>
      <w:r w:rsidR="00A638A7" w:rsidRPr="007720BC">
        <w:rPr>
          <w:rFonts w:ascii="Times New Roman" w:hAnsi="Times New Roman" w:cs="Times New Roman"/>
          <w:bCs/>
          <w:sz w:val="24"/>
          <w:szCs w:val="24"/>
          <w:lang w:val="en-US"/>
        </w:rPr>
        <w:t>a; 4)</w:t>
      </w:r>
      <w:proofErr w:type="spellStart"/>
      <w:r w:rsidR="00A638A7" w:rsidRPr="007720BC">
        <w:rPr>
          <w:rFonts w:ascii="Times New Roman" w:hAnsi="Times New Roman" w:cs="Times New Roman"/>
          <w:bCs/>
          <w:sz w:val="24"/>
          <w:szCs w:val="24"/>
        </w:rPr>
        <w:t>Penataan</w:t>
      </w:r>
      <w:proofErr w:type="spellEnd"/>
      <w:r w:rsidR="00A638A7" w:rsidRPr="007720BC">
        <w:rPr>
          <w:rFonts w:ascii="Times New Roman" w:hAnsi="Times New Roman" w:cs="Times New Roman"/>
          <w:bCs/>
          <w:sz w:val="24"/>
          <w:szCs w:val="24"/>
        </w:rPr>
        <w:t xml:space="preserve"> </w:t>
      </w:r>
      <w:proofErr w:type="spellStart"/>
      <w:r w:rsidR="00A638A7" w:rsidRPr="007720BC">
        <w:rPr>
          <w:rFonts w:ascii="Times New Roman" w:hAnsi="Times New Roman" w:cs="Times New Roman"/>
          <w:bCs/>
          <w:sz w:val="24"/>
          <w:szCs w:val="24"/>
        </w:rPr>
        <w:t>lingkungan</w:t>
      </w:r>
      <w:proofErr w:type="spellEnd"/>
      <w:r w:rsidR="00A638A7" w:rsidRPr="007720BC">
        <w:rPr>
          <w:rFonts w:ascii="Times New Roman" w:hAnsi="Times New Roman" w:cs="Times New Roman"/>
          <w:bCs/>
          <w:sz w:val="24"/>
          <w:szCs w:val="24"/>
        </w:rPr>
        <w:t xml:space="preserve"> </w:t>
      </w:r>
      <w:proofErr w:type="spellStart"/>
      <w:r w:rsidR="00A638A7" w:rsidRPr="007720BC">
        <w:rPr>
          <w:rFonts w:ascii="Times New Roman" w:hAnsi="Times New Roman" w:cs="Times New Roman"/>
          <w:bCs/>
          <w:sz w:val="24"/>
          <w:szCs w:val="24"/>
        </w:rPr>
        <w:t>keluarga</w:t>
      </w:r>
      <w:proofErr w:type="spellEnd"/>
      <w:r w:rsidR="00A638A7" w:rsidRPr="007720BC">
        <w:rPr>
          <w:rFonts w:ascii="Times New Roman" w:hAnsi="Times New Roman" w:cs="Times New Roman"/>
          <w:bCs/>
          <w:sz w:val="24"/>
          <w:szCs w:val="24"/>
        </w:rPr>
        <w:t xml:space="preserve"> dan </w:t>
      </w:r>
      <w:proofErr w:type="spellStart"/>
      <w:r w:rsidR="00A638A7" w:rsidRPr="007720BC">
        <w:rPr>
          <w:rFonts w:ascii="Times New Roman" w:hAnsi="Times New Roman" w:cs="Times New Roman"/>
          <w:bCs/>
          <w:sz w:val="24"/>
          <w:szCs w:val="24"/>
        </w:rPr>
        <w:t>masyarakat</w:t>
      </w:r>
      <w:proofErr w:type="spellEnd"/>
      <w:r w:rsidR="00A638A7" w:rsidRPr="007720BC">
        <w:rPr>
          <w:rFonts w:ascii="Times New Roman" w:hAnsi="Times New Roman" w:cs="Times New Roman"/>
          <w:sz w:val="24"/>
          <w:szCs w:val="24"/>
          <w:lang w:val="en-US"/>
        </w:rPr>
        <w:t xml:space="preserve">. </w:t>
      </w:r>
    </w:p>
    <w:p w14:paraId="41382577" w14:textId="73BE1F83" w:rsidR="0049181E" w:rsidRPr="007720BC" w:rsidRDefault="00DF4F28" w:rsidP="00CB2900">
      <w:pPr>
        <w:shd w:val="clear" w:color="auto" w:fill="FFFFFF"/>
        <w:spacing w:after="0" w:line="240" w:lineRule="auto"/>
        <w:ind w:firstLine="567"/>
        <w:contextualSpacing/>
        <w:jc w:val="both"/>
        <w:textAlignment w:val="baseline"/>
        <w:rPr>
          <w:rFonts w:ascii="Times New Roman" w:hAnsi="Times New Roman" w:cs="Times New Roman"/>
          <w:sz w:val="24"/>
          <w:szCs w:val="24"/>
        </w:rPr>
      </w:pPr>
      <w:proofErr w:type="spellStart"/>
      <w:r w:rsidRPr="007720BC">
        <w:rPr>
          <w:rFonts w:ascii="Times New Roman" w:hAnsi="Times New Roman" w:cs="Times New Roman"/>
          <w:iCs/>
          <w:sz w:val="24"/>
          <w:szCs w:val="24"/>
          <w:lang w:val="en-US"/>
        </w:rPr>
        <w:t>Dukungan</w:t>
      </w:r>
      <w:proofErr w:type="spellEnd"/>
      <w:r w:rsidRPr="007720BC">
        <w:rPr>
          <w:rFonts w:ascii="Times New Roman" w:hAnsi="Times New Roman" w:cs="Times New Roman"/>
          <w:iCs/>
          <w:sz w:val="24"/>
          <w:szCs w:val="24"/>
          <w:lang w:val="en-US"/>
        </w:rPr>
        <w:t xml:space="preserve"> </w:t>
      </w:r>
      <w:proofErr w:type="spellStart"/>
      <w:r w:rsidRPr="007720BC">
        <w:rPr>
          <w:rFonts w:ascii="Times New Roman" w:hAnsi="Times New Roman" w:cs="Times New Roman"/>
          <w:iCs/>
          <w:sz w:val="24"/>
          <w:szCs w:val="24"/>
          <w:lang w:val="en-US"/>
        </w:rPr>
        <w:t>pemerintah</w:t>
      </w:r>
      <w:proofErr w:type="spellEnd"/>
      <w:r w:rsidRPr="007720BC">
        <w:rPr>
          <w:rFonts w:ascii="Times New Roman" w:hAnsi="Times New Roman" w:cs="Times New Roman"/>
          <w:iCs/>
          <w:sz w:val="24"/>
          <w:szCs w:val="24"/>
          <w:lang w:val="en-US"/>
        </w:rPr>
        <w:t xml:space="preserve"> </w:t>
      </w:r>
      <w:proofErr w:type="spellStart"/>
      <w:r w:rsidRPr="007720BC">
        <w:rPr>
          <w:rFonts w:ascii="Times New Roman" w:hAnsi="Times New Roman" w:cs="Times New Roman"/>
          <w:iCs/>
          <w:sz w:val="24"/>
          <w:szCs w:val="24"/>
          <w:lang w:val="en-US"/>
        </w:rPr>
        <w:t>terhadap</w:t>
      </w:r>
      <w:proofErr w:type="spellEnd"/>
      <w:r w:rsidRPr="007720BC">
        <w:rPr>
          <w:rFonts w:ascii="Times New Roman" w:hAnsi="Times New Roman" w:cs="Times New Roman"/>
          <w:iCs/>
          <w:sz w:val="24"/>
          <w:szCs w:val="24"/>
          <w:lang w:val="en-US"/>
        </w:rPr>
        <w:t xml:space="preserve"> </w:t>
      </w:r>
      <w:proofErr w:type="spellStart"/>
      <w:r w:rsidR="000B49C3" w:rsidRPr="007720BC">
        <w:rPr>
          <w:rFonts w:ascii="Times New Roman" w:hAnsi="Times New Roman" w:cs="Times New Roman"/>
          <w:iCs/>
          <w:sz w:val="24"/>
          <w:szCs w:val="24"/>
          <w:lang w:val="en-US"/>
        </w:rPr>
        <w:t>seluruh</w:t>
      </w:r>
      <w:proofErr w:type="spellEnd"/>
      <w:r w:rsidR="000B49C3" w:rsidRPr="007720BC">
        <w:rPr>
          <w:rFonts w:ascii="Times New Roman" w:hAnsi="Times New Roman" w:cs="Times New Roman"/>
          <w:iCs/>
          <w:sz w:val="24"/>
          <w:szCs w:val="24"/>
          <w:lang w:val="en-US"/>
        </w:rPr>
        <w:t xml:space="preserve"> </w:t>
      </w:r>
      <w:r w:rsidR="00DB6621" w:rsidRPr="007720BC">
        <w:rPr>
          <w:rFonts w:ascii="Times New Roman" w:hAnsi="Times New Roman" w:cs="Times New Roman"/>
          <w:iCs/>
          <w:sz w:val="24"/>
          <w:szCs w:val="24"/>
          <w:lang w:val="en-US"/>
        </w:rPr>
        <w:t xml:space="preserve">Kampung KB </w:t>
      </w:r>
      <w:r w:rsidR="000B49C3" w:rsidRPr="007720BC">
        <w:rPr>
          <w:rFonts w:ascii="Times New Roman" w:hAnsi="Times New Roman" w:cs="Times New Roman"/>
          <w:iCs/>
          <w:sz w:val="24"/>
          <w:szCs w:val="24"/>
          <w:lang w:val="en-US"/>
        </w:rPr>
        <w:t xml:space="preserve">di Indonesia </w:t>
      </w:r>
      <w:proofErr w:type="spellStart"/>
      <w:r w:rsidR="000B49C3" w:rsidRPr="007720BC">
        <w:rPr>
          <w:rFonts w:ascii="Times New Roman" w:hAnsi="Times New Roman" w:cs="Times New Roman"/>
          <w:iCs/>
          <w:sz w:val="24"/>
          <w:szCs w:val="24"/>
          <w:lang w:val="en-US"/>
        </w:rPr>
        <w:t>termasuk</w:t>
      </w:r>
      <w:proofErr w:type="spellEnd"/>
      <w:r w:rsidR="000B49C3" w:rsidRPr="007720BC">
        <w:rPr>
          <w:rFonts w:ascii="Times New Roman" w:hAnsi="Times New Roman" w:cs="Times New Roman"/>
          <w:iCs/>
          <w:sz w:val="24"/>
          <w:szCs w:val="24"/>
          <w:lang w:val="en-US"/>
        </w:rPr>
        <w:t xml:space="preserve"> </w:t>
      </w:r>
      <w:r w:rsidR="00C27C0F" w:rsidRPr="007720BC">
        <w:rPr>
          <w:rFonts w:ascii="Times New Roman" w:hAnsi="Times New Roman" w:cs="Times New Roman"/>
          <w:iCs/>
          <w:sz w:val="24"/>
          <w:szCs w:val="24"/>
          <w:lang w:val="en-US"/>
        </w:rPr>
        <w:t xml:space="preserve">Desa </w:t>
      </w:r>
      <w:proofErr w:type="spellStart"/>
      <w:r w:rsidR="00C27C0F" w:rsidRPr="007720BC">
        <w:rPr>
          <w:rFonts w:ascii="Times New Roman" w:hAnsi="Times New Roman" w:cs="Times New Roman"/>
          <w:iCs/>
          <w:sz w:val="24"/>
          <w:szCs w:val="24"/>
          <w:lang w:val="en-US"/>
        </w:rPr>
        <w:t>Mongpok</w:t>
      </w:r>
      <w:proofErr w:type="spellEnd"/>
      <w:r w:rsidR="00C27C0F" w:rsidRPr="007720BC">
        <w:rPr>
          <w:rFonts w:ascii="Times New Roman" w:hAnsi="Times New Roman" w:cs="Times New Roman"/>
          <w:iCs/>
          <w:sz w:val="24"/>
          <w:szCs w:val="24"/>
          <w:lang w:val="en-US"/>
        </w:rPr>
        <w:t xml:space="preserve"> </w:t>
      </w:r>
      <w:proofErr w:type="spellStart"/>
      <w:r w:rsidRPr="007720BC">
        <w:rPr>
          <w:rFonts w:ascii="Times New Roman" w:hAnsi="Times New Roman" w:cs="Times New Roman"/>
          <w:iCs/>
          <w:sz w:val="24"/>
          <w:szCs w:val="24"/>
          <w:lang w:val="en-US"/>
        </w:rPr>
        <w:t>diimplementasikan</w:t>
      </w:r>
      <w:proofErr w:type="spellEnd"/>
      <w:r w:rsidRPr="007720BC">
        <w:rPr>
          <w:rFonts w:ascii="Times New Roman" w:hAnsi="Times New Roman" w:cs="Times New Roman"/>
          <w:iCs/>
          <w:sz w:val="24"/>
          <w:szCs w:val="24"/>
          <w:lang w:val="en-US"/>
        </w:rPr>
        <w:t xml:space="preserve"> </w:t>
      </w:r>
      <w:proofErr w:type="spellStart"/>
      <w:r w:rsidRPr="007720BC">
        <w:rPr>
          <w:rFonts w:ascii="Times New Roman" w:hAnsi="Times New Roman" w:cs="Times New Roman"/>
          <w:iCs/>
          <w:sz w:val="24"/>
          <w:szCs w:val="24"/>
          <w:lang w:val="en-US"/>
        </w:rPr>
        <w:t>melalui</w:t>
      </w:r>
      <w:proofErr w:type="spellEnd"/>
      <w:r w:rsidRPr="007720BC">
        <w:rPr>
          <w:rFonts w:ascii="Times New Roman" w:hAnsi="Times New Roman" w:cs="Times New Roman"/>
          <w:iCs/>
          <w:sz w:val="24"/>
          <w:szCs w:val="24"/>
          <w:lang w:val="en-US"/>
        </w:rPr>
        <w:t xml:space="preserve"> </w:t>
      </w:r>
      <w:proofErr w:type="spellStart"/>
      <w:r w:rsidR="00C27C0F" w:rsidRPr="007720BC">
        <w:rPr>
          <w:rFonts w:ascii="Times New Roman" w:hAnsi="Times New Roman" w:cs="Times New Roman"/>
          <w:iCs/>
          <w:sz w:val="24"/>
          <w:szCs w:val="24"/>
          <w:lang w:val="en-US"/>
        </w:rPr>
        <w:t>kegiatan</w:t>
      </w:r>
      <w:proofErr w:type="spellEnd"/>
      <w:r w:rsidR="00C27C0F" w:rsidRPr="007720BC">
        <w:rPr>
          <w:rFonts w:ascii="Times New Roman" w:hAnsi="Times New Roman" w:cs="Times New Roman"/>
          <w:iCs/>
          <w:sz w:val="24"/>
          <w:szCs w:val="24"/>
          <w:lang w:val="en-US"/>
        </w:rPr>
        <w:t xml:space="preserve"> </w:t>
      </w:r>
      <w:proofErr w:type="spellStart"/>
      <w:r w:rsidR="00C27C0F" w:rsidRPr="007720BC">
        <w:rPr>
          <w:rFonts w:ascii="Times New Roman" w:hAnsi="Times New Roman" w:cs="Times New Roman"/>
          <w:iCs/>
          <w:sz w:val="24"/>
          <w:szCs w:val="24"/>
          <w:lang w:val="en-US"/>
        </w:rPr>
        <w:t>Dapur</w:t>
      </w:r>
      <w:proofErr w:type="spellEnd"/>
      <w:r w:rsidR="00C27C0F" w:rsidRPr="007720BC">
        <w:rPr>
          <w:rFonts w:ascii="Times New Roman" w:hAnsi="Times New Roman" w:cs="Times New Roman"/>
          <w:iCs/>
          <w:sz w:val="24"/>
          <w:szCs w:val="24"/>
          <w:lang w:val="en-US"/>
        </w:rPr>
        <w:t xml:space="preserve"> Sehat Atasi Stunting</w:t>
      </w:r>
      <w:r w:rsidR="0049181E" w:rsidRPr="007720BC">
        <w:rPr>
          <w:rFonts w:ascii="Times New Roman" w:hAnsi="Times New Roman" w:cs="Times New Roman"/>
          <w:iCs/>
          <w:sz w:val="24"/>
          <w:szCs w:val="24"/>
          <w:lang w:val="en-US"/>
        </w:rPr>
        <w:t xml:space="preserve"> </w:t>
      </w:r>
      <w:r w:rsidR="008653D9" w:rsidRPr="007720BC">
        <w:rPr>
          <w:rFonts w:ascii="Times New Roman" w:hAnsi="Times New Roman" w:cs="Times New Roman"/>
          <w:iCs/>
          <w:sz w:val="24"/>
          <w:szCs w:val="24"/>
          <w:lang w:val="en-US"/>
        </w:rPr>
        <w:t>(</w:t>
      </w:r>
      <w:r w:rsidR="0049181E" w:rsidRPr="007720BC">
        <w:rPr>
          <w:rFonts w:ascii="Times New Roman" w:hAnsi="Times New Roman" w:cs="Times New Roman"/>
          <w:iCs/>
          <w:sz w:val="24"/>
          <w:szCs w:val="24"/>
          <w:lang w:val="en-US"/>
        </w:rPr>
        <w:t>D</w:t>
      </w:r>
      <w:proofErr w:type="spellStart"/>
      <w:r w:rsidR="0049181E" w:rsidRPr="007720BC">
        <w:rPr>
          <w:rFonts w:ascii="Times New Roman" w:hAnsi="Times New Roman" w:cs="Times New Roman"/>
          <w:iCs/>
          <w:sz w:val="24"/>
          <w:szCs w:val="24"/>
        </w:rPr>
        <w:t>ashat</w:t>
      </w:r>
      <w:proofErr w:type="spellEnd"/>
      <w:r w:rsidR="008653D9" w:rsidRPr="007720BC">
        <w:rPr>
          <w:rFonts w:ascii="Times New Roman" w:hAnsi="Times New Roman" w:cs="Times New Roman"/>
          <w:iCs/>
          <w:sz w:val="24"/>
          <w:szCs w:val="24"/>
        </w:rPr>
        <w:t>)</w:t>
      </w:r>
      <w:r w:rsidR="0049181E" w:rsidRPr="007720BC">
        <w:rPr>
          <w:rFonts w:ascii="Times New Roman" w:hAnsi="Times New Roman" w:cs="Times New Roman"/>
          <w:iCs/>
          <w:sz w:val="24"/>
          <w:szCs w:val="24"/>
        </w:rPr>
        <w:t xml:space="preserve"> </w:t>
      </w:r>
      <w:r w:rsidR="00DB6621" w:rsidRPr="007720BC">
        <w:rPr>
          <w:rFonts w:ascii="Times New Roman" w:hAnsi="Times New Roman" w:cs="Times New Roman"/>
          <w:iCs/>
          <w:sz w:val="24"/>
          <w:szCs w:val="24"/>
          <w:lang w:val="en-US"/>
        </w:rPr>
        <w:t xml:space="preserve">yang </w:t>
      </w:r>
      <w:proofErr w:type="spellStart"/>
      <w:r w:rsidR="00C27C0F" w:rsidRPr="007720BC">
        <w:rPr>
          <w:rFonts w:ascii="Times New Roman" w:hAnsi="Times New Roman" w:cs="Times New Roman"/>
          <w:iCs/>
          <w:sz w:val="24"/>
          <w:szCs w:val="24"/>
          <w:lang w:val="en-US"/>
        </w:rPr>
        <w:t>merupakan</w:t>
      </w:r>
      <w:proofErr w:type="spellEnd"/>
      <w:r w:rsidR="00C27C0F" w:rsidRPr="007720BC">
        <w:rPr>
          <w:rFonts w:ascii="Times New Roman" w:hAnsi="Times New Roman" w:cs="Times New Roman"/>
          <w:iCs/>
          <w:sz w:val="24"/>
          <w:szCs w:val="24"/>
          <w:lang w:val="en-US"/>
        </w:rPr>
        <w:t xml:space="preserve"> </w:t>
      </w:r>
      <w:proofErr w:type="spellStart"/>
      <w:r w:rsidR="00C27C0F" w:rsidRPr="007720BC">
        <w:rPr>
          <w:rFonts w:ascii="Times New Roman" w:hAnsi="Times New Roman" w:cs="Times New Roman"/>
          <w:iCs/>
          <w:sz w:val="24"/>
          <w:szCs w:val="24"/>
          <w:lang w:val="en-US"/>
        </w:rPr>
        <w:t>kegiatan</w:t>
      </w:r>
      <w:proofErr w:type="spellEnd"/>
      <w:r w:rsidR="00C27C0F" w:rsidRPr="007720BC">
        <w:rPr>
          <w:rFonts w:ascii="Times New Roman" w:hAnsi="Times New Roman" w:cs="Times New Roman"/>
          <w:iCs/>
          <w:sz w:val="24"/>
          <w:szCs w:val="24"/>
          <w:lang w:val="en-US"/>
        </w:rPr>
        <w:t xml:space="preserve"> </w:t>
      </w:r>
      <w:proofErr w:type="spellStart"/>
      <w:r w:rsidR="00C27C0F" w:rsidRPr="007720BC">
        <w:rPr>
          <w:rFonts w:ascii="Times New Roman" w:hAnsi="Times New Roman" w:cs="Times New Roman"/>
          <w:iCs/>
          <w:sz w:val="24"/>
          <w:szCs w:val="24"/>
          <w:lang w:val="en-US"/>
        </w:rPr>
        <w:t>pemberdayaan</w:t>
      </w:r>
      <w:proofErr w:type="spellEnd"/>
      <w:r w:rsidR="00C27C0F" w:rsidRPr="007720BC">
        <w:rPr>
          <w:rFonts w:ascii="Times New Roman" w:hAnsi="Times New Roman" w:cs="Times New Roman"/>
          <w:iCs/>
          <w:sz w:val="24"/>
          <w:szCs w:val="24"/>
          <w:lang w:val="en-US"/>
        </w:rPr>
        <w:t xml:space="preserve"> </w:t>
      </w:r>
      <w:proofErr w:type="spellStart"/>
      <w:r w:rsidR="00C27C0F" w:rsidRPr="007720BC">
        <w:rPr>
          <w:rFonts w:ascii="Times New Roman" w:hAnsi="Times New Roman" w:cs="Times New Roman"/>
          <w:iCs/>
          <w:sz w:val="24"/>
          <w:szCs w:val="24"/>
          <w:lang w:val="en-US"/>
        </w:rPr>
        <w:t>masyarakat</w:t>
      </w:r>
      <w:proofErr w:type="spellEnd"/>
      <w:r w:rsidR="00C27C0F" w:rsidRPr="007720BC">
        <w:rPr>
          <w:rFonts w:ascii="Times New Roman" w:hAnsi="Times New Roman" w:cs="Times New Roman"/>
          <w:iCs/>
          <w:sz w:val="24"/>
          <w:szCs w:val="24"/>
          <w:lang w:val="en-US"/>
        </w:rPr>
        <w:t xml:space="preserve"> </w:t>
      </w:r>
      <w:proofErr w:type="spellStart"/>
      <w:r w:rsidR="00C27C0F" w:rsidRPr="007720BC">
        <w:rPr>
          <w:rFonts w:ascii="Times New Roman" w:hAnsi="Times New Roman" w:cs="Times New Roman"/>
          <w:iCs/>
          <w:sz w:val="24"/>
          <w:szCs w:val="24"/>
          <w:lang w:val="en-US"/>
        </w:rPr>
        <w:t>dalam</w:t>
      </w:r>
      <w:proofErr w:type="spellEnd"/>
      <w:r w:rsidR="00C27C0F" w:rsidRPr="007720BC">
        <w:rPr>
          <w:rFonts w:ascii="Times New Roman" w:hAnsi="Times New Roman" w:cs="Times New Roman"/>
          <w:iCs/>
          <w:sz w:val="24"/>
          <w:szCs w:val="24"/>
          <w:lang w:val="en-US"/>
        </w:rPr>
        <w:t xml:space="preserve"> </w:t>
      </w:r>
      <w:proofErr w:type="spellStart"/>
      <w:r w:rsidR="00C27C0F" w:rsidRPr="007720BC">
        <w:rPr>
          <w:rFonts w:ascii="Times New Roman" w:hAnsi="Times New Roman" w:cs="Times New Roman"/>
          <w:iCs/>
          <w:sz w:val="24"/>
          <w:szCs w:val="24"/>
          <w:lang w:val="en-US"/>
        </w:rPr>
        <w:t>upaya</w:t>
      </w:r>
      <w:proofErr w:type="spellEnd"/>
      <w:r w:rsidR="00C27C0F" w:rsidRPr="007720BC">
        <w:rPr>
          <w:rFonts w:ascii="Times New Roman" w:hAnsi="Times New Roman" w:cs="Times New Roman"/>
          <w:iCs/>
          <w:sz w:val="24"/>
          <w:szCs w:val="24"/>
          <w:lang w:val="en-US"/>
        </w:rPr>
        <w:t xml:space="preserve"> </w:t>
      </w:r>
      <w:proofErr w:type="spellStart"/>
      <w:r w:rsidR="00C27C0F" w:rsidRPr="007720BC">
        <w:rPr>
          <w:rFonts w:ascii="Times New Roman" w:hAnsi="Times New Roman" w:cs="Times New Roman"/>
          <w:iCs/>
          <w:sz w:val="24"/>
          <w:szCs w:val="24"/>
          <w:lang w:val="en-US"/>
        </w:rPr>
        <w:t>pemenuhan</w:t>
      </w:r>
      <w:proofErr w:type="spellEnd"/>
      <w:r w:rsidR="00C27C0F" w:rsidRPr="007720BC">
        <w:rPr>
          <w:rFonts w:ascii="Times New Roman" w:hAnsi="Times New Roman" w:cs="Times New Roman"/>
          <w:iCs/>
          <w:sz w:val="24"/>
          <w:szCs w:val="24"/>
          <w:lang w:val="en-US"/>
        </w:rPr>
        <w:t xml:space="preserve"> </w:t>
      </w:r>
      <w:proofErr w:type="spellStart"/>
      <w:r w:rsidR="00C27C0F" w:rsidRPr="007720BC">
        <w:rPr>
          <w:rFonts w:ascii="Times New Roman" w:hAnsi="Times New Roman" w:cs="Times New Roman"/>
          <w:iCs/>
          <w:sz w:val="24"/>
          <w:szCs w:val="24"/>
          <w:lang w:val="en-US"/>
        </w:rPr>
        <w:t>gizi</w:t>
      </w:r>
      <w:proofErr w:type="spellEnd"/>
      <w:r w:rsidR="00C27C0F" w:rsidRPr="007720BC">
        <w:rPr>
          <w:rFonts w:ascii="Times New Roman" w:hAnsi="Times New Roman" w:cs="Times New Roman"/>
          <w:iCs/>
          <w:sz w:val="24"/>
          <w:szCs w:val="24"/>
          <w:lang w:val="en-US"/>
        </w:rPr>
        <w:t xml:space="preserve"> </w:t>
      </w:r>
      <w:proofErr w:type="spellStart"/>
      <w:r w:rsidR="00C27C0F" w:rsidRPr="007720BC">
        <w:rPr>
          <w:rFonts w:ascii="Times New Roman" w:hAnsi="Times New Roman" w:cs="Times New Roman"/>
          <w:iCs/>
          <w:sz w:val="24"/>
          <w:szCs w:val="24"/>
          <w:lang w:val="en-US"/>
        </w:rPr>
        <w:t>seimbang</w:t>
      </w:r>
      <w:proofErr w:type="spellEnd"/>
      <w:r w:rsidR="00C27C0F" w:rsidRPr="007720BC">
        <w:rPr>
          <w:rFonts w:ascii="Times New Roman" w:hAnsi="Times New Roman" w:cs="Times New Roman"/>
          <w:iCs/>
          <w:sz w:val="24"/>
          <w:szCs w:val="24"/>
          <w:lang w:val="en-US"/>
        </w:rPr>
        <w:t xml:space="preserve"> </w:t>
      </w:r>
      <w:proofErr w:type="spellStart"/>
      <w:r w:rsidR="00C27C0F" w:rsidRPr="007720BC">
        <w:rPr>
          <w:rFonts w:ascii="Times New Roman" w:hAnsi="Times New Roman" w:cs="Times New Roman"/>
          <w:iCs/>
          <w:sz w:val="24"/>
          <w:szCs w:val="24"/>
          <w:lang w:val="en-US"/>
        </w:rPr>
        <w:t>bagi</w:t>
      </w:r>
      <w:proofErr w:type="spellEnd"/>
      <w:r w:rsidR="00C27C0F" w:rsidRPr="007720BC">
        <w:rPr>
          <w:rFonts w:ascii="Times New Roman" w:hAnsi="Times New Roman" w:cs="Times New Roman"/>
          <w:iCs/>
          <w:sz w:val="24"/>
          <w:szCs w:val="24"/>
          <w:lang w:val="en-US"/>
        </w:rPr>
        <w:t xml:space="preserve"> </w:t>
      </w:r>
      <w:proofErr w:type="spellStart"/>
      <w:r w:rsidR="00C27C0F" w:rsidRPr="007720BC">
        <w:rPr>
          <w:rFonts w:ascii="Times New Roman" w:hAnsi="Times New Roman" w:cs="Times New Roman"/>
          <w:iCs/>
          <w:sz w:val="24"/>
          <w:szCs w:val="24"/>
          <w:lang w:val="en-US"/>
        </w:rPr>
        <w:t>keluarga</w:t>
      </w:r>
      <w:proofErr w:type="spellEnd"/>
      <w:r w:rsidR="00C27C0F" w:rsidRPr="007720BC">
        <w:rPr>
          <w:rFonts w:ascii="Times New Roman" w:hAnsi="Times New Roman" w:cs="Times New Roman"/>
          <w:iCs/>
          <w:sz w:val="24"/>
          <w:szCs w:val="24"/>
          <w:lang w:val="en-US"/>
        </w:rPr>
        <w:t xml:space="preserve"> yang </w:t>
      </w:r>
      <w:proofErr w:type="spellStart"/>
      <w:r w:rsidR="00C27C0F" w:rsidRPr="007720BC">
        <w:rPr>
          <w:rFonts w:ascii="Times New Roman" w:hAnsi="Times New Roman" w:cs="Times New Roman"/>
          <w:iCs/>
          <w:sz w:val="24"/>
          <w:szCs w:val="24"/>
          <w:lang w:val="en-US"/>
        </w:rPr>
        <w:t>beresiko</w:t>
      </w:r>
      <w:proofErr w:type="spellEnd"/>
      <w:r w:rsidR="00C27C0F" w:rsidRPr="007720BC">
        <w:rPr>
          <w:rFonts w:ascii="Times New Roman" w:hAnsi="Times New Roman" w:cs="Times New Roman"/>
          <w:iCs/>
          <w:sz w:val="24"/>
          <w:szCs w:val="24"/>
          <w:lang w:val="en-US"/>
        </w:rPr>
        <w:t xml:space="preserve"> stunting </w:t>
      </w:r>
      <w:proofErr w:type="spellStart"/>
      <w:r w:rsidR="00C27C0F" w:rsidRPr="007720BC">
        <w:rPr>
          <w:rFonts w:ascii="Times New Roman" w:hAnsi="Times New Roman" w:cs="Times New Roman"/>
          <w:iCs/>
          <w:sz w:val="24"/>
          <w:szCs w:val="24"/>
          <w:lang w:val="en-US"/>
        </w:rPr>
        <w:t>melalui</w:t>
      </w:r>
      <w:proofErr w:type="spellEnd"/>
      <w:r w:rsidR="00C27C0F" w:rsidRPr="007720BC">
        <w:rPr>
          <w:rFonts w:ascii="Times New Roman" w:hAnsi="Times New Roman" w:cs="Times New Roman"/>
          <w:iCs/>
          <w:sz w:val="24"/>
          <w:szCs w:val="24"/>
          <w:lang w:val="en-US"/>
        </w:rPr>
        <w:t xml:space="preserve"> </w:t>
      </w:r>
      <w:proofErr w:type="spellStart"/>
      <w:r w:rsidR="00C27C0F" w:rsidRPr="007720BC">
        <w:rPr>
          <w:rFonts w:ascii="Times New Roman" w:hAnsi="Times New Roman" w:cs="Times New Roman"/>
          <w:iCs/>
          <w:sz w:val="24"/>
          <w:szCs w:val="24"/>
          <w:lang w:val="en-US"/>
        </w:rPr>
        <w:t>pemberdayaan</w:t>
      </w:r>
      <w:proofErr w:type="spellEnd"/>
      <w:r w:rsidR="00C27C0F" w:rsidRPr="007720BC">
        <w:rPr>
          <w:rFonts w:ascii="Times New Roman" w:hAnsi="Times New Roman" w:cs="Times New Roman"/>
          <w:iCs/>
          <w:sz w:val="24"/>
          <w:szCs w:val="24"/>
          <w:lang w:val="en-US"/>
        </w:rPr>
        <w:t xml:space="preserve"> </w:t>
      </w:r>
      <w:proofErr w:type="spellStart"/>
      <w:r w:rsidR="00C27C0F" w:rsidRPr="007720BC">
        <w:rPr>
          <w:rFonts w:ascii="Times New Roman" w:hAnsi="Times New Roman" w:cs="Times New Roman"/>
          <w:iCs/>
          <w:sz w:val="24"/>
          <w:szCs w:val="24"/>
          <w:lang w:val="en-US"/>
        </w:rPr>
        <w:t>sumberdaya</w:t>
      </w:r>
      <w:proofErr w:type="spellEnd"/>
      <w:r w:rsidR="00C27C0F" w:rsidRPr="007720BC">
        <w:rPr>
          <w:rFonts w:ascii="Times New Roman" w:hAnsi="Times New Roman" w:cs="Times New Roman"/>
          <w:iCs/>
          <w:sz w:val="24"/>
          <w:szCs w:val="24"/>
          <w:lang w:val="en-US"/>
        </w:rPr>
        <w:t xml:space="preserve"> </w:t>
      </w:r>
      <w:proofErr w:type="spellStart"/>
      <w:r w:rsidR="00C27C0F" w:rsidRPr="007720BC">
        <w:rPr>
          <w:rFonts w:ascii="Times New Roman" w:hAnsi="Times New Roman" w:cs="Times New Roman"/>
          <w:iCs/>
          <w:sz w:val="24"/>
          <w:szCs w:val="24"/>
          <w:lang w:val="en-US"/>
        </w:rPr>
        <w:t>atau</w:t>
      </w:r>
      <w:proofErr w:type="spellEnd"/>
      <w:r w:rsidR="00C27C0F" w:rsidRPr="007720BC">
        <w:rPr>
          <w:rFonts w:ascii="Times New Roman" w:hAnsi="Times New Roman" w:cs="Times New Roman"/>
          <w:iCs/>
          <w:sz w:val="24"/>
          <w:szCs w:val="24"/>
          <w:lang w:val="en-US"/>
        </w:rPr>
        <w:t xml:space="preserve"> </w:t>
      </w:r>
      <w:proofErr w:type="spellStart"/>
      <w:r w:rsidR="00C27C0F" w:rsidRPr="007720BC">
        <w:rPr>
          <w:rFonts w:ascii="Times New Roman" w:hAnsi="Times New Roman" w:cs="Times New Roman"/>
          <w:iCs/>
          <w:sz w:val="24"/>
          <w:szCs w:val="24"/>
          <w:lang w:val="en-US"/>
        </w:rPr>
        <w:t>kontribusi</w:t>
      </w:r>
      <w:proofErr w:type="spellEnd"/>
      <w:r w:rsidR="00C27C0F" w:rsidRPr="007720BC">
        <w:rPr>
          <w:rFonts w:ascii="Times New Roman" w:hAnsi="Times New Roman" w:cs="Times New Roman"/>
          <w:iCs/>
          <w:sz w:val="24"/>
          <w:szCs w:val="24"/>
          <w:lang w:val="en-US"/>
        </w:rPr>
        <w:t xml:space="preserve"> </w:t>
      </w:r>
      <w:proofErr w:type="spellStart"/>
      <w:r w:rsidR="00C27C0F" w:rsidRPr="007720BC">
        <w:rPr>
          <w:rFonts w:ascii="Times New Roman" w:hAnsi="Times New Roman" w:cs="Times New Roman"/>
          <w:iCs/>
          <w:sz w:val="24"/>
          <w:szCs w:val="24"/>
          <w:lang w:val="en-US"/>
        </w:rPr>
        <w:t>kemitraan</w:t>
      </w:r>
      <w:proofErr w:type="spellEnd"/>
      <w:r w:rsidR="00C27C0F" w:rsidRPr="007720BC">
        <w:rPr>
          <w:rFonts w:ascii="Times New Roman" w:hAnsi="Times New Roman" w:cs="Times New Roman"/>
          <w:iCs/>
          <w:sz w:val="24"/>
          <w:szCs w:val="24"/>
          <w:lang w:val="en-US"/>
        </w:rPr>
        <w:t xml:space="preserve"> </w:t>
      </w:r>
      <w:proofErr w:type="spellStart"/>
      <w:r w:rsidR="00C27C0F" w:rsidRPr="007720BC">
        <w:rPr>
          <w:rFonts w:ascii="Times New Roman" w:hAnsi="Times New Roman" w:cs="Times New Roman"/>
          <w:iCs/>
          <w:sz w:val="24"/>
          <w:szCs w:val="24"/>
          <w:lang w:val="en-US"/>
        </w:rPr>
        <w:t>lainnya</w:t>
      </w:r>
      <w:proofErr w:type="spellEnd"/>
      <w:r w:rsidR="00C27C0F" w:rsidRPr="007720BC">
        <w:rPr>
          <w:rFonts w:ascii="Times New Roman" w:hAnsi="Times New Roman" w:cs="Times New Roman"/>
          <w:iCs/>
          <w:sz w:val="24"/>
          <w:szCs w:val="24"/>
          <w:lang w:val="en-US"/>
        </w:rPr>
        <w:t>.</w:t>
      </w:r>
      <w:r w:rsidR="00DB6621" w:rsidRPr="007720BC">
        <w:rPr>
          <w:rFonts w:ascii="Times New Roman" w:hAnsi="Times New Roman" w:cs="Times New Roman"/>
          <w:sz w:val="24"/>
          <w:szCs w:val="24"/>
        </w:rPr>
        <w:t xml:space="preserve"> </w:t>
      </w:r>
      <w:proofErr w:type="spellStart"/>
      <w:r w:rsidR="0049181E" w:rsidRPr="007720BC">
        <w:rPr>
          <w:rFonts w:ascii="Times New Roman" w:hAnsi="Times New Roman" w:cs="Times New Roman"/>
          <w:sz w:val="24"/>
          <w:szCs w:val="24"/>
        </w:rPr>
        <w:t>Dashat</w:t>
      </w:r>
      <w:proofErr w:type="spellEnd"/>
      <w:r w:rsidR="0049181E"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lang w:val="en-US"/>
        </w:rPr>
        <w:t>merupakan</w:t>
      </w:r>
      <w:proofErr w:type="spellEnd"/>
      <w:r w:rsidR="00A638A7" w:rsidRPr="007720BC">
        <w:rPr>
          <w:rFonts w:ascii="Times New Roman" w:hAnsi="Times New Roman" w:cs="Times New Roman"/>
          <w:sz w:val="24"/>
          <w:szCs w:val="24"/>
        </w:rPr>
        <w:t xml:space="preserve"> salah </w:t>
      </w:r>
      <w:proofErr w:type="spellStart"/>
      <w:r w:rsidR="00A638A7" w:rsidRPr="007720BC">
        <w:rPr>
          <w:rFonts w:ascii="Times New Roman" w:hAnsi="Times New Roman" w:cs="Times New Roman"/>
          <w:sz w:val="24"/>
          <w:szCs w:val="24"/>
        </w:rPr>
        <w:t>satu</w:t>
      </w:r>
      <w:proofErr w:type="spellEnd"/>
      <w:r w:rsidR="00A638A7" w:rsidRPr="007720BC">
        <w:rPr>
          <w:rFonts w:ascii="Times New Roman" w:hAnsi="Times New Roman" w:cs="Times New Roman"/>
          <w:sz w:val="24"/>
          <w:szCs w:val="24"/>
        </w:rPr>
        <w:t xml:space="preserve"> program</w:t>
      </w:r>
      <w:r w:rsidR="00A638A7" w:rsidRPr="007720BC">
        <w:rPr>
          <w:rFonts w:ascii="Times New Roman" w:hAnsi="Times New Roman" w:cs="Times New Roman"/>
          <w:sz w:val="24"/>
          <w:szCs w:val="24"/>
          <w:lang w:val="en-US"/>
        </w:rPr>
        <w:t xml:space="preserve"> </w:t>
      </w:r>
      <w:proofErr w:type="spellStart"/>
      <w:r w:rsidR="00A638A7" w:rsidRPr="007720BC">
        <w:rPr>
          <w:rFonts w:ascii="Times New Roman" w:hAnsi="Times New Roman" w:cs="Times New Roman"/>
          <w:sz w:val="24"/>
          <w:szCs w:val="24"/>
        </w:rPr>
        <w:t>dari</w:t>
      </w:r>
      <w:proofErr w:type="spellEnd"/>
      <w:r w:rsidR="00A638A7" w:rsidRPr="007720BC">
        <w:rPr>
          <w:rFonts w:ascii="Times New Roman" w:hAnsi="Times New Roman" w:cs="Times New Roman"/>
          <w:sz w:val="24"/>
          <w:szCs w:val="24"/>
        </w:rPr>
        <w:t xml:space="preserve"> </w:t>
      </w:r>
      <w:r w:rsidR="00B81D8A" w:rsidRPr="007720BC">
        <w:rPr>
          <w:rFonts w:ascii="Times New Roman" w:hAnsi="Times New Roman" w:cs="Times New Roman"/>
          <w:sz w:val="24"/>
          <w:szCs w:val="24"/>
        </w:rPr>
        <w:t xml:space="preserve">Badan </w:t>
      </w:r>
      <w:proofErr w:type="spellStart"/>
      <w:r w:rsidR="00B81D8A" w:rsidRPr="007720BC">
        <w:rPr>
          <w:rFonts w:ascii="Times New Roman" w:hAnsi="Times New Roman" w:cs="Times New Roman"/>
          <w:sz w:val="24"/>
          <w:szCs w:val="24"/>
        </w:rPr>
        <w:t>Koordinasi</w:t>
      </w:r>
      <w:proofErr w:type="spellEnd"/>
      <w:r w:rsidR="00B81D8A" w:rsidRPr="007720BC">
        <w:rPr>
          <w:rFonts w:ascii="Times New Roman" w:hAnsi="Times New Roman" w:cs="Times New Roman"/>
          <w:sz w:val="24"/>
          <w:szCs w:val="24"/>
        </w:rPr>
        <w:t xml:space="preserve"> </w:t>
      </w:r>
      <w:proofErr w:type="spellStart"/>
      <w:r w:rsidR="00B81D8A" w:rsidRPr="007720BC">
        <w:rPr>
          <w:rFonts w:ascii="Times New Roman" w:hAnsi="Times New Roman" w:cs="Times New Roman"/>
          <w:sz w:val="24"/>
          <w:szCs w:val="24"/>
        </w:rPr>
        <w:t>Keluarga</w:t>
      </w:r>
      <w:proofErr w:type="spellEnd"/>
      <w:r w:rsidR="00B81D8A" w:rsidRPr="007720BC">
        <w:rPr>
          <w:rFonts w:ascii="Times New Roman" w:hAnsi="Times New Roman" w:cs="Times New Roman"/>
          <w:sz w:val="24"/>
          <w:szCs w:val="24"/>
        </w:rPr>
        <w:t xml:space="preserve"> </w:t>
      </w:r>
      <w:proofErr w:type="spellStart"/>
      <w:r w:rsidR="00B81D8A" w:rsidRPr="007720BC">
        <w:rPr>
          <w:rFonts w:ascii="Times New Roman" w:hAnsi="Times New Roman" w:cs="Times New Roman"/>
          <w:sz w:val="24"/>
          <w:szCs w:val="24"/>
        </w:rPr>
        <w:t>Berencana</w:t>
      </w:r>
      <w:proofErr w:type="spellEnd"/>
      <w:r w:rsidR="00B81D8A" w:rsidRPr="007720BC">
        <w:rPr>
          <w:rFonts w:ascii="Times New Roman" w:hAnsi="Times New Roman" w:cs="Times New Roman"/>
          <w:sz w:val="24"/>
          <w:szCs w:val="24"/>
        </w:rPr>
        <w:t xml:space="preserve"> Nasional (</w:t>
      </w:r>
      <w:r w:rsidR="00A638A7" w:rsidRPr="007720BC">
        <w:rPr>
          <w:rFonts w:ascii="Times New Roman" w:hAnsi="Times New Roman" w:cs="Times New Roman"/>
          <w:sz w:val="24"/>
          <w:szCs w:val="24"/>
        </w:rPr>
        <w:t>BKKBN</w:t>
      </w:r>
      <w:r w:rsidR="00B81D8A" w:rsidRPr="007720BC">
        <w:rPr>
          <w:rFonts w:ascii="Times New Roman" w:hAnsi="Times New Roman" w:cs="Times New Roman"/>
          <w:sz w:val="24"/>
          <w:szCs w:val="24"/>
        </w:rPr>
        <w:t>)</w:t>
      </w:r>
      <w:r w:rsidR="00A638A7" w:rsidRPr="007720BC">
        <w:rPr>
          <w:rFonts w:ascii="Times New Roman" w:hAnsi="Times New Roman" w:cs="Times New Roman"/>
          <w:sz w:val="24"/>
          <w:szCs w:val="24"/>
        </w:rPr>
        <w:t xml:space="preserve"> yang </w:t>
      </w:r>
      <w:proofErr w:type="spellStart"/>
      <w:r w:rsidR="00A638A7" w:rsidRPr="007720BC">
        <w:rPr>
          <w:rFonts w:ascii="Times New Roman" w:hAnsi="Times New Roman" w:cs="Times New Roman"/>
          <w:sz w:val="24"/>
          <w:szCs w:val="24"/>
        </w:rPr>
        <w:t>berbasis</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masyarakat</w:t>
      </w:r>
      <w:proofErr w:type="spellEnd"/>
      <w:r w:rsidR="00A638A7" w:rsidRPr="007720BC">
        <w:rPr>
          <w:rFonts w:ascii="Times New Roman" w:hAnsi="Times New Roman" w:cs="Times New Roman"/>
          <w:sz w:val="24"/>
          <w:szCs w:val="24"/>
        </w:rPr>
        <w:t xml:space="preserve"> di Kampung KB </w:t>
      </w:r>
      <w:proofErr w:type="spellStart"/>
      <w:r w:rsidR="00A638A7" w:rsidRPr="007720BC">
        <w:rPr>
          <w:rFonts w:ascii="Times New Roman" w:hAnsi="Times New Roman" w:cs="Times New Roman"/>
          <w:sz w:val="24"/>
          <w:szCs w:val="24"/>
        </w:rPr>
        <w:t>dalam</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rangka</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percepatan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penurunan</w:t>
      </w:r>
      <w:proofErr w:type="spellEnd"/>
      <w:r w:rsidR="00A638A7" w:rsidRPr="007720BC">
        <w:rPr>
          <w:rFonts w:ascii="Times New Roman" w:hAnsi="Times New Roman" w:cs="Times New Roman"/>
          <w:sz w:val="24"/>
          <w:szCs w:val="24"/>
        </w:rPr>
        <w:t xml:space="preserve"> </w:t>
      </w:r>
      <w:r w:rsidR="00A638A7" w:rsidRPr="007720BC">
        <w:rPr>
          <w:rFonts w:ascii="Times New Roman" w:hAnsi="Times New Roman" w:cs="Times New Roman"/>
          <w:i/>
          <w:sz w:val="24"/>
          <w:szCs w:val="24"/>
        </w:rPr>
        <w:t>stunting</w:t>
      </w:r>
      <w:r w:rsidR="00A638A7" w:rsidRPr="007720BC">
        <w:rPr>
          <w:rFonts w:ascii="Times New Roman" w:hAnsi="Times New Roman" w:cs="Times New Roman"/>
          <w:sz w:val="24"/>
          <w:szCs w:val="24"/>
        </w:rPr>
        <w:t xml:space="preserve">. </w:t>
      </w:r>
    </w:p>
    <w:p w14:paraId="0FF668C5" w14:textId="7E9A4CF3" w:rsidR="007973CE" w:rsidRPr="007720BC" w:rsidRDefault="0049181E" w:rsidP="009612EA">
      <w:pPr>
        <w:shd w:val="clear" w:color="auto" w:fill="FFFFFF"/>
        <w:spacing w:after="0" w:line="240" w:lineRule="auto"/>
        <w:ind w:firstLine="567"/>
        <w:contextualSpacing/>
        <w:jc w:val="both"/>
        <w:textAlignment w:val="baseline"/>
        <w:rPr>
          <w:rFonts w:ascii="Times New Roman" w:hAnsi="Times New Roman" w:cs="Times New Roman"/>
          <w:sz w:val="24"/>
          <w:szCs w:val="24"/>
        </w:rPr>
      </w:pPr>
      <w:proofErr w:type="spellStart"/>
      <w:r w:rsidRPr="007720BC">
        <w:rPr>
          <w:rFonts w:ascii="Times New Roman" w:hAnsi="Times New Roman" w:cs="Times New Roman"/>
          <w:sz w:val="24"/>
          <w:szCs w:val="24"/>
        </w:rPr>
        <w:t>Dashat</w:t>
      </w:r>
      <w:proofErr w:type="spellEnd"/>
      <w:r w:rsidRPr="007720BC">
        <w:rPr>
          <w:rFonts w:ascii="Times New Roman" w:hAnsi="Times New Roman" w:cs="Times New Roman"/>
          <w:sz w:val="24"/>
          <w:szCs w:val="24"/>
        </w:rPr>
        <w:t xml:space="preserve"> </w:t>
      </w:r>
      <w:r w:rsidR="00A638A7" w:rsidRPr="007720BC">
        <w:rPr>
          <w:rFonts w:ascii="Times New Roman" w:hAnsi="Times New Roman" w:cs="Times New Roman"/>
          <w:sz w:val="24"/>
          <w:szCs w:val="24"/>
        </w:rPr>
        <w:t xml:space="preserve">Kampung KB Desa </w:t>
      </w:r>
      <w:proofErr w:type="spellStart"/>
      <w:r w:rsidR="00A638A7" w:rsidRPr="007720BC">
        <w:rPr>
          <w:rFonts w:ascii="Times New Roman" w:hAnsi="Times New Roman" w:cs="Times New Roman"/>
          <w:sz w:val="24"/>
          <w:szCs w:val="24"/>
        </w:rPr>
        <w:t>Mongpok</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dibentuk</w:t>
      </w:r>
      <w:proofErr w:type="spellEnd"/>
      <w:r w:rsidR="00A638A7" w:rsidRPr="007720BC">
        <w:rPr>
          <w:rFonts w:ascii="Times New Roman" w:hAnsi="Times New Roman" w:cs="Times New Roman"/>
          <w:sz w:val="24"/>
          <w:szCs w:val="24"/>
        </w:rPr>
        <w:t xml:space="preserve"> pada Januari 2023 </w:t>
      </w:r>
      <w:proofErr w:type="spellStart"/>
      <w:r w:rsidR="00A638A7" w:rsidRPr="007720BC">
        <w:rPr>
          <w:rFonts w:ascii="Times New Roman" w:hAnsi="Times New Roman" w:cs="Times New Roman"/>
          <w:sz w:val="24"/>
          <w:szCs w:val="24"/>
        </w:rPr>
        <w:t>dengan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pengurus</w:t>
      </w:r>
      <w:proofErr w:type="spellEnd"/>
      <w:r w:rsidR="00A638A7" w:rsidRPr="007720BC">
        <w:rPr>
          <w:rFonts w:ascii="Times New Roman" w:hAnsi="Times New Roman" w:cs="Times New Roman"/>
          <w:sz w:val="24"/>
          <w:szCs w:val="24"/>
        </w:rPr>
        <w:t xml:space="preserve"> yang </w:t>
      </w:r>
      <w:proofErr w:type="spellStart"/>
      <w:r w:rsidR="00A638A7" w:rsidRPr="007720BC">
        <w:rPr>
          <w:rFonts w:ascii="Times New Roman" w:hAnsi="Times New Roman" w:cs="Times New Roman"/>
          <w:sz w:val="24"/>
          <w:szCs w:val="24"/>
        </w:rPr>
        <w:t>terdiri</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dari</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Pokja</w:t>
      </w:r>
      <w:proofErr w:type="spellEnd"/>
      <w:r w:rsidR="00A638A7" w:rsidRPr="007720BC">
        <w:rPr>
          <w:rFonts w:ascii="Times New Roman" w:hAnsi="Times New Roman" w:cs="Times New Roman"/>
          <w:sz w:val="24"/>
          <w:szCs w:val="24"/>
        </w:rPr>
        <w:t xml:space="preserve"> Kampung KB. </w:t>
      </w:r>
      <w:proofErr w:type="spellStart"/>
      <w:r w:rsidR="00A638A7" w:rsidRPr="007720BC">
        <w:rPr>
          <w:rFonts w:ascii="Times New Roman" w:hAnsi="Times New Roman" w:cs="Times New Roman"/>
          <w:sz w:val="24"/>
          <w:szCs w:val="24"/>
        </w:rPr>
        <w:t>Kegiatan</w:t>
      </w:r>
      <w:proofErr w:type="spellEnd"/>
      <w:r w:rsidR="00A638A7" w:rsidRPr="007720BC">
        <w:rPr>
          <w:rFonts w:ascii="Times New Roman" w:hAnsi="Times New Roman" w:cs="Times New Roman"/>
          <w:sz w:val="24"/>
          <w:szCs w:val="24"/>
        </w:rPr>
        <w:t xml:space="preserve"> yang </w:t>
      </w:r>
      <w:proofErr w:type="spellStart"/>
      <w:r w:rsidR="00A638A7" w:rsidRPr="007720BC">
        <w:rPr>
          <w:rFonts w:ascii="Times New Roman" w:hAnsi="Times New Roman" w:cs="Times New Roman"/>
          <w:sz w:val="24"/>
          <w:szCs w:val="24"/>
        </w:rPr>
        <w:t>dilakukan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lang w:val="en-US"/>
        </w:rPr>
        <w:t>bersamaan</w:t>
      </w:r>
      <w:proofErr w:type="spellEnd"/>
      <w:r w:rsidR="00A638A7" w:rsidRPr="007720BC">
        <w:rPr>
          <w:rFonts w:ascii="Times New Roman" w:hAnsi="Times New Roman" w:cs="Times New Roman"/>
          <w:sz w:val="24"/>
          <w:szCs w:val="24"/>
          <w:lang w:val="en-US"/>
        </w:rPr>
        <w:t xml:space="preserve"> </w:t>
      </w:r>
      <w:proofErr w:type="spellStart"/>
      <w:r w:rsidR="00A638A7" w:rsidRPr="007720BC">
        <w:rPr>
          <w:rFonts w:ascii="Times New Roman" w:hAnsi="Times New Roman" w:cs="Times New Roman"/>
          <w:sz w:val="24"/>
          <w:szCs w:val="24"/>
          <w:lang w:val="en-US"/>
        </w:rPr>
        <w:t>dengan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kegiatan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posyandu</w:t>
      </w:r>
      <w:proofErr w:type="spellEnd"/>
      <w:r w:rsidR="00A638A7" w:rsidRPr="007720BC">
        <w:rPr>
          <w:rFonts w:ascii="Times New Roman" w:hAnsi="Times New Roman" w:cs="Times New Roman"/>
          <w:sz w:val="24"/>
          <w:szCs w:val="24"/>
        </w:rPr>
        <w:t xml:space="preserve"> dan </w:t>
      </w:r>
      <w:proofErr w:type="spellStart"/>
      <w:r w:rsidR="00A638A7" w:rsidRPr="007720BC">
        <w:rPr>
          <w:rFonts w:ascii="Times New Roman" w:hAnsi="Times New Roman" w:cs="Times New Roman"/>
          <w:sz w:val="24"/>
          <w:szCs w:val="24"/>
        </w:rPr>
        <w:t>pos</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gizi</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lang w:val="en-US"/>
        </w:rPr>
        <w:t>untuk</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memberikan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makanan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tambahan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lang w:val="en-US"/>
        </w:rPr>
        <w:t>dalam</w:t>
      </w:r>
      <w:proofErr w:type="spellEnd"/>
      <w:r w:rsidR="00A638A7" w:rsidRPr="007720BC">
        <w:rPr>
          <w:rFonts w:ascii="Times New Roman" w:hAnsi="Times New Roman" w:cs="Times New Roman"/>
          <w:sz w:val="24"/>
          <w:szCs w:val="24"/>
          <w:lang w:val="en-US"/>
        </w:rPr>
        <w:t xml:space="preserve"> </w:t>
      </w:r>
      <w:proofErr w:type="spellStart"/>
      <w:r w:rsidR="00A638A7" w:rsidRPr="007720BC">
        <w:rPr>
          <w:rFonts w:ascii="Times New Roman" w:hAnsi="Times New Roman" w:cs="Times New Roman"/>
          <w:sz w:val="24"/>
          <w:szCs w:val="24"/>
          <w:lang w:val="en-US"/>
        </w:rPr>
        <w:t>upaya</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mencegah</w:t>
      </w:r>
      <w:proofErr w:type="spellEnd"/>
      <w:r w:rsidR="00A638A7" w:rsidRPr="007720BC">
        <w:rPr>
          <w:rFonts w:ascii="Times New Roman" w:hAnsi="Times New Roman" w:cs="Times New Roman"/>
          <w:sz w:val="24"/>
          <w:szCs w:val="24"/>
        </w:rPr>
        <w:t xml:space="preserve"> stunting yang </w:t>
      </w:r>
      <w:proofErr w:type="spellStart"/>
      <w:r w:rsidR="00A638A7" w:rsidRPr="007720BC">
        <w:rPr>
          <w:rFonts w:ascii="Times New Roman" w:hAnsi="Times New Roman" w:cs="Times New Roman"/>
          <w:sz w:val="24"/>
          <w:szCs w:val="24"/>
        </w:rPr>
        <w:t>dikelola</w:t>
      </w:r>
      <w:proofErr w:type="spellEnd"/>
      <w:r w:rsidR="00A638A7" w:rsidRPr="007720BC">
        <w:rPr>
          <w:rFonts w:ascii="Times New Roman" w:hAnsi="Times New Roman" w:cs="Times New Roman"/>
          <w:sz w:val="24"/>
          <w:szCs w:val="24"/>
        </w:rPr>
        <w:t xml:space="preserve"> oleh </w:t>
      </w:r>
      <w:proofErr w:type="spellStart"/>
      <w:r w:rsidR="00A638A7" w:rsidRPr="007720BC">
        <w:rPr>
          <w:rFonts w:ascii="Times New Roman" w:hAnsi="Times New Roman" w:cs="Times New Roman"/>
          <w:sz w:val="24"/>
          <w:szCs w:val="24"/>
        </w:rPr>
        <w:t>masyarakat</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setempat</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dengan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memanfaatkan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potensi</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pangan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daerah</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setempat</w:t>
      </w:r>
      <w:proofErr w:type="spellEnd"/>
      <w:r w:rsidR="00A638A7" w:rsidRPr="007720BC">
        <w:rPr>
          <w:rFonts w:ascii="Times New Roman" w:hAnsi="Times New Roman" w:cs="Times New Roman"/>
          <w:sz w:val="24"/>
          <w:szCs w:val="24"/>
        </w:rPr>
        <w:t xml:space="preserve">. Selain </w:t>
      </w:r>
      <w:proofErr w:type="spellStart"/>
      <w:r w:rsidR="00A638A7" w:rsidRPr="007720BC">
        <w:rPr>
          <w:rFonts w:ascii="Times New Roman" w:hAnsi="Times New Roman" w:cs="Times New Roman"/>
          <w:sz w:val="24"/>
          <w:szCs w:val="24"/>
        </w:rPr>
        <w:t>untuk</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kegiatan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sosial</w:t>
      </w:r>
      <w:proofErr w:type="spellEnd"/>
      <w:r w:rsidR="00A638A7"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Dashat</w:t>
      </w:r>
      <w:proofErr w:type="spellEnd"/>
      <w:r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ini</w:t>
      </w:r>
      <w:proofErr w:type="spellEnd"/>
      <w:r w:rsidR="00A638A7" w:rsidRPr="007720BC">
        <w:rPr>
          <w:rFonts w:ascii="Times New Roman" w:hAnsi="Times New Roman" w:cs="Times New Roman"/>
          <w:sz w:val="24"/>
          <w:szCs w:val="24"/>
        </w:rPr>
        <w:t xml:space="preserve"> juga </w:t>
      </w:r>
      <w:proofErr w:type="spellStart"/>
      <w:r w:rsidR="00A638A7" w:rsidRPr="007720BC">
        <w:rPr>
          <w:rFonts w:ascii="Times New Roman" w:hAnsi="Times New Roman" w:cs="Times New Roman"/>
          <w:sz w:val="24"/>
          <w:szCs w:val="24"/>
        </w:rPr>
        <w:t>bisa</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membangun</w:t>
      </w:r>
      <w:proofErr w:type="spellEnd"/>
      <w:r w:rsidR="00A638A7" w:rsidRPr="007720BC">
        <w:rPr>
          <w:rFonts w:ascii="Times New Roman" w:hAnsi="Times New Roman" w:cs="Times New Roman"/>
          <w:sz w:val="24"/>
          <w:szCs w:val="24"/>
        </w:rPr>
        <w:t xml:space="preserve"> </w:t>
      </w:r>
      <w:r w:rsidR="00A638A7" w:rsidRPr="007720BC">
        <w:rPr>
          <w:rFonts w:ascii="Times New Roman" w:hAnsi="Times New Roman" w:cs="Times New Roman"/>
          <w:sz w:val="24"/>
          <w:szCs w:val="24"/>
          <w:lang w:val="en-US"/>
        </w:rPr>
        <w:t>p</w:t>
      </w:r>
      <w:proofErr w:type="spellStart"/>
      <w:r w:rsidR="00A638A7" w:rsidRPr="007720BC">
        <w:rPr>
          <w:rFonts w:ascii="Times New Roman" w:hAnsi="Times New Roman" w:cs="Times New Roman"/>
          <w:sz w:val="24"/>
          <w:szCs w:val="24"/>
        </w:rPr>
        <w:t>emberdayaan</w:t>
      </w:r>
      <w:proofErr w:type="spellEnd"/>
      <w:r w:rsidR="00A638A7" w:rsidRPr="007720BC">
        <w:rPr>
          <w:rFonts w:ascii="Times New Roman" w:hAnsi="Times New Roman" w:cs="Times New Roman"/>
          <w:sz w:val="24"/>
          <w:szCs w:val="24"/>
        </w:rPr>
        <w:t xml:space="preserve"> </w:t>
      </w:r>
      <w:r w:rsidR="00A638A7" w:rsidRPr="007720BC">
        <w:rPr>
          <w:rFonts w:ascii="Times New Roman" w:hAnsi="Times New Roman" w:cs="Times New Roman"/>
          <w:sz w:val="24"/>
          <w:szCs w:val="24"/>
          <w:lang w:val="en-US"/>
        </w:rPr>
        <w:t>e</w:t>
      </w:r>
      <w:proofErr w:type="spellStart"/>
      <w:r w:rsidR="00A638A7" w:rsidRPr="007720BC">
        <w:rPr>
          <w:rFonts w:ascii="Times New Roman" w:hAnsi="Times New Roman" w:cs="Times New Roman"/>
          <w:sz w:val="24"/>
          <w:szCs w:val="24"/>
        </w:rPr>
        <w:t>konomi</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dengan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menjual</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hasil</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pengolahan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makanan</w:t>
      </w:r>
      <w:proofErr w:type="spellEnd"/>
      <w:r w:rsidR="00A638A7"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Dashat</w:t>
      </w:r>
      <w:proofErr w:type="spellEnd"/>
      <w:r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kepada</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masyarakat</w:t>
      </w:r>
      <w:proofErr w:type="spellEnd"/>
      <w:r w:rsidR="00A638A7" w:rsidRPr="007720BC">
        <w:rPr>
          <w:rFonts w:ascii="Times New Roman" w:hAnsi="Times New Roman" w:cs="Times New Roman"/>
          <w:sz w:val="24"/>
          <w:szCs w:val="24"/>
        </w:rPr>
        <w:t xml:space="preserve"> yang </w:t>
      </w:r>
      <w:proofErr w:type="spellStart"/>
      <w:r w:rsidR="00A638A7" w:rsidRPr="007720BC">
        <w:rPr>
          <w:rFonts w:ascii="Times New Roman" w:hAnsi="Times New Roman" w:cs="Times New Roman"/>
          <w:sz w:val="24"/>
          <w:szCs w:val="24"/>
        </w:rPr>
        <w:t>mampu</w:t>
      </w:r>
      <w:proofErr w:type="spellEnd"/>
      <w:r w:rsidR="00A638A7" w:rsidRPr="007720BC">
        <w:rPr>
          <w:rFonts w:ascii="Times New Roman" w:hAnsi="Times New Roman" w:cs="Times New Roman"/>
          <w:sz w:val="24"/>
          <w:szCs w:val="24"/>
        </w:rPr>
        <w:t xml:space="preserve">. Tujuan </w:t>
      </w:r>
      <w:proofErr w:type="spellStart"/>
      <w:r w:rsidR="00A638A7" w:rsidRPr="007720BC">
        <w:rPr>
          <w:rFonts w:ascii="Times New Roman" w:hAnsi="Times New Roman" w:cs="Times New Roman"/>
          <w:sz w:val="24"/>
          <w:szCs w:val="24"/>
        </w:rPr>
        <w:t>umum</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dari</w:t>
      </w:r>
      <w:proofErr w:type="spellEnd"/>
      <w:r w:rsidR="00A638A7"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Dashat</w:t>
      </w:r>
      <w:proofErr w:type="spellEnd"/>
      <w:r w:rsidRPr="007720BC">
        <w:rPr>
          <w:rFonts w:ascii="Times New Roman" w:hAnsi="Times New Roman" w:cs="Times New Roman"/>
          <w:sz w:val="24"/>
          <w:szCs w:val="24"/>
        </w:rPr>
        <w:t xml:space="preserve"> </w:t>
      </w:r>
      <w:r w:rsidR="00A638A7" w:rsidRPr="007720BC">
        <w:rPr>
          <w:rFonts w:ascii="Times New Roman" w:hAnsi="Times New Roman" w:cs="Times New Roman"/>
          <w:sz w:val="24"/>
          <w:szCs w:val="24"/>
        </w:rPr>
        <w:t>di Kampung KB Desa</w:t>
      </w:r>
      <w:r w:rsidR="00A638A7" w:rsidRPr="007720BC">
        <w:rPr>
          <w:rFonts w:ascii="Times New Roman" w:hAnsi="Times New Roman" w:cs="Times New Roman"/>
          <w:sz w:val="24"/>
          <w:szCs w:val="24"/>
          <w:lang w:val="en-US"/>
        </w:rPr>
        <w:t xml:space="preserve"> </w:t>
      </w:r>
      <w:proofErr w:type="spellStart"/>
      <w:r w:rsidR="00A638A7" w:rsidRPr="007720BC">
        <w:rPr>
          <w:rFonts w:ascii="Times New Roman" w:hAnsi="Times New Roman" w:cs="Times New Roman"/>
          <w:sz w:val="24"/>
          <w:szCs w:val="24"/>
        </w:rPr>
        <w:t>Mongpok</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adalah</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untuk</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meningkatkan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kualitas</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gizi</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masyarakat</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serta</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sebagai</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upaya</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percepatan</w:t>
      </w:r>
      <w:proofErr w:type="spellEnd"/>
      <w:r w:rsidR="00A638A7" w:rsidRPr="007720BC">
        <w:rPr>
          <w:rFonts w:ascii="Times New Roman" w:hAnsi="Times New Roman" w:cs="Times New Roman"/>
          <w:sz w:val="24"/>
          <w:szCs w:val="24"/>
        </w:rPr>
        <w:t xml:space="preserve"> dan </w:t>
      </w:r>
      <w:proofErr w:type="spellStart"/>
      <w:r w:rsidR="00A638A7" w:rsidRPr="007720BC">
        <w:rPr>
          <w:rFonts w:ascii="Times New Roman" w:hAnsi="Times New Roman" w:cs="Times New Roman"/>
          <w:sz w:val="24"/>
          <w:szCs w:val="24"/>
        </w:rPr>
        <w:t>pencegahan</w:t>
      </w:r>
      <w:proofErr w:type="spellEnd"/>
      <w:r w:rsidR="00A638A7" w:rsidRPr="007720BC">
        <w:rPr>
          <w:rFonts w:ascii="Times New Roman" w:hAnsi="Times New Roman" w:cs="Times New Roman"/>
          <w:sz w:val="24"/>
          <w:szCs w:val="24"/>
        </w:rPr>
        <w:t xml:space="preserve"> stunting </w:t>
      </w:r>
      <w:proofErr w:type="spellStart"/>
      <w:r w:rsidR="00A638A7" w:rsidRPr="007720BC">
        <w:rPr>
          <w:rFonts w:ascii="Times New Roman" w:hAnsi="Times New Roman" w:cs="Times New Roman"/>
          <w:sz w:val="24"/>
          <w:szCs w:val="24"/>
        </w:rPr>
        <w:t>melalui</w:t>
      </w:r>
      <w:proofErr w:type="spellEnd"/>
      <w:r w:rsidR="00A638A7" w:rsidRPr="007720BC">
        <w:rPr>
          <w:rFonts w:ascii="Times New Roman" w:hAnsi="Times New Roman" w:cs="Times New Roman"/>
          <w:sz w:val="24"/>
          <w:szCs w:val="24"/>
        </w:rPr>
        <w:t xml:space="preserve"> program </w:t>
      </w:r>
      <w:proofErr w:type="spellStart"/>
      <w:r w:rsidR="00A638A7" w:rsidRPr="007720BC">
        <w:rPr>
          <w:rFonts w:ascii="Times New Roman" w:hAnsi="Times New Roman" w:cs="Times New Roman"/>
          <w:sz w:val="24"/>
          <w:szCs w:val="24"/>
        </w:rPr>
        <w:t>Bangga</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Kencana</w:t>
      </w:r>
      <w:proofErr w:type="spellEnd"/>
      <w:r w:rsidR="00A638A7" w:rsidRPr="007720BC">
        <w:rPr>
          <w:rFonts w:ascii="Times New Roman" w:hAnsi="Times New Roman" w:cs="Times New Roman"/>
          <w:sz w:val="24"/>
          <w:szCs w:val="24"/>
        </w:rPr>
        <w:t xml:space="preserve"> di Kampung KB. </w:t>
      </w:r>
      <w:r w:rsidR="00A638A7" w:rsidRPr="007720BC">
        <w:rPr>
          <w:rFonts w:ascii="Times New Roman" w:eastAsia="Calibri" w:hAnsi="Times New Roman" w:cs="Times New Roman"/>
          <w:sz w:val="24"/>
          <w:szCs w:val="24"/>
          <w:lang w:val="en-US"/>
        </w:rPr>
        <w:t>S</w:t>
      </w:r>
      <w:proofErr w:type="spellStart"/>
      <w:r w:rsidR="00A638A7" w:rsidRPr="007720BC">
        <w:rPr>
          <w:rFonts w:ascii="Times New Roman" w:hAnsi="Times New Roman" w:cs="Times New Roman"/>
          <w:sz w:val="24"/>
          <w:szCs w:val="24"/>
        </w:rPr>
        <w:t>asaran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prioritas</w:t>
      </w:r>
      <w:proofErr w:type="spellEnd"/>
      <w:r w:rsidR="00A638A7" w:rsidRPr="007720BC">
        <w:rPr>
          <w:rFonts w:ascii="Times New Roman" w:hAnsi="Times New Roman" w:cs="Times New Roman"/>
          <w:sz w:val="24"/>
          <w:szCs w:val="24"/>
        </w:rPr>
        <w:t xml:space="preserve"> </w:t>
      </w:r>
      <w:proofErr w:type="spellStart"/>
      <w:r w:rsidRPr="007720BC">
        <w:rPr>
          <w:rFonts w:ascii="Times New Roman" w:hAnsi="Times New Roman" w:cs="Times New Roman"/>
          <w:sz w:val="24"/>
          <w:szCs w:val="24"/>
        </w:rPr>
        <w:t>Dashat</w:t>
      </w:r>
      <w:proofErr w:type="spellEnd"/>
      <w:r w:rsidRPr="007720BC">
        <w:rPr>
          <w:rFonts w:ascii="Times New Roman" w:hAnsi="Times New Roman" w:cs="Times New Roman"/>
          <w:sz w:val="24"/>
          <w:szCs w:val="24"/>
        </w:rPr>
        <w:t xml:space="preserve"> </w:t>
      </w:r>
      <w:r w:rsidR="00A638A7" w:rsidRPr="007720BC">
        <w:rPr>
          <w:rFonts w:ascii="Times New Roman" w:hAnsi="Times New Roman" w:cs="Times New Roman"/>
          <w:sz w:val="24"/>
          <w:szCs w:val="24"/>
        </w:rPr>
        <w:t xml:space="preserve">Kampung KB Desa </w:t>
      </w:r>
      <w:proofErr w:type="spellStart"/>
      <w:r w:rsidR="00A638A7" w:rsidRPr="007720BC">
        <w:rPr>
          <w:rFonts w:ascii="Times New Roman" w:hAnsi="Times New Roman" w:cs="Times New Roman"/>
          <w:sz w:val="24"/>
          <w:szCs w:val="24"/>
        </w:rPr>
        <w:t>Mongpok</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itu</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sendiri</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adalah</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keluarga</w:t>
      </w:r>
      <w:proofErr w:type="spellEnd"/>
      <w:r w:rsidR="00A638A7" w:rsidRPr="007720BC">
        <w:rPr>
          <w:rFonts w:ascii="Times New Roman" w:hAnsi="Times New Roman" w:cs="Times New Roman"/>
          <w:sz w:val="24"/>
          <w:szCs w:val="24"/>
        </w:rPr>
        <w:t xml:space="preserve"> yang </w:t>
      </w:r>
      <w:proofErr w:type="spellStart"/>
      <w:r w:rsidR="00A638A7" w:rsidRPr="007720BC">
        <w:rPr>
          <w:rFonts w:ascii="Times New Roman" w:hAnsi="Times New Roman" w:cs="Times New Roman"/>
          <w:sz w:val="24"/>
          <w:szCs w:val="24"/>
        </w:rPr>
        <w:t>beresiko</w:t>
      </w:r>
      <w:proofErr w:type="spellEnd"/>
      <w:r w:rsidR="00A638A7" w:rsidRPr="007720BC">
        <w:rPr>
          <w:rFonts w:ascii="Times New Roman" w:hAnsi="Times New Roman" w:cs="Times New Roman"/>
          <w:sz w:val="24"/>
          <w:szCs w:val="24"/>
        </w:rPr>
        <w:t xml:space="preserve"> stunting dan juga </w:t>
      </w:r>
      <w:proofErr w:type="spellStart"/>
      <w:r w:rsidR="00A638A7" w:rsidRPr="007720BC">
        <w:rPr>
          <w:rFonts w:ascii="Times New Roman" w:hAnsi="Times New Roman" w:cs="Times New Roman"/>
          <w:sz w:val="24"/>
          <w:szCs w:val="24"/>
        </w:rPr>
        <w:t>bayi</w:t>
      </w:r>
      <w:proofErr w:type="spellEnd"/>
      <w:r w:rsidR="00A638A7" w:rsidRPr="007720BC">
        <w:rPr>
          <w:rFonts w:ascii="Times New Roman" w:hAnsi="Times New Roman" w:cs="Times New Roman"/>
          <w:sz w:val="24"/>
          <w:szCs w:val="24"/>
        </w:rPr>
        <w:t>/</w:t>
      </w:r>
      <w:proofErr w:type="spellStart"/>
      <w:r w:rsidR="00A638A7" w:rsidRPr="007720BC">
        <w:rPr>
          <w:rFonts w:ascii="Times New Roman" w:hAnsi="Times New Roman" w:cs="Times New Roman"/>
          <w:sz w:val="24"/>
          <w:szCs w:val="24"/>
        </w:rPr>
        <w:t>anak</w:t>
      </w:r>
      <w:proofErr w:type="spellEnd"/>
      <w:r w:rsidR="00A638A7" w:rsidRPr="007720BC">
        <w:rPr>
          <w:rFonts w:ascii="Times New Roman" w:hAnsi="Times New Roman" w:cs="Times New Roman"/>
          <w:sz w:val="24"/>
          <w:szCs w:val="24"/>
        </w:rPr>
        <w:t xml:space="preserve"> yang </w:t>
      </w:r>
      <w:proofErr w:type="spellStart"/>
      <w:r w:rsidR="00A638A7" w:rsidRPr="007720BC">
        <w:rPr>
          <w:rFonts w:ascii="Times New Roman" w:hAnsi="Times New Roman" w:cs="Times New Roman"/>
          <w:sz w:val="24"/>
          <w:szCs w:val="24"/>
        </w:rPr>
        <w:t>mengalami</w:t>
      </w:r>
      <w:proofErr w:type="spellEnd"/>
      <w:r w:rsidR="00A638A7" w:rsidRPr="007720BC">
        <w:rPr>
          <w:rFonts w:ascii="Times New Roman" w:hAnsi="Times New Roman" w:cs="Times New Roman"/>
          <w:sz w:val="24"/>
          <w:szCs w:val="24"/>
        </w:rPr>
        <w:t xml:space="preserve"> stunting </w:t>
      </w:r>
      <w:proofErr w:type="spellStart"/>
      <w:r w:rsidR="00A638A7" w:rsidRPr="007720BC">
        <w:rPr>
          <w:rFonts w:ascii="Times New Roman" w:hAnsi="Times New Roman" w:cs="Times New Roman"/>
          <w:sz w:val="24"/>
          <w:szCs w:val="24"/>
        </w:rPr>
        <w:t>berdasarkan</w:t>
      </w:r>
      <w:proofErr w:type="spellEnd"/>
      <w:r w:rsidR="00A638A7" w:rsidRPr="007720BC">
        <w:rPr>
          <w:rFonts w:ascii="Times New Roman" w:hAnsi="Times New Roman" w:cs="Times New Roman"/>
          <w:sz w:val="24"/>
          <w:szCs w:val="24"/>
        </w:rPr>
        <w:t xml:space="preserve"> data </w:t>
      </w:r>
      <w:proofErr w:type="spellStart"/>
      <w:r w:rsidR="00A638A7" w:rsidRPr="007720BC">
        <w:rPr>
          <w:rFonts w:ascii="Times New Roman" w:hAnsi="Times New Roman" w:cs="Times New Roman"/>
          <w:sz w:val="24"/>
          <w:szCs w:val="24"/>
        </w:rPr>
        <w:t>dari</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Pendataan</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Keluarga</w:t>
      </w:r>
      <w:proofErr w:type="spellEnd"/>
      <w:r w:rsidR="00A638A7" w:rsidRPr="007720BC">
        <w:rPr>
          <w:rFonts w:ascii="Times New Roman" w:hAnsi="Times New Roman" w:cs="Times New Roman"/>
          <w:sz w:val="24"/>
          <w:szCs w:val="24"/>
        </w:rPr>
        <w:t xml:space="preserve"> 2022 (PK22) dan juga data </w:t>
      </w:r>
      <w:proofErr w:type="spellStart"/>
      <w:r w:rsidR="00A638A7" w:rsidRPr="007720BC">
        <w:rPr>
          <w:rFonts w:ascii="Times New Roman" w:hAnsi="Times New Roman" w:cs="Times New Roman"/>
          <w:sz w:val="24"/>
          <w:szCs w:val="24"/>
        </w:rPr>
        <w:t>dari</w:t>
      </w:r>
      <w:proofErr w:type="spellEnd"/>
      <w:r w:rsidR="00A638A7" w:rsidRPr="007720BC">
        <w:rPr>
          <w:rFonts w:ascii="Times New Roman" w:hAnsi="Times New Roman" w:cs="Times New Roman"/>
          <w:sz w:val="24"/>
          <w:szCs w:val="24"/>
        </w:rPr>
        <w:t xml:space="preserve"> </w:t>
      </w:r>
      <w:proofErr w:type="spellStart"/>
      <w:r w:rsidR="00A638A7" w:rsidRPr="007720BC">
        <w:rPr>
          <w:rFonts w:ascii="Times New Roman" w:hAnsi="Times New Roman" w:cs="Times New Roman"/>
          <w:sz w:val="24"/>
          <w:szCs w:val="24"/>
        </w:rPr>
        <w:t>Puskesmas</w:t>
      </w:r>
      <w:proofErr w:type="spellEnd"/>
      <w:r w:rsidR="00C55BF3" w:rsidRPr="007720BC">
        <w:rPr>
          <w:rFonts w:ascii="Times New Roman" w:hAnsi="Times New Roman" w:cs="Times New Roman"/>
          <w:sz w:val="24"/>
          <w:szCs w:val="24"/>
        </w:rPr>
        <w:t>.</w:t>
      </w:r>
    </w:p>
    <w:p w14:paraId="0BA47609" w14:textId="6E250D6B" w:rsidR="000D5F0A" w:rsidRPr="004868C3" w:rsidRDefault="00C55BF3" w:rsidP="004868C3">
      <w:pPr>
        <w:shd w:val="clear" w:color="auto" w:fill="FFFFFF"/>
        <w:spacing w:after="0" w:line="240" w:lineRule="auto"/>
        <w:ind w:right="-1" w:firstLine="720"/>
        <w:contextualSpacing/>
        <w:jc w:val="both"/>
        <w:textAlignment w:val="baseline"/>
        <w:rPr>
          <w:rStyle w:val="rynqvb"/>
          <w:rFonts w:ascii="Times New Roman" w:hAnsi="Times New Roman" w:cs="Times New Roman"/>
          <w:sz w:val="24"/>
          <w:szCs w:val="24"/>
          <w:lang w:val="en-US"/>
        </w:rPr>
      </w:pPr>
      <w:proofErr w:type="spellStart"/>
      <w:r w:rsidRPr="007720BC">
        <w:rPr>
          <w:rStyle w:val="rynqvb"/>
          <w:rFonts w:ascii="Times New Roman" w:hAnsi="Times New Roman" w:cs="Times New Roman"/>
          <w:sz w:val="24"/>
          <w:szCs w:val="24"/>
          <w:lang w:val="en-US"/>
        </w:rPr>
        <w:t>Kontribusi</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Pemerintah</w:t>
      </w:r>
      <w:proofErr w:type="spellEnd"/>
      <w:r w:rsidRPr="007720BC">
        <w:rPr>
          <w:rStyle w:val="rynqvb"/>
          <w:rFonts w:ascii="Times New Roman" w:hAnsi="Times New Roman" w:cs="Times New Roman"/>
          <w:sz w:val="24"/>
          <w:szCs w:val="24"/>
          <w:lang w:val="en-US"/>
        </w:rPr>
        <w:t xml:space="preserve"> Daerah </w:t>
      </w:r>
      <w:proofErr w:type="spellStart"/>
      <w:r w:rsidRPr="007720BC">
        <w:rPr>
          <w:rStyle w:val="rynqvb"/>
          <w:rFonts w:ascii="Times New Roman" w:hAnsi="Times New Roman" w:cs="Times New Roman"/>
          <w:sz w:val="24"/>
          <w:szCs w:val="24"/>
          <w:lang w:val="en-US"/>
        </w:rPr>
        <w:t>untuk</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mewujudkan</w:t>
      </w:r>
      <w:proofErr w:type="spellEnd"/>
      <w:r w:rsidRPr="007720BC">
        <w:rPr>
          <w:rStyle w:val="rynqvb"/>
          <w:rFonts w:ascii="Times New Roman" w:hAnsi="Times New Roman" w:cs="Times New Roman"/>
          <w:sz w:val="24"/>
          <w:szCs w:val="24"/>
          <w:lang w:val="en-US"/>
        </w:rPr>
        <w:t xml:space="preserve"> ide dan </w:t>
      </w:r>
      <w:proofErr w:type="spellStart"/>
      <w:r w:rsidRPr="007720BC">
        <w:rPr>
          <w:rStyle w:val="rynqvb"/>
          <w:rFonts w:ascii="Times New Roman" w:hAnsi="Times New Roman" w:cs="Times New Roman"/>
          <w:sz w:val="24"/>
          <w:szCs w:val="24"/>
          <w:lang w:val="en-US"/>
        </w:rPr>
        <w:t>gagasan</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inovatif</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dengan</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potensi</w:t>
      </w:r>
      <w:proofErr w:type="spellEnd"/>
      <w:r w:rsidRPr="007720BC">
        <w:rPr>
          <w:rStyle w:val="rynqvb"/>
          <w:rFonts w:ascii="Times New Roman" w:hAnsi="Times New Roman" w:cs="Times New Roman"/>
          <w:sz w:val="24"/>
          <w:szCs w:val="24"/>
          <w:lang w:val="en-US"/>
        </w:rPr>
        <w:t xml:space="preserve"> dan </w:t>
      </w:r>
      <w:proofErr w:type="spellStart"/>
      <w:r w:rsidRPr="007720BC">
        <w:rPr>
          <w:rStyle w:val="rynqvb"/>
          <w:rFonts w:ascii="Times New Roman" w:hAnsi="Times New Roman" w:cs="Times New Roman"/>
          <w:sz w:val="24"/>
          <w:szCs w:val="24"/>
          <w:lang w:val="en-US"/>
        </w:rPr>
        <w:t>sumberdaya</w:t>
      </w:r>
      <w:proofErr w:type="spellEnd"/>
      <w:r w:rsidRPr="007720BC">
        <w:rPr>
          <w:rStyle w:val="rynqvb"/>
          <w:rFonts w:ascii="Times New Roman" w:hAnsi="Times New Roman" w:cs="Times New Roman"/>
          <w:sz w:val="24"/>
          <w:szCs w:val="24"/>
          <w:lang w:val="en-US"/>
        </w:rPr>
        <w:t xml:space="preserve"> yang </w:t>
      </w:r>
      <w:proofErr w:type="spellStart"/>
      <w:r w:rsidRPr="007720BC">
        <w:rPr>
          <w:rStyle w:val="rynqvb"/>
          <w:rFonts w:ascii="Times New Roman" w:hAnsi="Times New Roman" w:cs="Times New Roman"/>
          <w:sz w:val="24"/>
          <w:szCs w:val="24"/>
          <w:lang w:val="en-US"/>
        </w:rPr>
        <w:t>dimiliki</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sejalan</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dengan</w:t>
      </w:r>
      <w:proofErr w:type="spellEnd"/>
      <w:r w:rsidRPr="007720BC">
        <w:rPr>
          <w:rStyle w:val="rynqvb"/>
          <w:rFonts w:ascii="Times New Roman" w:hAnsi="Times New Roman" w:cs="Times New Roman"/>
          <w:sz w:val="24"/>
          <w:szCs w:val="24"/>
          <w:lang w:val="en-US"/>
        </w:rPr>
        <w:t xml:space="preserve"> </w:t>
      </w:r>
      <w:proofErr w:type="spellStart"/>
      <w:r w:rsidRPr="007720BC">
        <w:rPr>
          <w:rStyle w:val="rynqvb"/>
          <w:rFonts w:ascii="Times New Roman" w:hAnsi="Times New Roman" w:cs="Times New Roman"/>
          <w:sz w:val="24"/>
          <w:szCs w:val="24"/>
          <w:lang w:val="en-US"/>
        </w:rPr>
        <w:t>paradigma</w:t>
      </w:r>
      <w:proofErr w:type="spellEnd"/>
      <w:r w:rsidRPr="007720BC">
        <w:rPr>
          <w:rStyle w:val="rynqvb"/>
          <w:rFonts w:ascii="Times New Roman" w:hAnsi="Times New Roman" w:cs="Times New Roman"/>
          <w:sz w:val="24"/>
          <w:szCs w:val="24"/>
          <w:lang w:val="en-US"/>
        </w:rPr>
        <w:t xml:space="preserve"> d</w:t>
      </w:r>
      <w:r w:rsidR="00D811EE" w:rsidRPr="007720BC">
        <w:rPr>
          <w:rStyle w:val="rynqvb"/>
          <w:rFonts w:ascii="Times New Roman" w:hAnsi="Times New Roman" w:cs="Times New Roman"/>
          <w:sz w:val="24"/>
          <w:szCs w:val="24"/>
          <w:lang w:val="id-ID"/>
        </w:rPr>
        <w:t xml:space="preserve">esentralisasi </w:t>
      </w:r>
      <w:r w:rsidRPr="007720BC">
        <w:rPr>
          <w:rStyle w:val="rynqvb"/>
          <w:rFonts w:ascii="Times New Roman" w:hAnsi="Times New Roman" w:cs="Times New Roman"/>
          <w:sz w:val="24"/>
          <w:szCs w:val="24"/>
          <w:lang w:val="en-US"/>
        </w:rPr>
        <w:t xml:space="preserve">yang </w:t>
      </w:r>
      <w:r w:rsidR="00D811EE" w:rsidRPr="007720BC">
        <w:rPr>
          <w:rStyle w:val="rynqvb"/>
          <w:rFonts w:ascii="Times New Roman" w:hAnsi="Times New Roman" w:cs="Times New Roman"/>
          <w:sz w:val="24"/>
          <w:szCs w:val="24"/>
          <w:lang w:val="id-ID"/>
        </w:rPr>
        <w:t>mengarah pada satu tujuan umum: menuju nihil stunting, berkontribusi pada Tujuan Pembangunan Berkelanjutan No. 2 (Zero Hunger), No. 3 (Kesehatan dan Kesejahteraan), No. 5 (Kesetaraan Gender) dan No.</w:t>
      </w:r>
      <w:r w:rsidR="00D811EE" w:rsidRPr="007720BC">
        <w:rPr>
          <w:rStyle w:val="hwtze"/>
          <w:rFonts w:ascii="Times New Roman" w:hAnsi="Times New Roman" w:cs="Times New Roman"/>
          <w:sz w:val="24"/>
          <w:szCs w:val="24"/>
          <w:lang w:val="id-ID"/>
        </w:rPr>
        <w:t xml:space="preserve"> </w:t>
      </w:r>
      <w:r w:rsidR="00D811EE" w:rsidRPr="007720BC">
        <w:rPr>
          <w:rStyle w:val="rynqvb"/>
          <w:rFonts w:ascii="Times New Roman" w:hAnsi="Times New Roman" w:cs="Times New Roman"/>
          <w:sz w:val="24"/>
          <w:szCs w:val="24"/>
          <w:lang w:val="id-ID"/>
        </w:rPr>
        <w:t>8 (pekerjaan layak dan pertumbuhan ekonomi)</w:t>
      </w:r>
      <w:r w:rsidRPr="007720BC">
        <w:rPr>
          <w:rStyle w:val="rynqvb"/>
          <w:rFonts w:ascii="Times New Roman" w:hAnsi="Times New Roman" w:cs="Times New Roman"/>
          <w:sz w:val="24"/>
          <w:szCs w:val="24"/>
          <w:lang w:val="en-US"/>
        </w:rPr>
        <w:t xml:space="preserve"> </w:t>
      </w:r>
      <w:r w:rsidRPr="007720BC">
        <w:rPr>
          <w:rStyle w:val="rynqvb"/>
          <w:rFonts w:ascii="Times New Roman" w:hAnsi="Times New Roman" w:cs="Times New Roman"/>
          <w:sz w:val="24"/>
          <w:szCs w:val="24"/>
          <w:lang w:val="en-US"/>
        </w:rPr>
        <w:fldChar w:fldCharType="begin" w:fldLock="1"/>
      </w:r>
      <w:r w:rsidR="00CD026A" w:rsidRPr="007720BC">
        <w:rPr>
          <w:rStyle w:val="rynqvb"/>
          <w:rFonts w:ascii="Times New Roman" w:hAnsi="Times New Roman" w:cs="Times New Roman"/>
          <w:sz w:val="24"/>
          <w:szCs w:val="24"/>
          <w:lang w:val="en-US"/>
        </w:rPr>
        <w:instrText>ADDIN CSL_CITATION {"citationItems":[{"id":"ITEM-1","itemData":{"abstract":"The World Health Organization (WHO) defined stunting as the impaired growth and development that children experienced from poor nutrition, repeated infection and inadequate psychosocial stimulation. Children are defined as stunted if their height-for-age is more than two standard deviations below the WHO Child Growth Standards median. Indonesia has a serious stunting prevalence. Data from monitoring nutrient status of Indonesian Health Ministry in 2018 states that stunting prevalence for children under 2 years old in Indonesia is 30.8 % and for children under 5 years old 29.9%. Both are above WHO’s standard of 20%. Based on this status, Indonesia Government then came up with National Strategy for Stunting Prevention Acceleration 2018-2024, consisting of 5 pillars: leadership vision and commitment, national campaign and behaviour changes communication, convergence and coordination in all level, nutrition and food resilience, monitoring and evaluation. The government prioritised 160 districts to implement the strategy in 2018. Among the 160, the 17 listed districts are located in Lampung and West Java Provincial Municipalities. Both are target area of LOCALISE SDGs Programme.","author":[{"dropping-particle":"","family":"UCLG-ASPAC","given":"","non-dropping-particle":"","parse-names":false,"suffix":""}],"id":"ITEM-1","issued":{"date-parts":[["2019"]]},"page":"1","publisher":"United Cities and Local Government Asia-Pacific","title":"How Indonesia Local Governments Deal with Stunting","type":"speech"},"uris":["http://www.mendeley.com/documents/?uuid=577333a6-4978-4e7a-8318-1c8590ae8a2d"]}],"mendeley":{"formattedCitation":"(UCLG-ASPAC 2019)","plainTextFormattedCitation":"(UCLG-ASPAC 2019)","previouslyFormattedCitation":"(UCLG-ASPAC 2019)"},"properties":{"noteIndex":0},"schema":"https://github.com/citation-style-language/schema/raw/master/csl-citation.json"}</w:instrText>
      </w:r>
      <w:r w:rsidRPr="007720BC">
        <w:rPr>
          <w:rStyle w:val="rynqvb"/>
          <w:rFonts w:ascii="Times New Roman" w:hAnsi="Times New Roman" w:cs="Times New Roman"/>
          <w:sz w:val="24"/>
          <w:szCs w:val="24"/>
          <w:lang w:val="en-US"/>
        </w:rPr>
        <w:fldChar w:fldCharType="separate"/>
      </w:r>
      <w:r w:rsidRPr="007720BC">
        <w:rPr>
          <w:rStyle w:val="rynqvb"/>
          <w:rFonts w:ascii="Times New Roman" w:hAnsi="Times New Roman" w:cs="Times New Roman"/>
          <w:noProof/>
          <w:sz w:val="24"/>
          <w:szCs w:val="24"/>
          <w:lang w:val="en-US"/>
        </w:rPr>
        <w:t>(UCLG-ASPAC 2019)</w:t>
      </w:r>
      <w:r w:rsidRPr="007720BC">
        <w:rPr>
          <w:rStyle w:val="rynqvb"/>
          <w:rFonts w:ascii="Times New Roman" w:hAnsi="Times New Roman" w:cs="Times New Roman"/>
          <w:sz w:val="24"/>
          <w:szCs w:val="24"/>
          <w:lang w:val="en-US"/>
        </w:rPr>
        <w:fldChar w:fldCharType="end"/>
      </w:r>
      <w:r w:rsidRPr="007720BC">
        <w:rPr>
          <w:rStyle w:val="rynqvb"/>
          <w:rFonts w:ascii="Times New Roman" w:hAnsi="Times New Roman" w:cs="Times New Roman"/>
          <w:sz w:val="24"/>
          <w:szCs w:val="24"/>
          <w:lang w:val="en-US"/>
        </w:rPr>
        <w:t xml:space="preserve">. </w:t>
      </w:r>
      <w:proofErr w:type="spellStart"/>
      <w:r w:rsidR="000B49C3" w:rsidRPr="007720BC">
        <w:rPr>
          <w:rFonts w:ascii="Times New Roman" w:eastAsia="Calibri" w:hAnsi="Times New Roman" w:cs="Times New Roman"/>
          <w:sz w:val="24"/>
          <w:szCs w:val="24"/>
        </w:rPr>
        <w:t>D</w:t>
      </w:r>
      <w:r w:rsidR="00DF4F28" w:rsidRPr="007720BC">
        <w:rPr>
          <w:rFonts w:ascii="Times New Roman" w:eastAsia="Calibri" w:hAnsi="Times New Roman" w:cs="Times New Roman"/>
          <w:sz w:val="24"/>
          <w:szCs w:val="24"/>
        </w:rPr>
        <w:t>ukungan</w:t>
      </w:r>
      <w:proofErr w:type="spellEnd"/>
      <w:r w:rsidR="00DF4F28" w:rsidRPr="007720BC">
        <w:rPr>
          <w:rFonts w:ascii="Times New Roman" w:eastAsia="Calibri" w:hAnsi="Times New Roman" w:cs="Times New Roman"/>
          <w:sz w:val="24"/>
          <w:szCs w:val="24"/>
        </w:rPr>
        <w:t xml:space="preserve"> </w:t>
      </w:r>
      <w:proofErr w:type="spellStart"/>
      <w:r w:rsidR="00DF4F28" w:rsidRPr="007720BC">
        <w:rPr>
          <w:rFonts w:ascii="Times New Roman" w:eastAsia="Calibri" w:hAnsi="Times New Roman" w:cs="Times New Roman"/>
          <w:sz w:val="24"/>
          <w:szCs w:val="24"/>
        </w:rPr>
        <w:t>pemerintah</w:t>
      </w:r>
      <w:proofErr w:type="spellEnd"/>
      <w:r w:rsidR="00DF4F28" w:rsidRPr="007720BC">
        <w:rPr>
          <w:rFonts w:ascii="Times New Roman" w:eastAsia="Calibri" w:hAnsi="Times New Roman" w:cs="Times New Roman"/>
          <w:sz w:val="24"/>
          <w:szCs w:val="24"/>
        </w:rPr>
        <w:t xml:space="preserve"> yang </w:t>
      </w:r>
      <w:proofErr w:type="spellStart"/>
      <w:r w:rsidR="00DF4F28" w:rsidRPr="007720BC">
        <w:rPr>
          <w:rFonts w:ascii="Times New Roman" w:eastAsia="Calibri" w:hAnsi="Times New Roman" w:cs="Times New Roman"/>
          <w:sz w:val="24"/>
          <w:szCs w:val="24"/>
        </w:rPr>
        <w:t>efektif</w:t>
      </w:r>
      <w:proofErr w:type="spellEnd"/>
      <w:r w:rsidR="00DF4F28" w:rsidRPr="007720BC">
        <w:rPr>
          <w:rFonts w:ascii="Times New Roman" w:eastAsia="Calibri" w:hAnsi="Times New Roman" w:cs="Times New Roman"/>
          <w:sz w:val="24"/>
          <w:szCs w:val="24"/>
        </w:rPr>
        <w:t xml:space="preserve"> </w:t>
      </w:r>
      <w:r w:rsidR="00DF4F28" w:rsidRPr="007720BC">
        <w:rPr>
          <w:rFonts w:ascii="Times New Roman" w:eastAsia="Calibri" w:hAnsi="Times New Roman" w:cs="Times New Roman"/>
          <w:sz w:val="24"/>
          <w:szCs w:val="24"/>
          <w:lang w:val="id-ID"/>
        </w:rPr>
        <w:t xml:space="preserve">dapat memberikan penguatan </w:t>
      </w:r>
      <w:proofErr w:type="spellStart"/>
      <w:r w:rsidR="000B49C3" w:rsidRPr="007720BC">
        <w:rPr>
          <w:rFonts w:ascii="Times New Roman" w:eastAsia="Calibri" w:hAnsi="Times New Roman" w:cs="Times New Roman"/>
          <w:sz w:val="24"/>
          <w:szCs w:val="24"/>
          <w:lang w:val="en-US"/>
        </w:rPr>
        <w:t>untuk</w:t>
      </w:r>
      <w:proofErr w:type="spellEnd"/>
      <w:r w:rsidR="000B49C3" w:rsidRPr="007720BC">
        <w:rPr>
          <w:rFonts w:ascii="Times New Roman" w:eastAsia="Calibri" w:hAnsi="Times New Roman" w:cs="Times New Roman"/>
          <w:sz w:val="24"/>
          <w:szCs w:val="24"/>
          <w:lang w:val="en-US"/>
        </w:rPr>
        <w:t xml:space="preserve"> </w:t>
      </w:r>
      <w:r w:rsidR="00DF4F28" w:rsidRPr="007720BC">
        <w:rPr>
          <w:rFonts w:ascii="Times New Roman" w:eastAsia="Calibri" w:hAnsi="Times New Roman" w:cs="Times New Roman"/>
          <w:sz w:val="24"/>
          <w:szCs w:val="24"/>
          <w:lang w:val="id-ID"/>
        </w:rPr>
        <w:t xml:space="preserve">menyelesaikan berbagai permasalahan </w:t>
      </w:r>
      <w:proofErr w:type="spellStart"/>
      <w:r w:rsidR="000B49C3" w:rsidRPr="007720BC">
        <w:rPr>
          <w:rFonts w:ascii="Times New Roman" w:eastAsia="Calibri" w:hAnsi="Times New Roman" w:cs="Times New Roman"/>
          <w:sz w:val="24"/>
          <w:szCs w:val="24"/>
          <w:lang w:val="en-US"/>
        </w:rPr>
        <w:t>penanganan</w:t>
      </w:r>
      <w:proofErr w:type="spellEnd"/>
      <w:r w:rsidR="000B49C3" w:rsidRPr="007720BC">
        <w:rPr>
          <w:rFonts w:ascii="Times New Roman" w:eastAsia="Calibri" w:hAnsi="Times New Roman" w:cs="Times New Roman"/>
          <w:sz w:val="24"/>
          <w:szCs w:val="24"/>
          <w:lang w:val="en-US"/>
        </w:rPr>
        <w:t xml:space="preserve"> stunting. </w:t>
      </w:r>
      <w:proofErr w:type="spellStart"/>
      <w:r w:rsidR="00D811EE" w:rsidRPr="007720BC">
        <w:rPr>
          <w:rFonts w:ascii="Times New Roman" w:eastAsia="Calibri" w:hAnsi="Times New Roman" w:cs="Times New Roman"/>
          <w:sz w:val="24"/>
          <w:szCs w:val="24"/>
          <w:lang w:val="en-US"/>
        </w:rPr>
        <w:t>Menurut</w:t>
      </w:r>
      <w:proofErr w:type="spellEnd"/>
      <w:r w:rsidR="00D811EE" w:rsidRPr="007720BC">
        <w:rPr>
          <w:rFonts w:ascii="Times New Roman" w:eastAsia="Calibri" w:hAnsi="Times New Roman" w:cs="Times New Roman"/>
          <w:sz w:val="24"/>
          <w:szCs w:val="24"/>
          <w:lang w:val="en-US"/>
        </w:rPr>
        <w:t xml:space="preserve"> </w:t>
      </w:r>
      <w:r w:rsidR="00D811EE" w:rsidRPr="007720BC">
        <w:rPr>
          <w:rFonts w:ascii="Times New Roman" w:eastAsia="Calibri" w:hAnsi="Times New Roman" w:cs="Times New Roman"/>
          <w:sz w:val="24"/>
          <w:szCs w:val="24"/>
          <w:lang w:val="en-US"/>
        </w:rPr>
        <w:fldChar w:fldCharType="begin" w:fldLock="1"/>
      </w:r>
      <w:r w:rsidRPr="007720BC">
        <w:rPr>
          <w:rFonts w:ascii="Times New Roman" w:eastAsia="Calibri" w:hAnsi="Times New Roman" w:cs="Times New Roman"/>
          <w:sz w:val="24"/>
          <w:szCs w:val="24"/>
          <w:lang w:val="en-US"/>
        </w:rPr>
        <w:instrText>ADDIN CSL_CITATION {"citationItems":[{"id":"ITEM-1","itemData":{"DOI":"10.37506/mlu.v20i4.2168","ISSN":"0971720X","abstract":"Purpose: This study aims to determine the political commitment of the Enrekang District Government in overcoming the problem of stunting during the COVID-19 period. Method: This study uses a qualitative research method with a type of case study research. This research was conducted in Enrekang District in May-July 2020. The informants in this study were 13 people who were selected by purposive sampling technique. Data collection was carried out by in-depth interviews, document review, and observation. Results: The results of this study indicate that the COVID-19 pandemic has an impact on the political commitment of the Enrekang local government in handling stunting. The enactment of Large Scale Social Restriction (LSSR) and refocusing on the budget caused several programs to experience budget cuts. On the other hand, the provision of latrines for sanitation and hygiene absorbs the largest amount of funds. Conclusions: The COVID-19 pandemic has an impact on the political commitment to handling stunting due to the enactment of Large Scale Social Restriction (LSSR) and budget refocusing.","author":[{"dropping-particle":"","family":"Razak","given":"Amran","non-dropping-particle":"","parse-names":false,"suffix":""},{"dropping-particle":"","family":"Harpina","given":"Sri","non-dropping-particle":"","parse-names":false,"suffix":""},{"dropping-particle":"","family":"Adrianto","given":"Ratno","non-dropping-particle":"","parse-names":false,"suffix":""}],"container-title":"Medico-Legal Update","id":"ITEM-1","issue":"4","issued":{"date-parts":[["2020"]]},"page":"2173-2181","title":"Political Commitment of Local Government in Handling Stunting During the Covid-19 Pandemic: A Case Study of Enrekang District","type":"article-journal","volume":"20"},"uris":["http://www.mendeley.com/documents/?uuid=d8d103ac-5ecf-4850-b047-77e161e9e0f8"]}],"mendeley":{"formattedCitation":"(Razak, Harpina, dan Adrianto 2020)","plainTextFormattedCitation":"(Razak, Harpina, dan Adrianto 2020)","previouslyFormattedCitation":"(Razak, Harpina, dan Adrianto 2020)"},"properties":{"noteIndex":0},"schema":"https://github.com/citation-style-language/schema/raw/master/csl-citation.json"}</w:instrText>
      </w:r>
      <w:r w:rsidR="00D811EE" w:rsidRPr="007720BC">
        <w:rPr>
          <w:rFonts w:ascii="Times New Roman" w:eastAsia="Calibri" w:hAnsi="Times New Roman" w:cs="Times New Roman"/>
          <w:sz w:val="24"/>
          <w:szCs w:val="24"/>
          <w:lang w:val="en-US"/>
        </w:rPr>
        <w:fldChar w:fldCharType="separate"/>
      </w:r>
      <w:r w:rsidR="00D811EE" w:rsidRPr="007720BC">
        <w:rPr>
          <w:rFonts w:ascii="Times New Roman" w:eastAsia="Calibri" w:hAnsi="Times New Roman" w:cs="Times New Roman"/>
          <w:noProof/>
          <w:sz w:val="24"/>
          <w:szCs w:val="24"/>
          <w:lang w:val="en-US"/>
        </w:rPr>
        <w:t>(Razak, Harpina, dan Adrianto 2020)</w:t>
      </w:r>
      <w:r w:rsidR="00D811EE" w:rsidRPr="007720BC">
        <w:rPr>
          <w:rFonts w:ascii="Times New Roman" w:eastAsia="Calibri" w:hAnsi="Times New Roman" w:cs="Times New Roman"/>
          <w:sz w:val="24"/>
          <w:szCs w:val="24"/>
          <w:lang w:val="en-US"/>
        </w:rPr>
        <w:fldChar w:fldCharType="end"/>
      </w:r>
      <w:r w:rsidR="00D811EE" w:rsidRPr="007720BC">
        <w:rPr>
          <w:rFonts w:ascii="Times New Roman" w:eastAsia="Calibri" w:hAnsi="Times New Roman" w:cs="Times New Roman"/>
          <w:sz w:val="24"/>
          <w:szCs w:val="24"/>
          <w:lang w:val="en-US"/>
        </w:rPr>
        <w:t xml:space="preserve"> </w:t>
      </w:r>
      <w:proofErr w:type="spellStart"/>
      <w:r w:rsidR="00D811EE" w:rsidRPr="007720BC">
        <w:rPr>
          <w:rFonts w:ascii="Times New Roman" w:eastAsia="Calibri" w:hAnsi="Times New Roman" w:cs="Times New Roman"/>
          <w:sz w:val="24"/>
          <w:szCs w:val="24"/>
          <w:lang w:val="en-US"/>
        </w:rPr>
        <w:t>dalam</w:t>
      </w:r>
      <w:proofErr w:type="spellEnd"/>
      <w:r w:rsidR="00D811EE" w:rsidRPr="007720BC">
        <w:rPr>
          <w:rFonts w:ascii="Times New Roman" w:eastAsia="Calibri" w:hAnsi="Times New Roman" w:cs="Times New Roman"/>
          <w:sz w:val="24"/>
          <w:szCs w:val="24"/>
          <w:lang w:val="en-US"/>
        </w:rPr>
        <w:t xml:space="preserve"> h</w:t>
      </w:r>
      <w:r w:rsidR="00D811EE" w:rsidRPr="007720BC">
        <w:rPr>
          <w:rStyle w:val="rynqvb"/>
          <w:rFonts w:ascii="Times New Roman" w:hAnsi="Times New Roman" w:cs="Times New Roman"/>
          <w:sz w:val="24"/>
          <w:szCs w:val="24"/>
          <w:lang w:val="id-ID"/>
        </w:rPr>
        <w:t>asil penelitian</w:t>
      </w:r>
      <w:proofErr w:type="spellStart"/>
      <w:r w:rsidR="00D811EE" w:rsidRPr="007720BC">
        <w:rPr>
          <w:rStyle w:val="rynqvb"/>
          <w:rFonts w:ascii="Times New Roman" w:hAnsi="Times New Roman" w:cs="Times New Roman"/>
          <w:sz w:val="24"/>
          <w:szCs w:val="24"/>
          <w:lang w:val="en-US"/>
        </w:rPr>
        <w:t>nya</w:t>
      </w:r>
      <w:proofErr w:type="spellEnd"/>
      <w:r w:rsidR="00D811EE" w:rsidRPr="007720BC">
        <w:rPr>
          <w:rStyle w:val="rynqvb"/>
          <w:rFonts w:ascii="Times New Roman" w:hAnsi="Times New Roman" w:cs="Times New Roman"/>
          <w:sz w:val="24"/>
          <w:szCs w:val="24"/>
          <w:lang w:val="en-US"/>
        </w:rPr>
        <w:t xml:space="preserve"> </w:t>
      </w:r>
      <w:r w:rsidR="00D811EE" w:rsidRPr="007720BC">
        <w:rPr>
          <w:rStyle w:val="rynqvb"/>
          <w:rFonts w:ascii="Times New Roman" w:hAnsi="Times New Roman" w:cs="Times New Roman"/>
          <w:sz w:val="24"/>
          <w:szCs w:val="24"/>
          <w:lang w:val="id-ID"/>
        </w:rPr>
        <w:t>menunjukkan bahwa pandemi COVID-19 berdampak pada komitmen politik pemerintah daerah Enrekang dalam penanganan stunting</w:t>
      </w:r>
      <w:r w:rsidR="00CD026A" w:rsidRPr="007720BC">
        <w:rPr>
          <w:rStyle w:val="rynqvb"/>
          <w:rFonts w:ascii="Times New Roman" w:hAnsi="Times New Roman" w:cs="Times New Roman"/>
          <w:sz w:val="24"/>
          <w:szCs w:val="24"/>
          <w:lang w:val="en-US"/>
        </w:rPr>
        <w:t>.</w:t>
      </w:r>
      <w:r w:rsidR="000D5F0A" w:rsidRPr="007720BC">
        <w:rPr>
          <w:rStyle w:val="rynqvb"/>
          <w:rFonts w:ascii="Times New Roman" w:hAnsi="Times New Roman" w:cs="Times New Roman"/>
          <w:sz w:val="24"/>
          <w:szCs w:val="24"/>
          <w:lang w:val="id-ID"/>
        </w:rPr>
        <w:t xml:space="preserve"> </w:t>
      </w:r>
      <w:proofErr w:type="spellStart"/>
      <w:r w:rsidR="000D5F0A" w:rsidRPr="007720BC">
        <w:rPr>
          <w:rStyle w:val="rynqvb"/>
          <w:rFonts w:ascii="Times New Roman" w:hAnsi="Times New Roman" w:cs="Times New Roman"/>
          <w:sz w:val="24"/>
          <w:szCs w:val="24"/>
          <w:lang w:val="en-US"/>
        </w:rPr>
        <w:t>Menurut</w:t>
      </w:r>
      <w:proofErr w:type="spellEnd"/>
      <w:r w:rsidR="000D5F0A" w:rsidRPr="007720BC">
        <w:rPr>
          <w:rStyle w:val="rynqvb"/>
          <w:rFonts w:ascii="Times New Roman" w:hAnsi="Times New Roman" w:cs="Times New Roman"/>
          <w:sz w:val="24"/>
          <w:szCs w:val="24"/>
          <w:lang w:val="en-US"/>
        </w:rPr>
        <w:t xml:space="preserve"> T</w:t>
      </w:r>
      <w:r w:rsidR="000D5F0A" w:rsidRPr="007720BC">
        <w:rPr>
          <w:rStyle w:val="rynqvb"/>
          <w:rFonts w:ascii="Times New Roman" w:hAnsi="Times New Roman" w:cs="Times New Roman"/>
          <w:sz w:val="24"/>
          <w:szCs w:val="24"/>
          <w:lang w:val="id-ID"/>
        </w:rPr>
        <w:t>eng dan Gu (2007)</w:t>
      </w:r>
      <w:r w:rsidR="000D5F0A" w:rsidRPr="007720BC">
        <w:rPr>
          <w:rStyle w:val="rynqvb"/>
          <w:rFonts w:ascii="Times New Roman" w:hAnsi="Times New Roman" w:cs="Times New Roman"/>
          <w:sz w:val="24"/>
          <w:szCs w:val="24"/>
          <w:lang w:val="en-US"/>
        </w:rPr>
        <w:t xml:space="preserve"> </w:t>
      </w:r>
      <w:r w:rsidR="009612EA" w:rsidRPr="007720BC">
        <w:rPr>
          <w:rStyle w:val="rynqvb"/>
          <w:rFonts w:ascii="Times New Roman" w:hAnsi="Times New Roman" w:cs="Times New Roman"/>
          <w:sz w:val="24"/>
          <w:szCs w:val="24"/>
          <w:lang w:val="en-US"/>
        </w:rPr>
        <w:t xml:space="preserve">  </w:t>
      </w:r>
      <w:r w:rsidR="000D5F0A" w:rsidRPr="007720BC">
        <w:rPr>
          <w:rStyle w:val="rynqvb"/>
          <w:rFonts w:ascii="Times New Roman" w:hAnsi="Times New Roman" w:cs="Times New Roman"/>
          <w:sz w:val="24"/>
          <w:szCs w:val="24"/>
          <w:lang w:val="id-ID"/>
        </w:rPr>
        <w:t>implementasi kebijakan yang berhasil bergantung pada hubungan yang baik antara berbagai tingkat pemerintahan dan organisasi di tingkat lokal dan bahwa setiap hubungan yang hilang menghasilkan “kesenjangan implementasi”.</w:t>
      </w:r>
    </w:p>
    <w:p w14:paraId="58034487" w14:textId="3F50F54F" w:rsidR="00C55BF3" w:rsidRPr="007720BC" w:rsidRDefault="00C55BF3" w:rsidP="00C55BF3">
      <w:pPr>
        <w:shd w:val="clear" w:color="auto" w:fill="FFFFFF"/>
        <w:spacing w:after="0" w:line="240" w:lineRule="auto"/>
        <w:ind w:firstLine="567"/>
        <w:contextualSpacing/>
        <w:jc w:val="both"/>
        <w:textAlignment w:val="baseline"/>
        <w:rPr>
          <w:rStyle w:val="rynqvb"/>
          <w:rFonts w:ascii="Times New Roman" w:hAnsi="Times New Roman" w:cs="Times New Roman"/>
          <w:sz w:val="24"/>
          <w:szCs w:val="24"/>
          <w:lang w:val="en-US"/>
        </w:rPr>
      </w:pPr>
    </w:p>
    <w:p w14:paraId="060B13CC" w14:textId="16FF8A45" w:rsidR="00A638A7" w:rsidRPr="007720BC" w:rsidRDefault="00A638A7" w:rsidP="00CB2900">
      <w:pPr>
        <w:spacing w:after="0" w:line="240" w:lineRule="auto"/>
        <w:rPr>
          <w:rFonts w:ascii="Times New Roman" w:hAnsi="Times New Roman" w:cs="Times New Roman"/>
          <w:b/>
          <w:bCs/>
          <w:sz w:val="24"/>
          <w:szCs w:val="24"/>
        </w:rPr>
      </w:pPr>
      <w:proofErr w:type="spellStart"/>
      <w:r w:rsidRPr="007720BC">
        <w:rPr>
          <w:rFonts w:ascii="Times New Roman" w:hAnsi="Times New Roman" w:cs="Times New Roman"/>
          <w:b/>
          <w:bCs/>
          <w:sz w:val="24"/>
          <w:szCs w:val="24"/>
        </w:rPr>
        <w:t>Dampak</w:t>
      </w:r>
      <w:proofErr w:type="spellEnd"/>
      <w:r w:rsidRPr="007720BC">
        <w:rPr>
          <w:rFonts w:ascii="Times New Roman" w:hAnsi="Times New Roman" w:cs="Times New Roman"/>
          <w:b/>
          <w:bCs/>
          <w:sz w:val="24"/>
          <w:szCs w:val="24"/>
        </w:rPr>
        <w:t xml:space="preserve"> </w:t>
      </w:r>
      <w:proofErr w:type="spellStart"/>
      <w:r w:rsidRPr="007720BC">
        <w:rPr>
          <w:rFonts w:ascii="Times New Roman" w:hAnsi="Times New Roman" w:cs="Times New Roman"/>
          <w:b/>
          <w:bCs/>
          <w:sz w:val="24"/>
          <w:szCs w:val="24"/>
        </w:rPr>
        <w:t>Implementasi</w:t>
      </w:r>
      <w:proofErr w:type="spellEnd"/>
      <w:r w:rsidRPr="007720BC">
        <w:rPr>
          <w:rFonts w:ascii="Times New Roman" w:hAnsi="Times New Roman" w:cs="Times New Roman"/>
          <w:b/>
          <w:bCs/>
          <w:sz w:val="24"/>
          <w:szCs w:val="24"/>
        </w:rPr>
        <w:t xml:space="preserve"> Program</w:t>
      </w:r>
    </w:p>
    <w:p w14:paraId="0B2231FA" w14:textId="2B16D1DB" w:rsidR="00F326C9" w:rsidRPr="007720BC" w:rsidRDefault="001B5F2D" w:rsidP="00F326C9">
      <w:pPr>
        <w:pStyle w:val="ListParagraph"/>
        <w:spacing w:before="0"/>
        <w:ind w:left="0" w:right="0" w:firstLine="720"/>
        <w:contextualSpacing/>
        <w:rPr>
          <w:sz w:val="24"/>
          <w:szCs w:val="24"/>
          <w:lang w:val="en-US"/>
        </w:rPr>
      </w:pPr>
      <w:proofErr w:type="spellStart"/>
      <w:r w:rsidRPr="007720BC">
        <w:rPr>
          <w:sz w:val="24"/>
          <w:szCs w:val="24"/>
          <w:lang w:val="en-US"/>
        </w:rPr>
        <w:t>Pencapaian</w:t>
      </w:r>
      <w:proofErr w:type="spellEnd"/>
      <w:r w:rsidRPr="007720BC">
        <w:rPr>
          <w:sz w:val="24"/>
          <w:szCs w:val="24"/>
          <w:lang w:val="en-US"/>
        </w:rPr>
        <w:t xml:space="preserve"> </w:t>
      </w:r>
      <w:r w:rsidRPr="007720BC">
        <w:rPr>
          <w:sz w:val="24"/>
          <w:szCs w:val="24"/>
        </w:rPr>
        <w:t>Kepala Desa (Kades) Mongpok, Kecamatan Cikeusal</w:t>
      </w:r>
      <w:r w:rsidR="00082DC0" w:rsidRPr="007720BC">
        <w:rPr>
          <w:sz w:val="24"/>
          <w:szCs w:val="24"/>
          <w:lang w:val="en-US"/>
        </w:rPr>
        <w:t xml:space="preserve"> </w:t>
      </w:r>
      <w:proofErr w:type="spellStart"/>
      <w:r w:rsidR="00082DC0" w:rsidRPr="007720BC">
        <w:rPr>
          <w:sz w:val="24"/>
          <w:szCs w:val="24"/>
          <w:lang w:val="en-US"/>
        </w:rPr>
        <w:t>yaitu</w:t>
      </w:r>
      <w:proofErr w:type="spellEnd"/>
      <w:r w:rsidR="00082DC0" w:rsidRPr="007720BC">
        <w:rPr>
          <w:sz w:val="24"/>
          <w:szCs w:val="24"/>
          <w:lang w:val="en-US"/>
        </w:rPr>
        <w:t xml:space="preserve"> Bapak </w:t>
      </w:r>
      <w:r w:rsidRPr="007720BC">
        <w:rPr>
          <w:sz w:val="24"/>
          <w:szCs w:val="24"/>
        </w:rPr>
        <w:t>Bana mendapatkan penghargaan sebagai Ketua Pelaksana Tim Percepatan Penurunan Stunting (TPPS) Desa terbaik</w:t>
      </w:r>
      <w:r w:rsidRPr="007720BC">
        <w:rPr>
          <w:sz w:val="24"/>
          <w:szCs w:val="24"/>
          <w:lang w:val="en-US"/>
        </w:rPr>
        <w:t xml:space="preserve"> pada </w:t>
      </w:r>
      <w:r w:rsidRPr="007720BC">
        <w:rPr>
          <w:sz w:val="24"/>
          <w:szCs w:val="24"/>
        </w:rPr>
        <w:t>acara Stunting Heroes Award 2022 yang digelar BKKBN Banten</w:t>
      </w:r>
      <w:r w:rsidRPr="007720BC">
        <w:rPr>
          <w:sz w:val="24"/>
          <w:szCs w:val="24"/>
          <w:lang w:val="en-US"/>
        </w:rPr>
        <w:t xml:space="preserve"> </w:t>
      </w:r>
      <w:proofErr w:type="spellStart"/>
      <w:r w:rsidRPr="007720BC">
        <w:rPr>
          <w:sz w:val="24"/>
          <w:szCs w:val="24"/>
          <w:lang w:val="en-US"/>
        </w:rPr>
        <w:t>menunjukkan</w:t>
      </w:r>
      <w:proofErr w:type="spellEnd"/>
      <w:r w:rsidRPr="007720BC">
        <w:rPr>
          <w:sz w:val="24"/>
          <w:szCs w:val="24"/>
          <w:lang w:val="en-US"/>
        </w:rPr>
        <w:t xml:space="preserve"> indicator </w:t>
      </w:r>
      <w:proofErr w:type="spellStart"/>
      <w:r w:rsidR="00082DC0" w:rsidRPr="007720BC">
        <w:rPr>
          <w:sz w:val="24"/>
          <w:szCs w:val="24"/>
          <w:lang w:val="en-US"/>
        </w:rPr>
        <w:t>dampak</w:t>
      </w:r>
      <w:proofErr w:type="spellEnd"/>
      <w:r w:rsidR="00082DC0" w:rsidRPr="007720BC">
        <w:rPr>
          <w:sz w:val="24"/>
          <w:szCs w:val="24"/>
          <w:lang w:val="en-US"/>
        </w:rPr>
        <w:t xml:space="preserve"> </w:t>
      </w:r>
      <w:proofErr w:type="spellStart"/>
      <w:r w:rsidRPr="007720BC">
        <w:rPr>
          <w:sz w:val="24"/>
          <w:szCs w:val="24"/>
          <w:lang w:val="en-US"/>
        </w:rPr>
        <w:t>keberhasilan</w:t>
      </w:r>
      <w:proofErr w:type="spellEnd"/>
      <w:r w:rsidRPr="007720BC">
        <w:rPr>
          <w:sz w:val="24"/>
          <w:szCs w:val="24"/>
          <w:lang w:val="en-US"/>
        </w:rPr>
        <w:t xml:space="preserve"> Kampung KB Desa </w:t>
      </w:r>
      <w:proofErr w:type="spellStart"/>
      <w:r w:rsidRPr="007720BC">
        <w:rPr>
          <w:sz w:val="24"/>
          <w:szCs w:val="24"/>
          <w:lang w:val="en-US"/>
        </w:rPr>
        <w:t>Mongpok</w:t>
      </w:r>
      <w:proofErr w:type="spellEnd"/>
      <w:r w:rsidRPr="007720BC">
        <w:rPr>
          <w:sz w:val="24"/>
          <w:szCs w:val="24"/>
          <w:lang w:val="en-US"/>
        </w:rPr>
        <w:t xml:space="preserve"> </w:t>
      </w:r>
      <w:proofErr w:type="spellStart"/>
      <w:r w:rsidRPr="007720BC">
        <w:rPr>
          <w:sz w:val="24"/>
          <w:szCs w:val="24"/>
          <w:lang w:val="en-US"/>
        </w:rPr>
        <w:t>dalam</w:t>
      </w:r>
      <w:proofErr w:type="spellEnd"/>
      <w:r w:rsidRPr="007720BC">
        <w:rPr>
          <w:sz w:val="24"/>
          <w:szCs w:val="24"/>
          <w:lang w:val="en-US"/>
        </w:rPr>
        <w:t xml:space="preserve"> </w:t>
      </w:r>
      <w:proofErr w:type="spellStart"/>
      <w:r w:rsidR="003C6F7D" w:rsidRPr="007720BC">
        <w:rPr>
          <w:sz w:val="24"/>
          <w:szCs w:val="24"/>
          <w:lang w:val="en-US"/>
        </w:rPr>
        <w:lastRenderedPageBreak/>
        <w:t>percepatan</w:t>
      </w:r>
      <w:proofErr w:type="spellEnd"/>
      <w:r w:rsidR="003C6F7D" w:rsidRPr="007720BC">
        <w:rPr>
          <w:sz w:val="24"/>
          <w:szCs w:val="24"/>
          <w:lang w:val="en-US"/>
        </w:rPr>
        <w:t xml:space="preserve"> </w:t>
      </w:r>
      <w:proofErr w:type="spellStart"/>
      <w:r w:rsidR="003C6F7D" w:rsidRPr="007720BC">
        <w:rPr>
          <w:sz w:val="24"/>
          <w:szCs w:val="24"/>
          <w:lang w:val="en-US"/>
        </w:rPr>
        <w:t>penurunan</w:t>
      </w:r>
      <w:proofErr w:type="spellEnd"/>
      <w:r w:rsidR="00082DC0" w:rsidRPr="007720BC">
        <w:rPr>
          <w:sz w:val="24"/>
          <w:szCs w:val="24"/>
          <w:lang w:val="en-US"/>
        </w:rPr>
        <w:t xml:space="preserve"> </w:t>
      </w:r>
      <w:r w:rsidRPr="007720BC">
        <w:rPr>
          <w:sz w:val="24"/>
          <w:szCs w:val="24"/>
          <w:lang w:val="en-US"/>
        </w:rPr>
        <w:t>stuntin</w:t>
      </w:r>
      <w:r w:rsidR="00082DC0" w:rsidRPr="007720BC">
        <w:rPr>
          <w:sz w:val="24"/>
          <w:szCs w:val="24"/>
          <w:lang w:val="en-US"/>
        </w:rPr>
        <w:t>g.</w:t>
      </w:r>
      <w:r w:rsidR="00F326C9" w:rsidRPr="007720BC">
        <w:rPr>
          <w:sz w:val="24"/>
          <w:szCs w:val="24"/>
          <w:lang w:val="en-US"/>
        </w:rPr>
        <w:t xml:space="preserve"> </w:t>
      </w:r>
      <w:proofErr w:type="spellStart"/>
      <w:r w:rsidR="00082DC0" w:rsidRPr="007720BC">
        <w:rPr>
          <w:sz w:val="24"/>
          <w:szCs w:val="24"/>
          <w:lang w:val="en-US"/>
        </w:rPr>
        <w:t>Dampak</w:t>
      </w:r>
      <w:proofErr w:type="spellEnd"/>
      <w:r w:rsidR="00082DC0" w:rsidRPr="007720BC">
        <w:rPr>
          <w:sz w:val="24"/>
          <w:szCs w:val="24"/>
          <w:lang w:val="en-US"/>
        </w:rPr>
        <w:t xml:space="preserve"> </w:t>
      </w:r>
      <w:proofErr w:type="spellStart"/>
      <w:r w:rsidR="00082DC0" w:rsidRPr="007720BC">
        <w:rPr>
          <w:sz w:val="24"/>
          <w:szCs w:val="24"/>
          <w:lang w:val="en-US"/>
        </w:rPr>
        <w:t>keberhasilan</w:t>
      </w:r>
      <w:proofErr w:type="spellEnd"/>
      <w:r w:rsidR="00082DC0" w:rsidRPr="007720BC">
        <w:rPr>
          <w:sz w:val="24"/>
          <w:szCs w:val="24"/>
          <w:lang w:val="en-US"/>
        </w:rPr>
        <w:t xml:space="preserve"> </w:t>
      </w:r>
      <w:proofErr w:type="spellStart"/>
      <w:r w:rsidR="00082DC0" w:rsidRPr="007720BC">
        <w:rPr>
          <w:sz w:val="24"/>
          <w:szCs w:val="24"/>
          <w:lang w:val="en-US"/>
        </w:rPr>
        <w:t>tersebut</w:t>
      </w:r>
      <w:proofErr w:type="spellEnd"/>
      <w:r w:rsidR="00082DC0" w:rsidRPr="007720BC">
        <w:rPr>
          <w:sz w:val="24"/>
          <w:szCs w:val="24"/>
          <w:lang w:val="en-US"/>
        </w:rPr>
        <w:t xml:space="preserve"> </w:t>
      </w:r>
      <w:proofErr w:type="spellStart"/>
      <w:r w:rsidR="00082DC0" w:rsidRPr="007720BC">
        <w:rPr>
          <w:sz w:val="24"/>
          <w:szCs w:val="24"/>
          <w:lang w:val="en-US"/>
        </w:rPr>
        <w:t>terkonfirmasi</w:t>
      </w:r>
      <w:proofErr w:type="spellEnd"/>
      <w:r w:rsidR="00F326C9" w:rsidRPr="007720BC">
        <w:rPr>
          <w:sz w:val="24"/>
          <w:szCs w:val="24"/>
          <w:lang w:val="en-US"/>
        </w:rPr>
        <w:t xml:space="preserve"> </w:t>
      </w:r>
      <w:proofErr w:type="spellStart"/>
      <w:r w:rsidR="00F326C9" w:rsidRPr="007720BC">
        <w:rPr>
          <w:sz w:val="24"/>
          <w:szCs w:val="24"/>
          <w:lang w:val="en-US"/>
        </w:rPr>
        <w:t>berdasarkan</w:t>
      </w:r>
      <w:proofErr w:type="spellEnd"/>
      <w:r w:rsidR="00F326C9" w:rsidRPr="007720BC">
        <w:rPr>
          <w:sz w:val="24"/>
          <w:szCs w:val="24"/>
          <w:lang w:val="en-US"/>
        </w:rPr>
        <w:t xml:space="preserve"> </w:t>
      </w:r>
      <w:proofErr w:type="spellStart"/>
      <w:r w:rsidR="00F326C9" w:rsidRPr="007720BC">
        <w:rPr>
          <w:sz w:val="24"/>
          <w:szCs w:val="24"/>
          <w:lang w:val="en-US"/>
        </w:rPr>
        <w:t>pencapaian</w:t>
      </w:r>
      <w:proofErr w:type="spellEnd"/>
      <w:r w:rsidR="00F326C9" w:rsidRPr="007720BC">
        <w:rPr>
          <w:sz w:val="24"/>
          <w:szCs w:val="24"/>
          <w:lang w:val="en-US"/>
        </w:rPr>
        <w:t xml:space="preserve"> </w:t>
      </w:r>
      <w:proofErr w:type="spellStart"/>
      <w:r w:rsidR="00F326C9" w:rsidRPr="007720BC">
        <w:rPr>
          <w:sz w:val="24"/>
          <w:szCs w:val="24"/>
          <w:lang w:val="en-US"/>
        </w:rPr>
        <w:t>penanganan</w:t>
      </w:r>
      <w:proofErr w:type="spellEnd"/>
      <w:r w:rsidR="00F326C9" w:rsidRPr="007720BC">
        <w:rPr>
          <w:sz w:val="24"/>
          <w:szCs w:val="24"/>
          <w:lang w:val="en-US"/>
        </w:rPr>
        <w:t xml:space="preserve"> dan </w:t>
      </w:r>
      <w:proofErr w:type="spellStart"/>
      <w:r w:rsidR="00F326C9" w:rsidRPr="007720BC">
        <w:rPr>
          <w:sz w:val="24"/>
          <w:szCs w:val="24"/>
          <w:lang w:val="en-US"/>
        </w:rPr>
        <w:t>pencegahan</w:t>
      </w:r>
      <w:proofErr w:type="spellEnd"/>
      <w:r w:rsidR="00F326C9" w:rsidRPr="007720BC">
        <w:rPr>
          <w:sz w:val="24"/>
          <w:szCs w:val="24"/>
          <w:lang w:val="en-US"/>
        </w:rPr>
        <w:t xml:space="preserve"> stunting, </w:t>
      </w:r>
      <w:proofErr w:type="spellStart"/>
      <w:r w:rsidR="00F326C9" w:rsidRPr="007720BC">
        <w:rPr>
          <w:sz w:val="24"/>
          <w:szCs w:val="24"/>
          <w:lang w:val="en-US"/>
        </w:rPr>
        <w:t>hal</w:t>
      </w:r>
      <w:proofErr w:type="spellEnd"/>
      <w:r w:rsidR="00F326C9" w:rsidRPr="007720BC">
        <w:rPr>
          <w:sz w:val="24"/>
          <w:szCs w:val="24"/>
          <w:lang w:val="en-US"/>
        </w:rPr>
        <w:t xml:space="preserve"> </w:t>
      </w:r>
      <w:proofErr w:type="spellStart"/>
      <w:r w:rsidR="00F326C9" w:rsidRPr="007720BC">
        <w:rPr>
          <w:sz w:val="24"/>
          <w:szCs w:val="24"/>
          <w:lang w:val="en-US"/>
        </w:rPr>
        <w:t>ini</w:t>
      </w:r>
      <w:proofErr w:type="spellEnd"/>
      <w:r w:rsidR="00F326C9" w:rsidRPr="007720BC">
        <w:rPr>
          <w:sz w:val="24"/>
          <w:szCs w:val="24"/>
          <w:lang w:val="en-US"/>
        </w:rPr>
        <w:t xml:space="preserve"> </w:t>
      </w:r>
      <w:proofErr w:type="spellStart"/>
      <w:r w:rsidR="00F326C9" w:rsidRPr="007720BC">
        <w:rPr>
          <w:sz w:val="24"/>
          <w:szCs w:val="24"/>
          <w:lang w:val="en-US"/>
        </w:rPr>
        <w:t>ditunjukkan</w:t>
      </w:r>
      <w:proofErr w:type="spellEnd"/>
      <w:r w:rsidR="00F326C9" w:rsidRPr="007720BC">
        <w:rPr>
          <w:sz w:val="24"/>
          <w:szCs w:val="24"/>
          <w:lang w:val="en-US"/>
        </w:rPr>
        <w:t xml:space="preserve"> oleh </w:t>
      </w:r>
      <w:proofErr w:type="spellStart"/>
      <w:r w:rsidR="00F326C9" w:rsidRPr="007720BC">
        <w:rPr>
          <w:sz w:val="24"/>
          <w:szCs w:val="24"/>
          <w:lang w:val="en-US"/>
        </w:rPr>
        <w:t>menurunnya</w:t>
      </w:r>
      <w:proofErr w:type="spellEnd"/>
      <w:r w:rsidR="00F326C9" w:rsidRPr="007720BC">
        <w:rPr>
          <w:sz w:val="24"/>
          <w:szCs w:val="24"/>
          <w:lang w:val="en-US"/>
        </w:rPr>
        <w:t xml:space="preserve"> </w:t>
      </w:r>
      <w:proofErr w:type="spellStart"/>
      <w:r w:rsidR="00F326C9" w:rsidRPr="007720BC">
        <w:rPr>
          <w:sz w:val="24"/>
          <w:szCs w:val="24"/>
          <w:lang w:val="en-US"/>
        </w:rPr>
        <w:t>kuantitas</w:t>
      </w:r>
      <w:proofErr w:type="spellEnd"/>
      <w:r w:rsidR="00F326C9" w:rsidRPr="007720BC">
        <w:rPr>
          <w:sz w:val="24"/>
          <w:szCs w:val="24"/>
          <w:lang w:val="en-US"/>
        </w:rPr>
        <w:t xml:space="preserve"> stunting </w:t>
      </w:r>
      <w:proofErr w:type="spellStart"/>
      <w:r w:rsidR="00F326C9" w:rsidRPr="007720BC">
        <w:rPr>
          <w:sz w:val="24"/>
          <w:szCs w:val="24"/>
          <w:lang w:val="en-US"/>
        </w:rPr>
        <w:t>dari</w:t>
      </w:r>
      <w:proofErr w:type="spellEnd"/>
      <w:r w:rsidR="00F326C9" w:rsidRPr="007720BC">
        <w:rPr>
          <w:sz w:val="24"/>
          <w:szCs w:val="24"/>
          <w:lang w:val="en-US"/>
        </w:rPr>
        <w:t xml:space="preserve"> </w:t>
      </w:r>
      <w:proofErr w:type="spellStart"/>
      <w:r w:rsidR="00F326C9" w:rsidRPr="007720BC">
        <w:rPr>
          <w:sz w:val="24"/>
          <w:szCs w:val="24"/>
          <w:lang w:val="en-US"/>
        </w:rPr>
        <w:t>tahun</w:t>
      </w:r>
      <w:proofErr w:type="spellEnd"/>
      <w:r w:rsidR="00F326C9" w:rsidRPr="007720BC">
        <w:rPr>
          <w:sz w:val="24"/>
          <w:szCs w:val="24"/>
          <w:lang w:val="en-US"/>
        </w:rPr>
        <w:t xml:space="preserve"> 2020 </w:t>
      </w:r>
      <w:proofErr w:type="spellStart"/>
      <w:r w:rsidR="00F326C9" w:rsidRPr="007720BC">
        <w:rPr>
          <w:sz w:val="24"/>
          <w:szCs w:val="24"/>
          <w:lang w:val="en-US"/>
        </w:rPr>
        <w:t>sebesar</w:t>
      </w:r>
      <w:proofErr w:type="spellEnd"/>
      <w:r w:rsidR="00F326C9" w:rsidRPr="007720BC">
        <w:rPr>
          <w:sz w:val="24"/>
          <w:szCs w:val="24"/>
          <w:lang w:val="en-US"/>
        </w:rPr>
        <w:t xml:space="preserve"> 55% </w:t>
      </w:r>
      <w:proofErr w:type="spellStart"/>
      <w:r w:rsidR="00F326C9" w:rsidRPr="007720BC">
        <w:rPr>
          <w:sz w:val="24"/>
          <w:szCs w:val="24"/>
          <w:lang w:val="en-US"/>
        </w:rPr>
        <w:t>menjadi</w:t>
      </w:r>
      <w:proofErr w:type="spellEnd"/>
      <w:r w:rsidR="00F326C9" w:rsidRPr="007720BC">
        <w:rPr>
          <w:sz w:val="24"/>
          <w:szCs w:val="24"/>
          <w:lang w:val="en-US"/>
        </w:rPr>
        <w:t xml:space="preserve"> 17,10% pada </w:t>
      </w:r>
      <w:proofErr w:type="spellStart"/>
      <w:r w:rsidR="00F326C9" w:rsidRPr="007720BC">
        <w:rPr>
          <w:sz w:val="24"/>
          <w:szCs w:val="24"/>
          <w:lang w:val="en-US"/>
        </w:rPr>
        <w:t>tahun</w:t>
      </w:r>
      <w:proofErr w:type="spellEnd"/>
      <w:r w:rsidR="00F326C9" w:rsidRPr="007720BC">
        <w:rPr>
          <w:sz w:val="24"/>
          <w:szCs w:val="24"/>
          <w:lang w:val="en-US"/>
        </w:rPr>
        <w:t xml:space="preserve"> 2022 dan 15,40% pada </w:t>
      </w:r>
      <w:proofErr w:type="spellStart"/>
      <w:r w:rsidR="00F326C9" w:rsidRPr="007720BC">
        <w:rPr>
          <w:sz w:val="24"/>
          <w:szCs w:val="24"/>
          <w:lang w:val="en-US"/>
        </w:rPr>
        <w:t>februari</w:t>
      </w:r>
      <w:proofErr w:type="spellEnd"/>
      <w:r w:rsidR="00F326C9" w:rsidRPr="007720BC">
        <w:rPr>
          <w:sz w:val="24"/>
          <w:szCs w:val="24"/>
          <w:lang w:val="en-US"/>
        </w:rPr>
        <w:t xml:space="preserve"> 2023, </w:t>
      </w:r>
      <w:proofErr w:type="spellStart"/>
      <w:r w:rsidR="00F326C9" w:rsidRPr="007720BC">
        <w:rPr>
          <w:sz w:val="24"/>
          <w:szCs w:val="24"/>
          <w:lang w:val="en-US"/>
        </w:rPr>
        <w:t>sebagaimana</w:t>
      </w:r>
      <w:proofErr w:type="spellEnd"/>
      <w:r w:rsidR="00F326C9" w:rsidRPr="007720BC">
        <w:rPr>
          <w:sz w:val="24"/>
          <w:szCs w:val="24"/>
          <w:lang w:val="en-US"/>
        </w:rPr>
        <w:t xml:space="preserve"> </w:t>
      </w:r>
      <w:proofErr w:type="spellStart"/>
      <w:r w:rsidR="00F326C9" w:rsidRPr="007720BC">
        <w:rPr>
          <w:sz w:val="24"/>
          <w:szCs w:val="24"/>
          <w:lang w:val="en-US"/>
        </w:rPr>
        <w:t>disajikan</w:t>
      </w:r>
      <w:proofErr w:type="spellEnd"/>
      <w:r w:rsidR="00F326C9" w:rsidRPr="007720BC">
        <w:rPr>
          <w:sz w:val="24"/>
          <w:szCs w:val="24"/>
          <w:lang w:val="en-US"/>
        </w:rPr>
        <w:t xml:space="preserve"> pada </w:t>
      </w:r>
      <w:proofErr w:type="spellStart"/>
      <w:r w:rsidR="00F326C9" w:rsidRPr="007720BC">
        <w:rPr>
          <w:sz w:val="24"/>
          <w:szCs w:val="24"/>
          <w:lang w:val="en-US"/>
        </w:rPr>
        <w:t>gambar</w:t>
      </w:r>
      <w:proofErr w:type="spellEnd"/>
      <w:r w:rsidR="00F326C9" w:rsidRPr="007720BC">
        <w:rPr>
          <w:sz w:val="24"/>
          <w:szCs w:val="24"/>
          <w:lang w:val="en-US"/>
        </w:rPr>
        <w:t xml:space="preserve"> 5 </w:t>
      </w:r>
      <w:proofErr w:type="spellStart"/>
      <w:r w:rsidR="00F326C9" w:rsidRPr="007720BC">
        <w:rPr>
          <w:sz w:val="24"/>
          <w:szCs w:val="24"/>
          <w:lang w:val="en-US"/>
        </w:rPr>
        <w:t>berikut</w:t>
      </w:r>
      <w:proofErr w:type="spellEnd"/>
      <w:r w:rsidR="00F326C9" w:rsidRPr="007720BC">
        <w:rPr>
          <w:sz w:val="24"/>
          <w:szCs w:val="24"/>
          <w:lang w:val="en-US"/>
        </w:rPr>
        <w:t xml:space="preserve"> </w:t>
      </w:r>
      <w:proofErr w:type="spellStart"/>
      <w:r w:rsidR="00F326C9" w:rsidRPr="007720BC">
        <w:rPr>
          <w:sz w:val="24"/>
          <w:szCs w:val="24"/>
          <w:lang w:val="en-US"/>
        </w:rPr>
        <w:t>ini</w:t>
      </w:r>
      <w:proofErr w:type="spellEnd"/>
      <w:r w:rsidR="00F326C9" w:rsidRPr="007720BC">
        <w:rPr>
          <w:sz w:val="24"/>
          <w:szCs w:val="24"/>
          <w:lang w:val="en-US"/>
        </w:rPr>
        <w:t>.</w:t>
      </w:r>
    </w:p>
    <w:p w14:paraId="73083A83" w14:textId="77777777" w:rsidR="003C6F7D" w:rsidRPr="007720BC" w:rsidRDefault="003C6F7D" w:rsidP="00F326C9">
      <w:pPr>
        <w:pStyle w:val="ListParagraph"/>
        <w:spacing w:before="0"/>
        <w:ind w:left="0" w:right="0" w:firstLine="0"/>
        <w:contextualSpacing/>
        <w:jc w:val="center"/>
        <w:rPr>
          <w:b/>
          <w:bCs/>
          <w:sz w:val="20"/>
          <w:szCs w:val="20"/>
          <w:lang w:val="en-US"/>
        </w:rPr>
      </w:pPr>
    </w:p>
    <w:p w14:paraId="1AF7CFA2" w14:textId="77777777" w:rsidR="00B61E88" w:rsidRDefault="00F326C9" w:rsidP="00F326C9">
      <w:pPr>
        <w:pStyle w:val="ListParagraph"/>
        <w:spacing w:before="0"/>
        <w:ind w:left="0" w:right="0" w:firstLine="0"/>
        <w:contextualSpacing/>
        <w:jc w:val="center"/>
        <w:rPr>
          <w:b/>
          <w:bCs/>
          <w:sz w:val="20"/>
          <w:szCs w:val="20"/>
          <w:lang w:val="en-US"/>
        </w:rPr>
      </w:pPr>
      <w:r w:rsidRPr="007720BC">
        <w:rPr>
          <w:b/>
          <w:bCs/>
          <w:sz w:val="20"/>
          <w:szCs w:val="20"/>
          <w:lang w:val="en-US"/>
        </w:rPr>
        <w:t xml:space="preserve">Gambar 5. </w:t>
      </w:r>
    </w:p>
    <w:p w14:paraId="4C522BCC" w14:textId="35806D8F" w:rsidR="00F326C9" w:rsidRPr="007720BC" w:rsidRDefault="00F326C9" w:rsidP="00F326C9">
      <w:pPr>
        <w:pStyle w:val="ListParagraph"/>
        <w:spacing w:before="0"/>
        <w:ind w:left="0" w:right="0" w:firstLine="0"/>
        <w:contextualSpacing/>
        <w:jc w:val="center"/>
        <w:rPr>
          <w:sz w:val="20"/>
          <w:szCs w:val="20"/>
          <w:lang w:val="en-US"/>
        </w:rPr>
      </w:pPr>
      <w:r w:rsidRPr="007720BC">
        <w:rPr>
          <w:b/>
          <w:bCs/>
          <w:sz w:val="20"/>
          <w:szCs w:val="20"/>
          <w:lang w:val="id-ID"/>
        </w:rPr>
        <w:t xml:space="preserve">Prevalensi Stunting, </w:t>
      </w:r>
      <w:r w:rsidRPr="007720BC">
        <w:rPr>
          <w:b/>
          <w:bCs/>
          <w:sz w:val="20"/>
          <w:szCs w:val="20"/>
          <w:lang w:val="en-US"/>
        </w:rPr>
        <w:t>Gizi Kurang</w:t>
      </w:r>
      <w:r w:rsidRPr="007720BC">
        <w:rPr>
          <w:b/>
          <w:bCs/>
          <w:sz w:val="20"/>
          <w:szCs w:val="20"/>
          <w:lang w:val="id-ID"/>
        </w:rPr>
        <w:t xml:space="preserve">, </w:t>
      </w:r>
      <w:r w:rsidRPr="007720BC">
        <w:rPr>
          <w:b/>
          <w:bCs/>
          <w:sz w:val="20"/>
          <w:szCs w:val="20"/>
          <w:lang w:val="en-US"/>
        </w:rPr>
        <w:t>d</w:t>
      </w:r>
      <w:r w:rsidRPr="007720BC">
        <w:rPr>
          <w:b/>
          <w:bCs/>
          <w:sz w:val="20"/>
          <w:szCs w:val="20"/>
          <w:lang w:val="id-ID"/>
        </w:rPr>
        <w:t xml:space="preserve">an </w:t>
      </w:r>
      <w:r w:rsidRPr="007720BC">
        <w:rPr>
          <w:b/>
          <w:bCs/>
          <w:sz w:val="20"/>
          <w:szCs w:val="20"/>
          <w:lang w:val="en-US"/>
        </w:rPr>
        <w:t>Gizi Buruk</w:t>
      </w:r>
      <w:r w:rsidRPr="007720BC">
        <w:rPr>
          <w:b/>
          <w:bCs/>
          <w:sz w:val="20"/>
          <w:szCs w:val="20"/>
          <w:lang w:val="id-ID"/>
        </w:rPr>
        <w:t xml:space="preserve"> D</w:t>
      </w:r>
      <w:proofErr w:type="spellStart"/>
      <w:r w:rsidRPr="007720BC">
        <w:rPr>
          <w:b/>
          <w:bCs/>
          <w:sz w:val="20"/>
          <w:szCs w:val="20"/>
          <w:lang w:val="en-US"/>
        </w:rPr>
        <w:t>esa</w:t>
      </w:r>
      <w:proofErr w:type="spellEnd"/>
      <w:r w:rsidRPr="007720BC">
        <w:rPr>
          <w:b/>
          <w:bCs/>
          <w:sz w:val="20"/>
          <w:szCs w:val="20"/>
          <w:lang w:val="id-ID"/>
        </w:rPr>
        <w:t xml:space="preserve"> Mongpok 2020-2023 </w:t>
      </w:r>
      <w:r w:rsidRPr="007720BC">
        <w:rPr>
          <w:b/>
          <w:bCs/>
          <w:sz w:val="20"/>
          <w:szCs w:val="20"/>
          <w:lang w:val="en-US"/>
        </w:rPr>
        <w:t>(</w:t>
      </w:r>
      <w:r w:rsidRPr="007720BC">
        <w:rPr>
          <w:b/>
          <w:bCs/>
          <w:sz w:val="20"/>
          <w:szCs w:val="20"/>
          <w:lang w:val="id-ID"/>
        </w:rPr>
        <w:t>Feb</w:t>
      </w:r>
      <w:proofErr w:type="spellStart"/>
      <w:r w:rsidRPr="007720BC">
        <w:rPr>
          <w:b/>
          <w:bCs/>
          <w:sz w:val="20"/>
          <w:szCs w:val="20"/>
          <w:lang w:val="en-US"/>
        </w:rPr>
        <w:t>ruari</w:t>
      </w:r>
      <w:proofErr w:type="spellEnd"/>
      <w:r w:rsidRPr="007720BC">
        <w:rPr>
          <w:b/>
          <w:bCs/>
          <w:sz w:val="20"/>
          <w:szCs w:val="20"/>
          <w:lang w:val="en-US"/>
        </w:rPr>
        <w:t xml:space="preserve"> )</w:t>
      </w:r>
    </w:p>
    <w:p w14:paraId="39E3E9CF" w14:textId="77777777" w:rsidR="00F326C9" w:rsidRPr="007720BC" w:rsidRDefault="00F326C9" w:rsidP="00F326C9">
      <w:pPr>
        <w:pStyle w:val="BodyText"/>
        <w:ind w:firstLine="720"/>
        <w:contextualSpacing/>
        <w:jc w:val="both"/>
        <w:rPr>
          <w:sz w:val="24"/>
          <w:szCs w:val="24"/>
          <w:lang w:val="en-US"/>
        </w:rPr>
      </w:pPr>
      <w:r w:rsidRPr="00B61E88">
        <w:rPr>
          <w:noProof/>
          <w:sz w:val="20"/>
          <w:szCs w:val="20"/>
        </w:rPr>
        <w:drawing>
          <wp:anchor distT="0" distB="0" distL="114300" distR="114300" simplePos="0" relativeHeight="251732992" behindDoc="1" locked="0" layoutInCell="1" allowOverlap="1" wp14:anchorId="744B2D0F" wp14:editId="783B1A40">
            <wp:simplePos x="0" y="0"/>
            <wp:positionH relativeFrom="margin">
              <wp:posOffset>0</wp:posOffset>
            </wp:positionH>
            <wp:positionV relativeFrom="paragraph">
              <wp:posOffset>48895</wp:posOffset>
            </wp:positionV>
            <wp:extent cx="5667375" cy="2362200"/>
            <wp:effectExtent l="0" t="0" r="9525" b="0"/>
            <wp:wrapNone/>
            <wp:docPr id="423240633" name="Chart 1">
              <a:extLst xmlns:a="http://schemas.openxmlformats.org/drawingml/2006/main">
                <a:ext uri="{FF2B5EF4-FFF2-40B4-BE49-F238E27FC236}">
                  <a16:creationId xmlns:a16="http://schemas.microsoft.com/office/drawing/2014/main" id="{C1472DB5-881C-EF69-F778-B013162B6F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778D878F" w14:textId="77777777" w:rsidR="00F326C9" w:rsidRPr="007720BC" w:rsidRDefault="00F326C9" w:rsidP="00F326C9">
      <w:pPr>
        <w:pStyle w:val="BodyText"/>
        <w:contextualSpacing/>
        <w:jc w:val="both"/>
        <w:rPr>
          <w:b/>
          <w:bCs/>
          <w:sz w:val="24"/>
          <w:szCs w:val="24"/>
          <w:lang w:val="en-US"/>
        </w:rPr>
      </w:pPr>
    </w:p>
    <w:p w14:paraId="0B965F3B" w14:textId="77777777" w:rsidR="00F326C9" w:rsidRPr="007720BC" w:rsidRDefault="00F326C9" w:rsidP="00F326C9">
      <w:pPr>
        <w:pStyle w:val="BodyText"/>
        <w:contextualSpacing/>
        <w:jc w:val="both"/>
        <w:rPr>
          <w:b/>
          <w:bCs/>
          <w:sz w:val="24"/>
          <w:szCs w:val="24"/>
          <w:lang w:val="en-US"/>
        </w:rPr>
      </w:pPr>
    </w:p>
    <w:p w14:paraId="22D00BAA" w14:textId="77777777" w:rsidR="00F326C9" w:rsidRPr="007720BC" w:rsidRDefault="00F326C9" w:rsidP="00F326C9">
      <w:pPr>
        <w:pStyle w:val="BodyText"/>
        <w:contextualSpacing/>
        <w:jc w:val="both"/>
        <w:rPr>
          <w:b/>
          <w:bCs/>
          <w:sz w:val="24"/>
          <w:szCs w:val="24"/>
          <w:lang w:val="en-US"/>
        </w:rPr>
      </w:pPr>
    </w:p>
    <w:p w14:paraId="225C3933" w14:textId="77777777" w:rsidR="00F326C9" w:rsidRPr="007720BC" w:rsidRDefault="00F326C9" w:rsidP="00F326C9">
      <w:pPr>
        <w:pStyle w:val="BodyText"/>
        <w:contextualSpacing/>
        <w:jc w:val="both"/>
        <w:rPr>
          <w:b/>
          <w:bCs/>
          <w:sz w:val="24"/>
          <w:szCs w:val="24"/>
          <w:lang w:val="en-US"/>
        </w:rPr>
      </w:pPr>
    </w:p>
    <w:p w14:paraId="470B1518" w14:textId="77777777" w:rsidR="00F326C9" w:rsidRPr="007720BC" w:rsidRDefault="00F326C9" w:rsidP="00F326C9">
      <w:pPr>
        <w:pStyle w:val="BodyText"/>
        <w:contextualSpacing/>
        <w:jc w:val="both"/>
        <w:rPr>
          <w:b/>
          <w:bCs/>
          <w:sz w:val="24"/>
          <w:szCs w:val="24"/>
          <w:lang w:val="en-US"/>
        </w:rPr>
      </w:pPr>
    </w:p>
    <w:p w14:paraId="0F352312" w14:textId="77777777" w:rsidR="00F326C9" w:rsidRPr="007720BC" w:rsidRDefault="00F326C9" w:rsidP="00F326C9">
      <w:pPr>
        <w:pStyle w:val="BodyText"/>
        <w:contextualSpacing/>
        <w:jc w:val="both"/>
        <w:rPr>
          <w:b/>
          <w:bCs/>
          <w:sz w:val="24"/>
          <w:szCs w:val="24"/>
          <w:lang w:val="en-US"/>
        </w:rPr>
      </w:pPr>
    </w:p>
    <w:p w14:paraId="048F2BDB" w14:textId="77777777" w:rsidR="00F326C9" w:rsidRPr="007720BC" w:rsidRDefault="00F326C9" w:rsidP="00F326C9">
      <w:pPr>
        <w:pStyle w:val="BodyText"/>
        <w:contextualSpacing/>
        <w:jc w:val="both"/>
        <w:rPr>
          <w:b/>
          <w:bCs/>
          <w:sz w:val="24"/>
          <w:szCs w:val="24"/>
          <w:lang w:val="en-US"/>
        </w:rPr>
      </w:pPr>
    </w:p>
    <w:p w14:paraId="03921A86" w14:textId="77777777" w:rsidR="00F326C9" w:rsidRPr="007720BC" w:rsidRDefault="00F326C9" w:rsidP="00F326C9">
      <w:pPr>
        <w:pStyle w:val="BodyText"/>
        <w:contextualSpacing/>
        <w:jc w:val="both"/>
        <w:rPr>
          <w:b/>
          <w:bCs/>
          <w:sz w:val="24"/>
          <w:szCs w:val="24"/>
          <w:lang w:val="en-US"/>
        </w:rPr>
      </w:pPr>
    </w:p>
    <w:p w14:paraId="17102F5E" w14:textId="77777777" w:rsidR="00F326C9" w:rsidRPr="007720BC" w:rsidRDefault="00F326C9" w:rsidP="00F326C9">
      <w:pPr>
        <w:pStyle w:val="BodyText"/>
        <w:contextualSpacing/>
        <w:jc w:val="both"/>
        <w:rPr>
          <w:b/>
          <w:bCs/>
          <w:sz w:val="24"/>
          <w:szCs w:val="24"/>
          <w:lang w:val="en-US"/>
        </w:rPr>
      </w:pPr>
    </w:p>
    <w:p w14:paraId="62F5F4D3" w14:textId="77777777" w:rsidR="00F326C9" w:rsidRPr="007720BC" w:rsidRDefault="00F326C9" w:rsidP="00F326C9">
      <w:pPr>
        <w:pStyle w:val="BodyText"/>
        <w:contextualSpacing/>
        <w:jc w:val="both"/>
        <w:rPr>
          <w:b/>
          <w:bCs/>
          <w:sz w:val="24"/>
          <w:szCs w:val="24"/>
          <w:lang w:val="en-US"/>
        </w:rPr>
      </w:pPr>
    </w:p>
    <w:p w14:paraId="10BE2E07" w14:textId="77777777" w:rsidR="00F326C9" w:rsidRPr="007720BC" w:rsidRDefault="00F326C9" w:rsidP="00F326C9">
      <w:pPr>
        <w:pStyle w:val="BodyText"/>
        <w:contextualSpacing/>
        <w:jc w:val="both"/>
        <w:rPr>
          <w:b/>
          <w:bCs/>
          <w:sz w:val="24"/>
          <w:szCs w:val="24"/>
          <w:lang w:val="en-US"/>
        </w:rPr>
      </w:pPr>
    </w:p>
    <w:p w14:paraId="6AF8812E" w14:textId="77777777" w:rsidR="00F326C9" w:rsidRPr="007720BC" w:rsidRDefault="00F326C9" w:rsidP="00F326C9">
      <w:pPr>
        <w:pStyle w:val="BodyText"/>
        <w:contextualSpacing/>
        <w:jc w:val="both"/>
        <w:rPr>
          <w:b/>
          <w:bCs/>
          <w:sz w:val="24"/>
          <w:szCs w:val="24"/>
          <w:lang w:val="en-US"/>
        </w:rPr>
      </w:pPr>
    </w:p>
    <w:p w14:paraId="5A80BC38" w14:textId="77777777" w:rsidR="00F326C9" w:rsidRPr="007720BC" w:rsidRDefault="00F326C9" w:rsidP="00F326C9">
      <w:pPr>
        <w:pStyle w:val="BodyText"/>
        <w:contextualSpacing/>
        <w:jc w:val="both"/>
        <w:rPr>
          <w:b/>
          <w:bCs/>
          <w:sz w:val="24"/>
          <w:szCs w:val="24"/>
          <w:lang w:val="en-US"/>
        </w:rPr>
      </w:pPr>
    </w:p>
    <w:p w14:paraId="17C18996" w14:textId="182FD189" w:rsidR="00F326C9" w:rsidRPr="007720BC" w:rsidRDefault="00F326C9" w:rsidP="00B61E88">
      <w:pPr>
        <w:pStyle w:val="BodyText"/>
        <w:contextualSpacing/>
        <w:jc w:val="center"/>
        <w:rPr>
          <w:b/>
          <w:bCs/>
          <w:sz w:val="20"/>
          <w:szCs w:val="20"/>
          <w:lang w:val="en-US"/>
        </w:rPr>
      </w:pPr>
      <w:proofErr w:type="spellStart"/>
      <w:r w:rsidRPr="007720BC">
        <w:rPr>
          <w:b/>
          <w:bCs/>
          <w:sz w:val="20"/>
          <w:szCs w:val="20"/>
          <w:lang w:val="en-US"/>
        </w:rPr>
        <w:t>Sumber</w:t>
      </w:r>
      <w:proofErr w:type="spellEnd"/>
      <w:r w:rsidRPr="007720BC">
        <w:rPr>
          <w:b/>
          <w:bCs/>
          <w:sz w:val="20"/>
          <w:szCs w:val="20"/>
          <w:lang w:val="en-US"/>
        </w:rPr>
        <w:t xml:space="preserve">: E-PPBGM </w:t>
      </w:r>
      <w:proofErr w:type="spellStart"/>
      <w:r w:rsidRPr="007720BC">
        <w:rPr>
          <w:b/>
          <w:bCs/>
          <w:sz w:val="20"/>
          <w:szCs w:val="20"/>
          <w:lang w:val="en-US"/>
        </w:rPr>
        <w:t>Kecamatan</w:t>
      </w:r>
      <w:proofErr w:type="spellEnd"/>
      <w:r w:rsidRPr="007720BC">
        <w:rPr>
          <w:b/>
          <w:bCs/>
          <w:sz w:val="20"/>
          <w:szCs w:val="20"/>
          <w:lang w:val="en-US"/>
        </w:rPr>
        <w:t xml:space="preserve"> </w:t>
      </w:r>
      <w:proofErr w:type="spellStart"/>
      <w:r w:rsidRPr="007720BC">
        <w:rPr>
          <w:b/>
          <w:bCs/>
          <w:sz w:val="20"/>
          <w:szCs w:val="20"/>
          <w:lang w:val="en-US"/>
        </w:rPr>
        <w:t>Cikeusal</w:t>
      </w:r>
      <w:proofErr w:type="spellEnd"/>
      <w:r w:rsidRPr="007720BC">
        <w:rPr>
          <w:b/>
          <w:bCs/>
          <w:sz w:val="20"/>
          <w:szCs w:val="20"/>
          <w:lang w:val="en-US"/>
        </w:rPr>
        <w:t>, 2023.</w:t>
      </w:r>
    </w:p>
    <w:p w14:paraId="76C7FFC7" w14:textId="77777777" w:rsidR="00F326C9" w:rsidRPr="007720BC" w:rsidRDefault="00F326C9" w:rsidP="00F326C9">
      <w:pPr>
        <w:pStyle w:val="BodyText"/>
        <w:contextualSpacing/>
        <w:jc w:val="both"/>
        <w:rPr>
          <w:b/>
          <w:bCs/>
          <w:sz w:val="20"/>
          <w:szCs w:val="20"/>
          <w:lang w:val="en-US"/>
        </w:rPr>
      </w:pPr>
    </w:p>
    <w:p w14:paraId="4A684C4C" w14:textId="77777777" w:rsidR="00EC34B0" w:rsidRPr="007720BC" w:rsidRDefault="00F326C9" w:rsidP="00EC34B0">
      <w:pPr>
        <w:pStyle w:val="BodyText"/>
        <w:ind w:firstLine="720"/>
        <w:contextualSpacing/>
        <w:jc w:val="both"/>
        <w:rPr>
          <w:sz w:val="24"/>
          <w:szCs w:val="24"/>
          <w:lang w:val="en-US"/>
        </w:rPr>
      </w:pPr>
      <w:r w:rsidRPr="007720BC">
        <w:rPr>
          <w:sz w:val="24"/>
          <w:szCs w:val="24"/>
          <w:lang w:val="en-US"/>
        </w:rPr>
        <w:t xml:space="preserve">Gambar 5 </w:t>
      </w:r>
      <w:proofErr w:type="spellStart"/>
      <w:r w:rsidRPr="007720BC">
        <w:rPr>
          <w:sz w:val="24"/>
          <w:szCs w:val="24"/>
          <w:lang w:val="en-US"/>
        </w:rPr>
        <w:t>menunjukkan</w:t>
      </w:r>
      <w:proofErr w:type="spellEnd"/>
      <w:r w:rsidRPr="007720BC">
        <w:rPr>
          <w:sz w:val="24"/>
          <w:szCs w:val="24"/>
          <w:lang w:val="en-US"/>
        </w:rPr>
        <w:t xml:space="preserve"> </w:t>
      </w:r>
      <w:proofErr w:type="spellStart"/>
      <w:r w:rsidRPr="007720BC">
        <w:rPr>
          <w:sz w:val="24"/>
          <w:szCs w:val="24"/>
          <w:lang w:val="en-US"/>
        </w:rPr>
        <w:t>bahwa</w:t>
      </w:r>
      <w:proofErr w:type="spellEnd"/>
      <w:r w:rsidRPr="007720BC">
        <w:rPr>
          <w:sz w:val="24"/>
          <w:szCs w:val="24"/>
          <w:lang w:val="en-US"/>
        </w:rPr>
        <w:t xml:space="preserve"> </w:t>
      </w:r>
      <w:proofErr w:type="spellStart"/>
      <w:r w:rsidRPr="007720BC">
        <w:rPr>
          <w:sz w:val="24"/>
          <w:szCs w:val="24"/>
          <w:lang w:val="en-US"/>
        </w:rPr>
        <w:t>tingkat</w:t>
      </w:r>
      <w:proofErr w:type="spellEnd"/>
      <w:r w:rsidRPr="007720BC">
        <w:rPr>
          <w:sz w:val="24"/>
          <w:szCs w:val="24"/>
          <w:lang w:val="en-US"/>
        </w:rPr>
        <w:t xml:space="preserve"> </w:t>
      </w:r>
      <w:proofErr w:type="spellStart"/>
      <w:r w:rsidRPr="007720BC">
        <w:rPr>
          <w:sz w:val="24"/>
          <w:szCs w:val="24"/>
          <w:lang w:val="en-US"/>
        </w:rPr>
        <w:t>penurunan</w:t>
      </w:r>
      <w:proofErr w:type="spellEnd"/>
      <w:r w:rsidRPr="007720BC">
        <w:rPr>
          <w:sz w:val="24"/>
          <w:szCs w:val="24"/>
          <w:lang w:val="en-US"/>
        </w:rPr>
        <w:t xml:space="preserve"> stunting, </w:t>
      </w:r>
      <w:proofErr w:type="spellStart"/>
      <w:r w:rsidRPr="007720BC">
        <w:rPr>
          <w:sz w:val="24"/>
          <w:szCs w:val="24"/>
          <w:lang w:val="en-US"/>
        </w:rPr>
        <w:t>gizi</w:t>
      </w:r>
      <w:proofErr w:type="spellEnd"/>
      <w:r w:rsidRPr="007720BC">
        <w:rPr>
          <w:sz w:val="24"/>
          <w:szCs w:val="24"/>
          <w:lang w:val="en-US"/>
        </w:rPr>
        <w:t xml:space="preserve"> </w:t>
      </w:r>
      <w:proofErr w:type="spellStart"/>
      <w:r w:rsidRPr="007720BC">
        <w:rPr>
          <w:sz w:val="24"/>
          <w:szCs w:val="24"/>
          <w:lang w:val="en-US"/>
        </w:rPr>
        <w:t>kurang</w:t>
      </w:r>
      <w:proofErr w:type="spellEnd"/>
      <w:r w:rsidRPr="007720BC">
        <w:rPr>
          <w:sz w:val="24"/>
          <w:szCs w:val="24"/>
          <w:lang w:val="en-US"/>
        </w:rPr>
        <w:t xml:space="preserve"> dan </w:t>
      </w:r>
      <w:proofErr w:type="spellStart"/>
      <w:r w:rsidRPr="007720BC">
        <w:rPr>
          <w:sz w:val="24"/>
          <w:szCs w:val="24"/>
          <w:lang w:val="en-US"/>
        </w:rPr>
        <w:t>gizi</w:t>
      </w:r>
      <w:proofErr w:type="spellEnd"/>
      <w:r w:rsidRPr="007720BC">
        <w:rPr>
          <w:sz w:val="24"/>
          <w:szCs w:val="24"/>
          <w:lang w:val="en-US"/>
        </w:rPr>
        <w:t xml:space="preserve"> </w:t>
      </w:r>
      <w:proofErr w:type="spellStart"/>
      <w:r w:rsidRPr="007720BC">
        <w:rPr>
          <w:sz w:val="24"/>
          <w:szCs w:val="24"/>
          <w:lang w:val="en-US"/>
        </w:rPr>
        <w:t>buruk</w:t>
      </w:r>
      <w:proofErr w:type="spellEnd"/>
      <w:r w:rsidRPr="007720BC">
        <w:rPr>
          <w:sz w:val="24"/>
          <w:szCs w:val="24"/>
          <w:lang w:val="en-US"/>
        </w:rPr>
        <w:t xml:space="preserve"> di Desa </w:t>
      </w:r>
      <w:proofErr w:type="spellStart"/>
      <w:r w:rsidRPr="007720BC">
        <w:rPr>
          <w:sz w:val="24"/>
          <w:szCs w:val="24"/>
          <w:lang w:val="en-US"/>
        </w:rPr>
        <w:t>Mongpok</w:t>
      </w:r>
      <w:proofErr w:type="spellEnd"/>
      <w:r w:rsidRPr="007720BC">
        <w:rPr>
          <w:sz w:val="24"/>
          <w:szCs w:val="24"/>
          <w:lang w:val="en-US"/>
        </w:rPr>
        <w:t xml:space="preserve"> </w:t>
      </w:r>
      <w:proofErr w:type="spellStart"/>
      <w:r w:rsidRPr="007720BC">
        <w:rPr>
          <w:sz w:val="24"/>
          <w:szCs w:val="24"/>
          <w:lang w:val="en-US"/>
        </w:rPr>
        <w:t>Kecamatan</w:t>
      </w:r>
      <w:proofErr w:type="spellEnd"/>
      <w:r w:rsidRPr="007720BC">
        <w:rPr>
          <w:sz w:val="24"/>
          <w:szCs w:val="24"/>
          <w:lang w:val="en-US"/>
        </w:rPr>
        <w:t xml:space="preserve"> </w:t>
      </w:r>
      <w:proofErr w:type="spellStart"/>
      <w:r w:rsidRPr="007720BC">
        <w:rPr>
          <w:sz w:val="24"/>
          <w:szCs w:val="24"/>
          <w:lang w:val="en-US"/>
        </w:rPr>
        <w:t>Cikeusal</w:t>
      </w:r>
      <w:proofErr w:type="spellEnd"/>
      <w:r w:rsidRPr="007720BC">
        <w:rPr>
          <w:sz w:val="24"/>
          <w:szCs w:val="24"/>
          <w:lang w:val="en-US"/>
        </w:rPr>
        <w:t xml:space="preserve"> </w:t>
      </w:r>
      <w:proofErr w:type="spellStart"/>
      <w:r w:rsidRPr="007720BC">
        <w:rPr>
          <w:sz w:val="24"/>
          <w:szCs w:val="24"/>
          <w:lang w:val="en-US"/>
        </w:rPr>
        <w:t>mengalami</w:t>
      </w:r>
      <w:proofErr w:type="spellEnd"/>
      <w:r w:rsidRPr="007720BC">
        <w:rPr>
          <w:sz w:val="24"/>
          <w:szCs w:val="24"/>
          <w:lang w:val="en-US"/>
        </w:rPr>
        <w:t xml:space="preserve"> </w:t>
      </w:r>
      <w:proofErr w:type="spellStart"/>
      <w:r w:rsidRPr="007720BC">
        <w:rPr>
          <w:sz w:val="24"/>
          <w:szCs w:val="24"/>
          <w:lang w:val="en-US"/>
        </w:rPr>
        <w:t>tingkat</w:t>
      </w:r>
      <w:proofErr w:type="spellEnd"/>
      <w:r w:rsidRPr="007720BC">
        <w:rPr>
          <w:sz w:val="24"/>
          <w:szCs w:val="24"/>
          <w:lang w:val="en-US"/>
        </w:rPr>
        <w:t xml:space="preserve"> </w:t>
      </w:r>
      <w:proofErr w:type="spellStart"/>
      <w:r w:rsidRPr="007720BC">
        <w:rPr>
          <w:sz w:val="24"/>
          <w:szCs w:val="24"/>
          <w:lang w:val="en-US"/>
        </w:rPr>
        <w:t>penurunan</w:t>
      </w:r>
      <w:proofErr w:type="spellEnd"/>
      <w:r w:rsidRPr="007720BC">
        <w:rPr>
          <w:sz w:val="24"/>
          <w:szCs w:val="24"/>
          <w:lang w:val="en-US"/>
        </w:rPr>
        <w:t xml:space="preserve"> yang </w:t>
      </w:r>
      <w:proofErr w:type="spellStart"/>
      <w:r w:rsidRPr="007720BC">
        <w:rPr>
          <w:sz w:val="24"/>
          <w:szCs w:val="24"/>
          <w:lang w:val="en-US"/>
        </w:rPr>
        <w:t>cukup</w:t>
      </w:r>
      <w:proofErr w:type="spellEnd"/>
      <w:r w:rsidRPr="007720BC">
        <w:rPr>
          <w:sz w:val="24"/>
          <w:szCs w:val="24"/>
          <w:lang w:val="en-US"/>
        </w:rPr>
        <w:t xml:space="preserve"> </w:t>
      </w:r>
      <w:proofErr w:type="spellStart"/>
      <w:r w:rsidRPr="007720BC">
        <w:rPr>
          <w:sz w:val="24"/>
          <w:szCs w:val="24"/>
          <w:lang w:val="en-US"/>
        </w:rPr>
        <w:t>signifikan</w:t>
      </w:r>
      <w:proofErr w:type="spellEnd"/>
      <w:r w:rsidRPr="007720BC">
        <w:rPr>
          <w:sz w:val="24"/>
          <w:szCs w:val="24"/>
          <w:lang w:val="en-US"/>
        </w:rPr>
        <w:t xml:space="preserve"> </w:t>
      </w:r>
      <w:proofErr w:type="spellStart"/>
      <w:r w:rsidRPr="007720BC">
        <w:rPr>
          <w:sz w:val="24"/>
          <w:szCs w:val="24"/>
          <w:lang w:val="en-US"/>
        </w:rPr>
        <w:t>terutama</w:t>
      </w:r>
      <w:proofErr w:type="spellEnd"/>
      <w:r w:rsidRPr="007720BC">
        <w:rPr>
          <w:sz w:val="24"/>
          <w:szCs w:val="24"/>
          <w:lang w:val="en-US"/>
        </w:rPr>
        <w:t xml:space="preserve"> </w:t>
      </w:r>
      <w:proofErr w:type="spellStart"/>
      <w:r w:rsidRPr="007720BC">
        <w:rPr>
          <w:sz w:val="24"/>
          <w:szCs w:val="24"/>
          <w:lang w:val="en-US"/>
        </w:rPr>
        <w:t>untuk</w:t>
      </w:r>
      <w:proofErr w:type="spellEnd"/>
      <w:r w:rsidRPr="007720BC">
        <w:rPr>
          <w:sz w:val="24"/>
          <w:szCs w:val="24"/>
          <w:lang w:val="en-US"/>
        </w:rPr>
        <w:t xml:space="preserve"> </w:t>
      </w:r>
      <w:proofErr w:type="spellStart"/>
      <w:r w:rsidRPr="007720BC">
        <w:rPr>
          <w:sz w:val="24"/>
          <w:szCs w:val="24"/>
          <w:lang w:val="en-US"/>
        </w:rPr>
        <w:t>prevalensi</w:t>
      </w:r>
      <w:proofErr w:type="spellEnd"/>
      <w:r w:rsidRPr="007720BC">
        <w:rPr>
          <w:sz w:val="24"/>
          <w:szCs w:val="24"/>
          <w:lang w:val="en-US"/>
        </w:rPr>
        <w:t xml:space="preserve"> stunting </w:t>
      </w:r>
      <w:proofErr w:type="spellStart"/>
      <w:r w:rsidRPr="007720BC">
        <w:rPr>
          <w:sz w:val="24"/>
          <w:szCs w:val="24"/>
          <w:lang w:val="en-US"/>
        </w:rPr>
        <w:t>dimana</w:t>
      </w:r>
      <w:proofErr w:type="spellEnd"/>
      <w:r w:rsidRPr="007720BC">
        <w:rPr>
          <w:sz w:val="24"/>
          <w:szCs w:val="24"/>
          <w:lang w:val="en-US"/>
        </w:rPr>
        <w:t xml:space="preserve"> </w:t>
      </w:r>
      <w:proofErr w:type="spellStart"/>
      <w:r w:rsidRPr="007720BC">
        <w:rPr>
          <w:sz w:val="24"/>
          <w:szCs w:val="24"/>
          <w:lang w:val="en-US"/>
        </w:rPr>
        <w:t>dari</w:t>
      </w:r>
      <w:proofErr w:type="spellEnd"/>
      <w:r w:rsidRPr="007720BC">
        <w:rPr>
          <w:sz w:val="24"/>
          <w:szCs w:val="24"/>
          <w:lang w:val="en-US"/>
        </w:rPr>
        <w:t xml:space="preserve"> </w:t>
      </w:r>
      <w:proofErr w:type="spellStart"/>
      <w:r w:rsidRPr="007720BC">
        <w:rPr>
          <w:sz w:val="24"/>
          <w:szCs w:val="24"/>
          <w:lang w:val="en-US"/>
        </w:rPr>
        <w:t>periode</w:t>
      </w:r>
      <w:proofErr w:type="spellEnd"/>
      <w:r w:rsidRPr="007720BC">
        <w:rPr>
          <w:sz w:val="24"/>
          <w:szCs w:val="24"/>
          <w:lang w:val="en-US"/>
        </w:rPr>
        <w:t xml:space="preserve"> </w:t>
      </w:r>
      <w:proofErr w:type="spellStart"/>
      <w:r w:rsidRPr="007720BC">
        <w:rPr>
          <w:sz w:val="24"/>
          <w:szCs w:val="24"/>
          <w:lang w:val="en-US"/>
        </w:rPr>
        <w:t>tahun</w:t>
      </w:r>
      <w:proofErr w:type="spellEnd"/>
      <w:r w:rsidRPr="007720BC">
        <w:rPr>
          <w:sz w:val="24"/>
          <w:szCs w:val="24"/>
          <w:lang w:val="en-US"/>
        </w:rPr>
        <w:t xml:space="preserve"> 2020 </w:t>
      </w:r>
      <w:proofErr w:type="spellStart"/>
      <w:r w:rsidRPr="007720BC">
        <w:rPr>
          <w:sz w:val="24"/>
          <w:szCs w:val="24"/>
          <w:lang w:val="en-US"/>
        </w:rPr>
        <w:t>sampai</w:t>
      </w:r>
      <w:proofErr w:type="spellEnd"/>
      <w:r w:rsidRPr="007720BC">
        <w:rPr>
          <w:sz w:val="24"/>
          <w:szCs w:val="24"/>
          <w:lang w:val="en-US"/>
        </w:rPr>
        <w:t xml:space="preserve"> </w:t>
      </w:r>
      <w:proofErr w:type="spellStart"/>
      <w:r w:rsidRPr="007720BC">
        <w:rPr>
          <w:sz w:val="24"/>
          <w:szCs w:val="24"/>
          <w:lang w:val="en-US"/>
        </w:rPr>
        <w:t>dengan</w:t>
      </w:r>
      <w:proofErr w:type="spellEnd"/>
      <w:r w:rsidRPr="007720BC">
        <w:rPr>
          <w:sz w:val="24"/>
          <w:szCs w:val="24"/>
          <w:lang w:val="en-US"/>
        </w:rPr>
        <w:t xml:space="preserve"> </w:t>
      </w:r>
      <w:proofErr w:type="spellStart"/>
      <w:r w:rsidRPr="007720BC">
        <w:rPr>
          <w:sz w:val="24"/>
          <w:szCs w:val="24"/>
          <w:lang w:val="en-US"/>
        </w:rPr>
        <w:t>bulan</w:t>
      </w:r>
      <w:proofErr w:type="spellEnd"/>
      <w:r w:rsidRPr="007720BC">
        <w:rPr>
          <w:sz w:val="24"/>
          <w:szCs w:val="24"/>
          <w:lang w:val="en-US"/>
        </w:rPr>
        <w:t xml:space="preserve"> </w:t>
      </w:r>
      <w:proofErr w:type="spellStart"/>
      <w:r w:rsidRPr="007720BC">
        <w:rPr>
          <w:sz w:val="24"/>
          <w:szCs w:val="24"/>
          <w:lang w:val="en-US"/>
        </w:rPr>
        <w:t>Februari</w:t>
      </w:r>
      <w:proofErr w:type="spellEnd"/>
      <w:r w:rsidRPr="007720BC">
        <w:rPr>
          <w:sz w:val="24"/>
          <w:szCs w:val="24"/>
          <w:lang w:val="en-US"/>
        </w:rPr>
        <w:t xml:space="preserve"> 2023 sangat </w:t>
      </w:r>
      <w:proofErr w:type="spellStart"/>
      <w:r w:rsidRPr="007720BC">
        <w:rPr>
          <w:sz w:val="24"/>
          <w:szCs w:val="24"/>
          <w:lang w:val="en-US"/>
        </w:rPr>
        <w:t>signifikan</w:t>
      </w:r>
      <w:proofErr w:type="spellEnd"/>
      <w:r w:rsidRPr="007720BC">
        <w:rPr>
          <w:sz w:val="24"/>
          <w:szCs w:val="24"/>
          <w:lang w:val="en-US"/>
        </w:rPr>
        <w:t xml:space="preserve">. pada </w:t>
      </w:r>
      <w:proofErr w:type="spellStart"/>
      <w:r w:rsidRPr="007720BC">
        <w:rPr>
          <w:sz w:val="24"/>
          <w:szCs w:val="24"/>
          <w:lang w:val="en-US"/>
        </w:rPr>
        <w:t>tahun</w:t>
      </w:r>
      <w:proofErr w:type="spellEnd"/>
      <w:r w:rsidRPr="007720BC">
        <w:rPr>
          <w:sz w:val="24"/>
          <w:szCs w:val="24"/>
          <w:lang w:val="en-US"/>
        </w:rPr>
        <w:t xml:space="preserve"> 2020 </w:t>
      </w:r>
      <w:proofErr w:type="spellStart"/>
      <w:r w:rsidRPr="007720BC">
        <w:rPr>
          <w:sz w:val="24"/>
          <w:szCs w:val="24"/>
          <w:lang w:val="en-US"/>
        </w:rPr>
        <w:t>pravelensi</w:t>
      </w:r>
      <w:proofErr w:type="spellEnd"/>
      <w:r w:rsidRPr="007720BC">
        <w:rPr>
          <w:sz w:val="24"/>
          <w:szCs w:val="24"/>
          <w:lang w:val="en-US"/>
        </w:rPr>
        <w:t xml:space="preserve"> stunting </w:t>
      </w:r>
      <w:proofErr w:type="spellStart"/>
      <w:r w:rsidRPr="007720BC">
        <w:rPr>
          <w:sz w:val="24"/>
          <w:szCs w:val="24"/>
          <w:lang w:val="en-US"/>
        </w:rPr>
        <w:t>mencapai</w:t>
      </w:r>
      <w:proofErr w:type="spellEnd"/>
      <w:r w:rsidRPr="007720BC">
        <w:rPr>
          <w:sz w:val="24"/>
          <w:szCs w:val="24"/>
          <w:lang w:val="en-US"/>
        </w:rPr>
        <w:t xml:space="preserve"> </w:t>
      </w:r>
      <w:proofErr w:type="spellStart"/>
      <w:r w:rsidRPr="007720BC">
        <w:rPr>
          <w:sz w:val="24"/>
          <w:szCs w:val="24"/>
          <w:lang w:val="en-US"/>
        </w:rPr>
        <w:t>angka</w:t>
      </w:r>
      <w:proofErr w:type="spellEnd"/>
      <w:r w:rsidRPr="007720BC">
        <w:rPr>
          <w:sz w:val="24"/>
          <w:szCs w:val="24"/>
          <w:lang w:val="en-US"/>
        </w:rPr>
        <w:t xml:space="preserve"> 55% dan </w:t>
      </w:r>
      <w:proofErr w:type="spellStart"/>
      <w:r w:rsidRPr="007720BC">
        <w:rPr>
          <w:sz w:val="24"/>
          <w:szCs w:val="24"/>
          <w:lang w:val="en-US"/>
        </w:rPr>
        <w:t>mengalami</w:t>
      </w:r>
      <w:proofErr w:type="spellEnd"/>
      <w:r w:rsidRPr="007720BC">
        <w:rPr>
          <w:sz w:val="24"/>
          <w:szCs w:val="24"/>
          <w:lang w:val="en-US"/>
        </w:rPr>
        <w:t xml:space="preserve"> </w:t>
      </w:r>
      <w:proofErr w:type="spellStart"/>
      <w:r w:rsidRPr="007720BC">
        <w:rPr>
          <w:sz w:val="24"/>
          <w:szCs w:val="24"/>
          <w:lang w:val="en-US"/>
        </w:rPr>
        <w:t>penurunan</w:t>
      </w:r>
      <w:proofErr w:type="spellEnd"/>
      <w:r w:rsidRPr="007720BC">
        <w:rPr>
          <w:sz w:val="24"/>
          <w:szCs w:val="24"/>
          <w:lang w:val="en-US"/>
        </w:rPr>
        <w:t xml:space="preserve"> pada </w:t>
      </w:r>
      <w:proofErr w:type="spellStart"/>
      <w:r w:rsidRPr="007720BC">
        <w:rPr>
          <w:sz w:val="24"/>
          <w:szCs w:val="24"/>
          <w:lang w:val="en-US"/>
        </w:rPr>
        <w:t>tahun</w:t>
      </w:r>
      <w:proofErr w:type="spellEnd"/>
      <w:r w:rsidRPr="007720BC">
        <w:rPr>
          <w:sz w:val="24"/>
          <w:szCs w:val="24"/>
          <w:lang w:val="en-US"/>
        </w:rPr>
        <w:t xml:space="preserve"> 2021 </w:t>
      </w:r>
      <w:proofErr w:type="spellStart"/>
      <w:r w:rsidRPr="007720BC">
        <w:rPr>
          <w:sz w:val="24"/>
          <w:szCs w:val="24"/>
          <w:lang w:val="en-US"/>
        </w:rPr>
        <w:t>sebesar</w:t>
      </w:r>
      <w:proofErr w:type="spellEnd"/>
      <w:r w:rsidRPr="007720BC">
        <w:rPr>
          <w:sz w:val="24"/>
          <w:szCs w:val="24"/>
          <w:lang w:val="en-US"/>
        </w:rPr>
        <w:t xml:space="preserve"> 39,70%, </w:t>
      </w:r>
      <w:proofErr w:type="spellStart"/>
      <w:r w:rsidRPr="007720BC">
        <w:rPr>
          <w:sz w:val="24"/>
          <w:szCs w:val="24"/>
          <w:lang w:val="en-US"/>
        </w:rPr>
        <w:t>tahun</w:t>
      </w:r>
      <w:proofErr w:type="spellEnd"/>
      <w:r w:rsidRPr="007720BC">
        <w:rPr>
          <w:sz w:val="24"/>
          <w:szCs w:val="24"/>
          <w:lang w:val="en-US"/>
        </w:rPr>
        <w:t xml:space="preserve"> 2022 </w:t>
      </w:r>
      <w:proofErr w:type="spellStart"/>
      <w:r w:rsidRPr="007720BC">
        <w:rPr>
          <w:sz w:val="24"/>
          <w:szCs w:val="24"/>
          <w:lang w:val="en-US"/>
        </w:rPr>
        <w:t>sebesar</w:t>
      </w:r>
      <w:proofErr w:type="spellEnd"/>
      <w:r w:rsidRPr="007720BC">
        <w:rPr>
          <w:sz w:val="24"/>
          <w:szCs w:val="24"/>
          <w:lang w:val="en-US"/>
        </w:rPr>
        <w:t xml:space="preserve"> 17,10% dan pada </w:t>
      </w:r>
      <w:proofErr w:type="spellStart"/>
      <w:r w:rsidRPr="007720BC">
        <w:rPr>
          <w:sz w:val="24"/>
          <w:szCs w:val="24"/>
          <w:lang w:val="en-US"/>
        </w:rPr>
        <w:t>bulan</w:t>
      </w:r>
      <w:proofErr w:type="spellEnd"/>
      <w:r w:rsidRPr="007720BC">
        <w:rPr>
          <w:sz w:val="24"/>
          <w:szCs w:val="24"/>
          <w:lang w:val="en-US"/>
        </w:rPr>
        <w:t xml:space="preserve"> </w:t>
      </w:r>
      <w:proofErr w:type="spellStart"/>
      <w:r w:rsidRPr="007720BC">
        <w:rPr>
          <w:sz w:val="24"/>
          <w:szCs w:val="24"/>
          <w:lang w:val="en-US"/>
        </w:rPr>
        <w:t>februari</w:t>
      </w:r>
      <w:proofErr w:type="spellEnd"/>
      <w:r w:rsidRPr="007720BC">
        <w:rPr>
          <w:sz w:val="24"/>
          <w:szCs w:val="24"/>
          <w:lang w:val="en-US"/>
        </w:rPr>
        <w:t xml:space="preserve"> 2023 </w:t>
      </w:r>
      <w:proofErr w:type="spellStart"/>
      <w:r w:rsidRPr="007720BC">
        <w:rPr>
          <w:sz w:val="24"/>
          <w:szCs w:val="24"/>
          <w:lang w:val="en-US"/>
        </w:rPr>
        <w:t>mencapai</w:t>
      </w:r>
      <w:proofErr w:type="spellEnd"/>
      <w:r w:rsidRPr="007720BC">
        <w:rPr>
          <w:sz w:val="24"/>
          <w:szCs w:val="24"/>
          <w:lang w:val="en-US"/>
        </w:rPr>
        <w:t xml:space="preserve"> </w:t>
      </w:r>
      <w:proofErr w:type="spellStart"/>
      <w:r w:rsidRPr="007720BC">
        <w:rPr>
          <w:sz w:val="24"/>
          <w:szCs w:val="24"/>
          <w:lang w:val="en-US"/>
        </w:rPr>
        <w:t>angka</w:t>
      </w:r>
      <w:proofErr w:type="spellEnd"/>
      <w:r w:rsidRPr="007720BC">
        <w:rPr>
          <w:sz w:val="24"/>
          <w:szCs w:val="24"/>
          <w:lang w:val="en-US"/>
        </w:rPr>
        <w:t xml:space="preserve"> 15%. </w:t>
      </w:r>
    </w:p>
    <w:p w14:paraId="6189CC8C" w14:textId="428B843F" w:rsidR="00E66AE5" w:rsidRPr="007720BC" w:rsidRDefault="003C6F7D" w:rsidP="00E66AE5">
      <w:pPr>
        <w:pStyle w:val="BodyText"/>
        <w:ind w:firstLine="720"/>
        <w:contextualSpacing/>
        <w:jc w:val="both"/>
        <w:rPr>
          <w:w w:val="105"/>
          <w:sz w:val="24"/>
          <w:szCs w:val="24"/>
          <w:lang w:val="en-US"/>
        </w:rPr>
      </w:pPr>
      <w:r w:rsidRPr="007720BC">
        <w:rPr>
          <w:sz w:val="24"/>
          <w:szCs w:val="24"/>
          <w:lang w:val="en-US"/>
        </w:rPr>
        <w:t xml:space="preserve">Hasil </w:t>
      </w:r>
      <w:proofErr w:type="spellStart"/>
      <w:r w:rsidRPr="007720BC">
        <w:rPr>
          <w:sz w:val="24"/>
          <w:szCs w:val="24"/>
          <w:lang w:val="en-US"/>
        </w:rPr>
        <w:t>penelitian</w:t>
      </w:r>
      <w:proofErr w:type="spellEnd"/>
      <w:r w:rsidR="00FE039D" w:rsidRPr="007720BC">
        <w:rPr>
          <w:sz w:val="24"/>
          <w:szCs w:val="24"/>
          <w:lang w:val="en-US"/>
        </w:rPr>
        <w:t xml:space="preserve"> </w:t>
      </w:r>
      <w:proofErr w:type="spellStart"/>
      <w:r w:rsidR="00FE039D" w:rsidRPr="007720BC">
        <w:rPr>
          <w:sz w:val="24"/>
          <w:szCs w:val="24"/>
          <w:lang w:val="en-US"/>
        </w:rPr>
        <w:t>menunjukkan</w:t>
      </w:r>
      <w:proofErr w:type="spellEnd"/>
      <w:r w:rsidR="00FE039D" w:rsidRPr="007720BC">
        <w:rPr>
          <w:sz w:val="24"/>
          <w:szCs w:val="24"/>
          <w:lang w:val="en-US"/>
        </w:rPr>
        <w:t xml:space="preserve"> </w:t>
      </w:r>
      <w:proofErr w:type="spellStart"/>
      <w:r w:rsidR="00FE039D" w:rsidRPr="007720BC">
        <w:rPr>
          <w:sz w:val="24"/>
          <w:szCs w:val="24"/>
          <w:lang w:val="en-US"/>
        </w:rPr>
        <w:t>bahwa</w:t>
      </w:r>
      <w:proofErr w:type="spellEnd"/>
      <w:r w:rsidR="00FE039D" w:rsidRPr="007720BC">
        <w:rPr>
          <w:sz w:val="24"/>
          <w:szCs w:val="24"/>
          <w:lang w:val="en-US"/>
        </w:rPr>
        <w:t xml:space="preserve"> </w:t>
      </w:r>
      <w:proofErr w:type="spellStart"/>
      <w:r w:rsidR="00FE039D" w:rsidRPr="007720BC">
        <w:rPr>
          <w:sz w:val="24"/>
          <w:szCs w:val="24"/>
          <w:lang w:val="en-US"/>
        </w:rPr>
        <w:t>keberadaan</w:t>
      </w:r>
      <w:proofErr w:type="spellEnd"/>
      <w:r w:rsidR="00FE039D" w:rsidRPr="007720BC">
        <w:rPr>
          <w:sz w:val="24"/>
          <w:szCs w:val="24"/>
          <w:lang w:val="en-US"/>
        </w:rPr>
        <w:t xml:space="preserve"> </w:t>
      </w:r>
      <w:bookmarkStart w:id="10" w:name="_Hlk142404640"/>
      <w:r w:rsidR="00FE039D" w:rsidRPr="007720BC">
        <w:rPr>
          <w:sz w:val="24"/>
          <w:szCs w:val="24"/>
          <w:lang w:val="en-US"/>
        </w:rPr>
        <w:t xml:space="preserve">Kampung KB </w:t>
      </w:r>
      <w:proofErr w:type="spellStart"/>
      <w:r w:rsidR="00FE039D" w:rsidRPr="007720BC">
        <w:rPr>
          <w:sz w:val="24"/>
          <w:szCs w:val="24"/>
          <w:lang w:val="en-US"/>
        </w:rPr>
        <w:t>sebagai</w:t>
      </w:r>
      <w:proofErr w:type="spellEnd"/>
      <w:r w:rsidR="00FE039D" w:rsidRPr="007720BC">
        <w:rPr>
          <w:sz w:val="24"/>
          <w:szCs w:val="24"/>
          <w:lang w:val="en-US"/>
        </w:rPr>
        <w:t xml:space="preserve"> Gerakan Bersama </w:t>
      </w:r>
      <w:proofErr w:type="spellStart"/>
      <w:r w:rsidR="00CD026A" w:rsidRPr="007720BC">
        <w:rPr>
          <w:sz w:val="24"/>
          <w:szCs w:val="24"/>
          <w:lang w:val="en-US"/>
        </w:rPr>
        <w:t>memiliki</w:t>
      </w:r>
      <w:proofErr w:type="spellEnd"/>
      <w:r w:rsidR="00CD026A" w:rsidRPr="007720BC">
        <w:rPr>
          <w:sz w:val="24"/>
          <w:szCs w:val="24"/>
          <w:lang w:val="en-US"/>
        </w:rPr>
        <w:t xml:space="preserve"> </w:t>
      </w:r>
      <w:proofErr w:type="spellStart"/>
      <w:r w:rsidR="00CD026A" w:rsidRPr="007720BC">
        <w:rPr>
          <w:sz w:val="24"/>
          <w:szCs w:val="24"/>
          <w:lang w:val="en-US"/>
        </w:rPr>
        <w:t>dampak</w:t>
      </w:r>
      <w:proofErr w:type="spellEnd"/>
      <w:r w:rsidR="00FE039D" w:rsidRPr="007720BC">
        <w:rPr>
          <w:sz w:val="24"/>
          <w:szCs w:val="24"/>
          <w:lang w:val="en-US"/>
        </w:rPr>
        <w:t xml:space="preserve"> </w:t>
      </w:r>
      <w:r w:rsidR="00CD026A" w:rsidRPr="007720BC">
        <w:rPr>
          <w:sz w:val="24"/>
          <w:szCs w:val="24"/>
          <w:lang w:val="en-US"/>
        </w:rPr>
        <w:t>pada</w:t>
      </w:r>
      <w:r w:rsidR="00910C3A" w:rsidRPr="007720BC">
        <w:rPr>
          <w:sz w:val="24"/>
          <w:szCs w:val="24"/>
          <w:lang w:val="en-US"/>
        </w:rPr>
        <w:t xml:space="preserve"> </w:t>
      </w:r>
      <w:proofErr w:type="spellStart"/>
      <w:r w:rsidRPr="007720BC">
        <w:rPr>
          <w:sz w:val="24"/>
          <w:szCs w:val="24"/>
          <w:lang w:val="en-US"/>
        </w:rPr>
        <w:t>percepatan</w:t>
      </w:r>
      <w:proofErr w:type="spellEnd"/>
      <w:r w:rsidRPr="007720BC">
        <w:rPr>
          <w:sz w:val="24"/>
          <w:szCs w:val="24"/>
          <w:lang w:val="en-US"/>
        </w:rPr>
        <w:t xml:space="preserve"> </w:t>
      </w:r>
      <w:proofErr w:type="spellStart"/>
      <w:r w:rsidRPr="007720BC">
        <w:rPr>
          <w:sz w:val="24"/>
          <w:szCs w:val="24"/>
          <w:lang w:val="en-US"/>
        </w:rPr>
        <w:t>penurunan</w:t>
      </w:r>
      <w:proofErr w:type="spellEnd"/>
      <w:r w:rsidR="00FE039D" w:rsidRPr="007720BC">
        <w:rPr>
          <w:sz w:val="24"/>
          <w:szCs w:val="24"/>
          <w:lang w:val="en-US"/>
        </w:rPr>
        <w:t xml:space="preserve"> stunting di </w:t>
      </w:r>
      <w:proofErr w:type="spellStart"/>
      <w:r w:rsidR="00FE039D" w:rsidRPr="007720BC">
        <w:rPr>
          <w:sz w:val="24"/>
          <w:szCs w:val="24"/>
          <w:lang w:val="en-US"/>
        </w:rPr>
        <w:t>tingkat</w:t>
      </w:r>
      <w:proofErr w:type="spellEnd"/>
      <w:r w:rsidR="00FE039D" w:rsidRPr="007720BC">
        <w:rPr>
          <w:sz w:val="24"/>
          <w:szCs w:val="24"/>
          <w:lang w:val="en-US"/>
        </w:rPr>
        <w:t xml:space="preserve"> </w:t>
      </w:r>
      <w:proofErr w:type="spellStart"/>
      <w:r w:rsidR="00FE039D" w:rsidRPr="007720BC">
        <w:rPr>
          <w:sz w:val="24"/>
          <w:szCs w:val="24"/>
          <w:lang w:val="en-US"/>
        </w:rPr>
        <w:t>desa</w:t>
      </w:r>
      <w:bookmarkEnd w:id="10"/>
      <w:proofErr w:type="spellEnd"/>
      <w:r w:rsidR="00FE039D" w:rsidRPr="007720BC">
        <w:rPr>
          <w:sz w:val="24"/>
          <w:szCs w:val="24"/>
          <w:lang w:val="en-US"/>
        </w:rPr>
        <w:t xml:space="preserve">. </w:t>
      </w:r>
      <w:bookmarkStart w:id="11" w:name="_Hlk142404667"/>
      <w:proofErr w:type="spellStart"/>
      <w:r w:rsidR="00FE039D" w:rsidRPr="007720BC">
        <w:rPr>
          <w:sz w:val="24"/>
          <w:szCs w:val="24"/>
          <w:lang w:val="en-US"/>
        </w:rPr>
        <w:t>Intervensi</w:t>
      </w:r>
      <w:proofErr w:type="spellEnd"/>
      <w:r w:rsidR="00FE039D" w:rsidRPr="007720BC">
        <w:rPr>
          <w:sz w:val="24"/>
          <w:szCs w:val="24"/>
          <w:lang w:val="en-US"/>
        </w:rPr>
        <w:t xml:space="preserve"> </w:t>
      </w:r>
      <w:proofErr w:type="spellStart"/>
      <w:r w:rsidR="00FE039D" w:rsidRPr="007720BC">
        <w:rPr>
          <w:sz w:val="24"/>
          <w:szCs w:val="24"/>
          <w:lang w:val="en-US"/>
        </w:rPr>
        <w:t>spesifik</w:t>
      </w:r>
      <w:proofErr w:type="spellEnd"/>
      <w:r w:rsidR="00FE039D" w:rsidRPr="007720BC">
        <w:rPr>
          <w:sz w:val="24"/>
          <w:szCs w:val="24"/>
          <w:lang w:val="en-US"/>
        </w:rPr>
        <w:t xml:space="preserve"> dan </w:t>
      </w:r>
      <w:proofErr w:type="spellStart"/>
      <w:r w:rsidR="00FE039D" w:rsidRPr="007720BC">
        <w:rPr>
          <w:sz w:val="24"/>
          <w:szCs w:val="24"/>
          <w:lang w:val="en-US"/>
        </w:rPr>
        <w:t>sensitif</w:t>
      </w:r>
      <w:proofErr w:type="spellEnd"/>
      <w:r w:rsidR="00FE039D" w:rsidRPr="007720BC">
        <w:rPr>
          <w:sz w:val="24"/>
          <w:szCs w:val="24"/>
          <w:lang w:val="en-US"/>
        </w:rPr>
        <w:t xml:space="preserve"> </w:t>
      </w:r>
      <w:bookmarkEnd w:id="11"/>
      <w:r w:rsidR="00FE039D" w:rsidRPr="007720BC">
        <w:rPr>
          <w:sz w:val="24"/>
          <w:szCs w:val="24"/>
          <w:lang w:val="en-US"/>
        </w:rPr>
        <w:t xml:space="preserve">yang </w:t>
      </w:r>
      <w:r w:rsidR="00FE039D" w:rsidRPr="007720BC">
        <w:rPr>
          <w:sz w:val="24"/>
          <w:szCs w:val="24"/>
        </w:rPr>
        <w:t xml:space="preserve">merupakan kegiatan yang langsung </w:t>
      </w:r>
      <w:r w:rsidR="00FE039D" w:rsidRPr="007720BC">
        <w:rPr>
          <w:sz w:val="24"/>
          <w:szCs w:val="24"/>
          <w:lang w:val="en-US"/>
        </w:rPr>
        <w:t xml:space="preserve">dan </w:t>
      </w:r>
      <w:proofErr w:type="spellStart"/>
      <w:r w:rsidR="00FE039D" w:rsidRPr="007720BC">
        <w:rPr>
          <w:sz w:val="24"/>
          <w:szCs w:val="24"/>
          <w:lang w:val="en-US"/>
        </w:rPr>
        <w:t>tidak</w:t>
      </w:r>
      <w:proofErr w:type="spellEnd"/>
      <w:r w:rsidR="00FE039D" w:rsidRPr="007720BC">
        <w:rPr>
          <w:sz w:val="24"/>
          <w:szCs w:val="24"/>
          <w:lang w:val="en-US"/>
        </w:rPr>
        <w:t xml:space="preserve"> </w:t>
      </w:r>
      <w:proofErr w:type="spellStart"/>
      <w:r w:rsidR="00FE039D" w:rsidRPr="007720BC">
        <w:rPr>
          <w:sz w:val="24"/>
          <w:szCs w:val="24"/>
          <w:lang w:val="en-US"/>
        </w:rPr>
        <w:t>langsung</w:t>
      </w:r>
      <w:proofErr w:type="spellEnd"/>
      <w:r w:rsidR="00FE039D" w:rsidRPr="007720BC">
        <w:rPr>
          <w:sz w:val="24"/>
          <w:szCs w:val="24"/>
          <w:lang w:val="en-US"/>
        </w:rPr>
        <w:t xml:space="preserve"> </w:t>
      </w:r>
      <w:proofErr w:type="spellStart"/>
      <w:r w:rsidR="00FE039D" w:rsidRPr="007720BC">
        <w:rPr>
          <w:sz w:val="24"/>
          <w:szCs w:val="24"/>
          <w:lang w:val="en-US"/>
        </w:rPr>
        <w:t>dalam</w:t>
      </w:r>
      <w:proofErr w:type="spellEnd"/>
      <w:r w:rsidR="00FE039D" w:rsidRPr="007720BC">
        <w:rPr>
          <w:sz w:val="24"/>
          <w:szCs w:val="24"/>
          <w:lang w:val="en-US"/>
        </w:rPr>
        <w:t xml:space="preserve"> </w:t>
      </w:r>
      <w:r w:rsidR="00FE039D" w:rsidRPr="007720BC">
        <w:rPr>
          <w:sz w:val="24"/>
          <w:szCs w:val="24"/>
        </w:rPr>
        <w:t>mengatasi penyebab terjadinya stunting</w:t>
      </w:r>
      <w:r w:rsidR="00FE039D" w:rsidRPr="007720BC">
        <w:rPr>
          <w:sz w:val="24"/>
          <w:szCs w:val="24"/>
          <w:lang w:val="en-US"/>
        </w:rPr>
        <w:t xml:space="preserve"> </w:t>
      </w:r>
      <w:proofErr w:type="spellStart"/>
      <w:r w:rsidR="00FE039D" w:rsidRPr="007720BC">
        <w:rPr>
          <w:sz w:val="24"/>
          <w:szCs w:val="24"/>
          <w:lang w:val="en-US"/>
        </w:rPr>
        <w:t>sudah</w:t>
      </w:r>
      <w:proofErr w:type="spellEnd"/>
      <w:r w:rsidR="00FE039D" w:rsidRPr="007720BC">
        <w:rPr>
          <w:sz w:val="24"/>
          <w:szCs w:val="24"/>
          <w:lang w:val="en-US"/>
        </w:rPr>
        <w:t xml:space="preserve"> </w:t>
      </w:r>
      <w:proofErr w:type="spellStart"/>
      <w:r w:rsidR="00FE039D" w:rsidRPr="007720BC">
        <w:rPr>
          <w:sz w:val="24"/>
          <w:szCs w:val="24"/>
          <w:lang w:val="en-US"/>
        </w:rPr>
        <w:t>cukup</w:t>
      </w:r>
      <w:proofErr w:type="spellEnd"/>
      <w:r w:rsidR="00FE039D" w:rsidRPr="007720BC">
        <w:rPr>
          <w:sz w:val="24"/>
          <w:szCs w:val="24"/>
          <w:lang w:val="en-US"/>
        </w:rPr>
        <w:t xml:space="preserve"> </w:t>
      </w:r>
      <w:proofErr w:type="spellStart"/>
      <w:r w:rsidR="00FE039D" w:rsidRPr="007720BC">
        <w:rPr>
          <w:sz w:val="24"/>
          <w:szCs w:val="24"/>
          <w:lang w:val="en-US"/>
        </w:rPr>
        <w:t>efektif</w:t>
      </w:r>
      <w:proofErr w:type="spellEnd"/>
      <w:r w:rsidR="00CD026A" w:rsidRPr="007720BC">
        <w:rPr>
          <w:sz w:val="24"/>
          <w:szCs w:val="24"/>
          <w:lang w:val="en-US"/>
        </w:rPr>
        <w:t xml:space="preserve"> </w:t>
      </w:r>
      <w:r w:rsidR="00CD026A" w:rsidRPr="007720BC">
        <w:rPr>
          <w:sz w:val="24"/>
          <w:szCs w:val="24"/>
          <w:lang w:val="en-US"/>
        </w:rPr>
        <w:fldChar w:fldCharType="begin" w:fldLock="1"/>
      </w:r>
      <w:r w:rsidR="00B61E88">
        <w:rPr>
          <w:sz w:val="24"/>
          <w:szCs w:val="24"/>
          <w:lang w:val="en-US"/>
        </w:rPr>
        <w:instrText>ADDIN CSL_CITATION {"citationItems":[{"id":"ITEM-1","itemData":{"author":[{"dropping-particle":"","family":"Scaling Up Nutrition","given":"","non-dropping-particle":"","parse-names":false,"suffix":""}],"id":"ITEM-1","issued":{"date-parts":[["2021"]]},"number-of-pages":"43","publisher":"Scaling Up Nutrition. Engage-Inspire-Invest","title":"Scaling Up Nutrition. SUN Strategy 3.0 2021-2025","type":"book"},"uris":["http://www.mendeley.com/documents/?uuid=85d94e0a-e9bb-4944-8db7-42835328092a"]}],"mendeley":{"formattedCitation":"(Scaling Up Nutrition 2021)","plainTextFormattedCitation":"(Scaling Up Nutrition 2021)","previouslyFormattedCitation":"(Scaling Up Nutrition 2021)"},"properties":{"noteIndex":0},"schema":"https://github.com/citation-style-language/schema/raw/master/csl-citation.json"}</w:instrText>
      </w:r>
      <w:r w:rsidR="00CD026A" w:rsidRPr="007720BC">
        <w:rPr>
          <w:sz w:val="24"/>
          <w:szCs w:val="24"/>
          <w:lang w:val="en-US"/>
        </w:rPr>
        <w:fldChar w:fldCharType="separate"/>
      </w:r>
      <w:r w:rsidR="00CD026A" w:rsidRPr="007720BC">
        <w:rPr>
          <w:noProof/>
          <w:sz w:val="24"/>
          <w:szCs w:val="24"/>
          <w:lang w:val="en-US"/>
        </w:rPr>
        <w:t>(Scaling Up Nutrition 2021)</w:t>
      </w:r>
      <w:r w:rsidR="00CD026A" w:rsidRPr="007720BC">
        <w:rPr>
          <w:sz w:val="24"/>
          <w:szCs w:val="24"/>
          <w:lang w:val="en-US"/>
        </w:rPr>
        <w:fldChar w:fldCharType="end"/>
      </w:r>
      <w:r w:rsidR="00FE039D" w:rsidRPr="007720BC">
        <w:rPr>
          <w:sz w:val="24"/>
          <w:szCs w:val="24"/>
          <w:lang w:val="en-US"/>
        </w:rPr>
        <w:t xml:space="preserve"> Akan </w:t>
      </w:r>
      <w:proofErr w:type="spellStart"/>
      <w:r w:rsidR="00FE039D" w:rsidRPr="007720BC">
        <w:rPr>
          <w:sz w:val="24"/>
          <w:szCs w:val="24"/>
          <w:lang w:val="en-US"/>
        </w:rPr>
        <w:t>tetapi</w:t>
      </w:r>
      <w:proofErr w:type="spellEnd"/>
      <w:r w:rsidR="00FE039D" w:rsidRPr="007720BC">
        <w:rPr>
          <w:sz w:val="24"/>
          <w:szCs w:val="24"/>
          <w:lang w:val="en-US"/>
        </w:rPr>
        <w:t xml:space="preserve"> </w:t>
      </w:r>
      <w:proofErr w:type="spellStart"/>
      <w:r w:rsidR="00FE039D" w:rsidRPr="007720BC">
        <w:rPr>
          <w:sz w:val="24"/>
          <w:szCs w:val="24"/>
          <w:lang w:val="en-US"/>
        </w:rPr>
        <w:t>masih</w:t>
      </w:r>
      <w:proofErr w:type="spellEnd"/>
      <w:r w:rsidR="00FE039D" w:rsidRPr="007720BC">
        <w:rPr>
          <w:sz w:val="24"/>
          <w:szCs w:val="24"/>
          <w:lang w:val="en-US"/>
        </w:rPr>
        <w:t xml:space="preserve"> </w:t>
      </w:r>
      <w:proofErr w:type="spellStart"/>
      <w:r w:rsidR="00FE039D" w:rsidRPr="007720BC">
        <w:rPr>
          <w:sz w:val="24"/>
          <w:szCs w:val="24"/>
          <w:lang w:val="en-US"/>
        </w:rPr>
        <w:t>memerlukan</w:t>
      </w:r>
      <w:proofErr w:type="spellEnd"/>
      <w:r w:rsidR="00FE039D" w:rsidRPr="007720BC">
        <w:rPr>
          <w:sz w:val="24"/>
          <w:szCs w:val="24"/>
          <w:lang w:val="en-US"/>
        </w:rPr>
        <w:t xml:space="preserve"> </w:t>
      </w:r>
      <w:proofErr w:type="spellStart"/>
      <w:r w:rsidR="00FE039D" w:rsidRPr="007720BC">
        <w:rPr>
          <w:sz w:val="24"/>
          <w:szCs w:val="24"/>
          <w:lang w:val="en-US"/>
        </w:rPr>
        <w:t>penguatan</w:t>
      </w:r>
      <w:proofErr w:type="spellEnd"/>
      <w:r w:rsidR="00FE039D" w:rsidRPr="007720BC">
        <w:rPr>
          <w:sz w:val="24"/>
          <w:szCs w:val="24"/>
          <w:lang w:val="en-US"/>
        </w:rPr>
        <w:t xml:space="preserve"> </w:t>
      </w:r>
      <w:proofErr w:type="spellStart"/>
      <w:r w:rsidR="00FE039D" w:rsidRPr="007720BC">
        <w:rPr>
          <w:sz w:val="24"/>
          <w:szCs w:val="24"/>
          <w:lang w:val="en-US"/>
        </w:rPr>
        <w:t>kebijakan</w:t>
      </w:r>
      <w:proofErr w:type="spellEnd"/>
      <w:r w:rsidR="00FE039D" w:rsidRPr="007720BC">
        <w:rPr>
          <w:sz w:val="24"/>
          <w:szCs w:val="24"/>
          <w:lang w:val="en-US"/>
        </w:rPr>
        <w:t xml:space="preserve"> </w:t>
      </w:r>
      <w:proofErr w:type="spellStart"/>
      <w:r w:rsidR="00FE039D" w:rsidRPr="007720BC">
        <w:rPr>
          <w:sz w:val="24"/>
          <w:szCs w:val="24"/>
          <w:lang w:val="en-US"/>
        </w:rPr>
        <w:t>berbasis</w:t>
      </w:r>
      <w:proofErr w:type="spellEnd"/>
      <w:r w:rsidR="00FE039D" w:rsidRPr="007720BC">
        <w:rPr>
          <w:sz w:val="24"/>
          <w:szCs w:val="24"/>
          <w:lang w:val="en-US"/>
        </w:rPr>
        <w:t xml:space="preserve"> </w:t>
      </w:r>
      <w:proofErr w:type="spellStart"/>
      <w:r w:rsidR="00FE039D" w:rsidRPr="007720BC">
        <w:rPr>
          <w:i/>
          <w:iCs/>
          <w:sz w:val="24"/>
          <w:szCs w:val="24"/>
          <w:lang w:val="en-US"/>
        </w:rPr>
        <w:t>bottomup</w:t>
      </w:r>
      <w:proofErr w:type="spellEnd"/>
      <w:r w:rsidR="00FE039D" w:rsidRPr="007720BC">
        <w:rPr>
          <w:sz w:val="24"/>
          <w:szCs w:val="24"/>
          <w:lang w:val="en-US"/>
        </w:rPr>
        <w:t xml:space="preserve"> yang </w:t>
      </w:r>
      <w:proofErr w:type="spellStart"/>
      <w:r w:rsidR="00FE039D" w:rsidRPr="007720BC">
        <w:rPr>
          <w:sz w:val="24"/>
          <w:szCs w:val="24"/>
          <w:lang w:val="en-US"/>
        </w:rPr>
        <w:t>bersifat</w:t>
      </w:r>
      <w:proofErr w:type="spellEnd"/>
      <w:r w:rsidR="00FE039D" w:rsidRPr="007720BC">
        <w:rPr>
          <w:sz w:val="24"/>
          <w:szCs w:val="24"/>
          <w:lang w:val="en-US"/>
        </w:rPr>
        <w:t xml:space="preserve"> </w:t>
      </w:r>
      <w:proofErr w:type="spellStart"/>
      <w:r w:rsidR="00FE039D" w:rsidRPr="007720BC">
        <w:rPr>
          <w:sz w:val="24"/>
          <w:szCs w:val="24"/>
          <w:lang w:val="en-US"/>
        </w:rPr>
        <w:t>jangka</w:t>
      </w:r>
      <w:proofErr w:type="spellEnd"/>
      <w:r w:rsidR="00FE039D" w:rsidRPr="007720BC">
        <w:rPr>
          <w:sz w:val="24"/>
          <w:szCs w:val="24"/>
          <w:lang w:val="en-US"/>
        </w:rPr>
        <w:t xml:space="preserve"> </w:t>
      </w:r>
      <w:proofErr w:type="spellStart"/>
      <w:r w:rsidR="00FE039D" w:rsidRPr="007720BC">
        <w:rPr>
          <w:sz w:val="24"/>
          <w:szCs w:val="24"/>
          <w:lang w:val="en-US"/>
        </w:rPr>
        <w:t>panjang</w:t>
      </w:r>
      <w:proofErr w:type="spellEnd"/>
      <w:r w:rsidR="00FE039D" w:rsidRPr="007720BC">
        <w:rPr>
          <w:sz w:val="24"/>
          <w:szCs w:val="24"/>
          <w:lang w:val="en-US"/>
        </w:rPr>
        <w:t xml:space="preserve"> </w:t>
      </w:r>
      <w:proofErr w:type="spellStart"/>
      <w:r w:rsidR="00FE039D" w:rsidRPr="007720BC">
        <w:rPr>
          <w:sz w:val="24"/>
          <w:szCs w:val="24"/>
          <w:lang w:val="en-US"/>
        </w:rPr>
        <w:t>melalui</w:t>
      </w:r>
      <w:proofErr w:type="spellEnd"/>
      <w:r w:rsidR="00FE039D" w:rsidRPr="007720BC">
        <w:rPr>
          <w:sz w:val="24"/>
          <w:szCs w:val="24"/>
          <w:lang w:val="en-US"/>
        </w:rPr>
        <w:t xml:space="preserve"> </w:t>
      </w:r>
      <w:proofErr w:type="spellStart"/>
      <w:r w:rsidR="00FE039D" w:rsidRPr="007720BC">
        <w:rPr>
          <w:sz w:val="24"/>
          <w:szCs w:val="24"/>
          <w:lang w:val="en-US"/>
        </w:rPr>
        <w:t>pendekatan</w:t>
      </w:r>
      <w:proofErr w:type="spellEnd"/>
      <w:r w:rsidR="00FE039D" w:rsidRPr="007720BC">
        <w:rPr>
          <w:sz w:val="24"/>
          <w:szCs w:val="24"/>
          <w:lang w:val="en-US"/>
        </w:rPr>
        <w:t xml:space="preserve"> </w:t>
      </w:r>
      <w:proofErr w:type="spellStart"/>
      <w:r w:rsidR="00FE039D" w:rsidRPr="007720BC">
        <w:rPr>
          <w:sz w:val="24"/>
          <w:szCs w:val="24"/>
          <w:lang w:val="en-US"/>
        </w:rPr>
        <w:t>intervensi</w:t>
      </w:r>
      <w:proofErr w:type="spellEnd"/>
      <w:r w:rsidR="00FE039D" w:rsidRPr="007720BC">
        <w:rPr>
          <w:sz w:val="24"/>
          <w:szCs w:val="24"/>
          <w:lang w:val="en-US"/>
        </w:rPr>
        <w:t xml:space="preserve"> </w:t>
      </w:r>
      <w:proofErr w:type="spellStart"/>
      <w:r w:rsidR="00FE039D" w:rsidRPr="007720BC">
        <w:rPr>
          <w:sz w:val="24"/>
          <w:szCs w:val="24"/>
          <w:lang w:val="en-US"/>
        </w:rPr>
        <w:t>edukatif</w:t>
      </w:r>
      <w:proofErr w:type="spellEnd"/>
      <w:r w:rsidR="00FE039D" w:rsidRPr="007720BC">
        <w:rPr>
          <w:sz w:val="24"/>
          <w:szCs w:val="24"/>
          <w:lang w:val="en-US"/>
        </w:rPr>
        <w:t xml:space="preserve"> dan </w:t>
      </w:r>
      <w:proofErr w:type="spellStart"/>
      <w:r w:rsidR="00FE039D" w:rsidRPr="007720BC">
        <w:rPr>
          <w:sz w:val="24"/>
          <w:szCs w:val="24"/>
          <w:lang w:val="en-US"/>
        </w:rPr>
        <w:t>partisipatif</w:t>
      </w:r>
      <w:proofErr w:type="spellEnd"/>
      <w:r w:rsidR="00FE039D" w:rsidRPr="007720BC">
        <w:rPr>
          <w:sz w:val="24"/>
          <w:szCs w:val="24"/>
          <w:lang w:val="en-US"/>
        </w:rPr>
        <w:t xml:space="preserve">. Hal </w:t>
      </w:r>
      <w:proofErr w:type="spellStart"/>
      <w:r w:rsidR="00FE039D" w:rsidRPr="007720BC">
        <w:rPr>
          <w:sz w:val="24"/>
          <w:szCs w:val="24"/>
          <w:lang w:val="en-US"/>
        </w:rPr>
        <w:t>ini</w:t>
      </w:r>
      <w:proofErr w:type="spellEnd"/>
      <w:r w:rsidR="00FE039D" w:rsidRPr="007720BC">
        <w:rPr>
          <w:sz w:val="24"/>
          <w:szCs w:val="24"/>
          <w:lang w:val="en-US"/>
        </w:rPr>
        <w:t xml:space="preserve"> </w:t>
      </w:r>
      <w:proofErr w:type="spellStart"/>
      <w:r w:rsidR="00FE039D" w:rsidRPr="007720BC">
        <w:rPr>
          <w:sz w:val="24"/>
          <w:szCs w:val="24"/>
          <w:lang w:val="en-US"/>
        </w:rPr>
        <w:t>sejalan</w:t>
      </w:r>
      <w:proofErr w:type="spellEnd"/>
      <w:r w:rsidR="00FE039D" w:rsidRPr="007720BC">
        <w:rPr>
          <w:sz w:val="24"/>
          <w:szCs w:val="24"/>
          <w:lang w:val="en-US"/>
        </w:rPr>
        <w:t xml:space="preserve"> </w:t>
      </w:r>
      <w:proofErr w:type="spellStart"/>
      <w:r w:rsidR="00FE039D" w:rsidRPr="007720BC">
        <w:rPr>
          <w:sz w:val="24"/>
          <w:szCs w:val="24"/>
          <w:lang w:val="en-US"/>
        </w:rPr>
        <w:t>dengan</w:t>
      </w:r>
      <w:proofErr w:type="spellEnd"/>
      <w:r w:rsidR="00FE039D" w:rsidRPr="007720BC">
        <w:rPr>
          <w:sz w:val="24"/>
          <w:szCs w:val="24"/>
          <w:lang w:val="en-US"/>
        </w:rPr>
        <w:t xml:space="preserve"> </w:t>
      </w:r>
      <w:proofErr w:type="spellStart"/>
      <w:r w:rsidR="00FE039D" w:rsidRPr="007720BC">
        <w:rPr>
          <w:sz w:val="24"/>
          <w:szCs w:val="24"/>
          <w:lang w:val="en-US"/>
        </w:rPr>
        <w:t>hasil</w:t>
      </w:r>
      <w:proofErr w:type="spellEnd"/>
      <w:r w:rsidR="00FE039D" w:rsidRPr="007720BC">
        <w:rPr>
          <w:sz w:val="24"/>
          <w:szCs w:val="24"/>
          <w:lang w:val="en-US"/>
        </w:rPr>
        <w:t xml:space="preserve"> </w:t>
      </w:r>
      <w:proofErr w:type="spellStart"/>
      <w:r w:rsidR="00FE039D" w:rsidRPr="007720BC">
        <w:rPr>
          <w:sz w:val="24"/>
          <w:szCs w:val="24"/>
          <w:lang w:val="en-US"/>
        </w:rPr>
        <w:t>penelitian</w:t>
      </w:r>
      <w:proofErr w:type="spellEnd"/>
      <w:r w:rsidR="00FE039D" w:rsidRPr="007720BC">
        <w:rPr>
          <w:sz w:val="24"/>
          <w:szCs w:val="24"/>
          <w:lang w:val="en-US"/>
        </w:rPr>
        <w:t xml:space="preserve"> </w:t>
      </w:r>
      <w:r w:rsidR="00FE039D" w:rsidRPr="007720BC">
        <w:rPr>
          <w:sz w:val="24"/>
          <w:szCs w:val="24"/>
          <w:lang w:val="en-US"/>
        </w:rPr>
        <w:fldChar w:fldCharType="begin" w:fldLock="1"/>
      </w:r>
      <w:r w:rsidR="00FE039D" w:rsidRPr="007720BC">
        <w:rPr>
          <w:sz w:val="24"/>
          <w:szCs w:val="24"/>
          <w:lang w:val="en-US"/>
        </w:rPr>
        <w:instrText>ADDIN CSL_CITATION {"citationItems":[{"id":"ITEM-1","itemData":{"DOI":"10.1016/S0140-6736(07)61693-6","ISSN":"01406736","PMID":"18206226","abstract":"We reviewed interventions that affect maternal and child undernutrition and nutrition-related outcomes. These interventions included promotion of breastfeeding; strategies to promote complementary feeding, with or without provision of food supplements; micronutrient interventions; general supportive strategies to improve family and community nutrition; and reduction of disease burden (promotion of handwashing and strategies to reduce the burden of malaria in pregnancy). We showed that although strategies for breastfeeding promotion have a large effect on survival, their effect on stunting is small. In populations with sufficient food, education about complementary feeding increased height-for-age Z score by 0·25 (95% CI 0·01-0·49), whereas provision of food supplements (with or without education) in populations with insufficient food increased the height-for-age Z score by 0·41 (0·05-0·76). Management of severe acute malnutrition according to WHO guidelines reduced the case-fatality rate by 55% (risk ratio 0·45, 0·32-0·62), and recent studies suggest that newer commodities, such as ready-to-use therapeutic foods, can be used to manage severe acute malnutrition in community settings. Effective micronutrient interventions for pregnant women included supplementation with iron folate (which increased haemoglobin at term by 12 g/L, 2·93-21·07) and micronutrients (which reduced the risk of low birthweight at term by 16% (relative risk 0·84, 0·74-0·95). Recommended micronutrient interventions for children included strategies for supplementation of vitamin A (in the neonatal period and late infancy), preventive zinc supplements, iron supplements for children in areas where malaria is not endemic, and universal promotion of iodised salt. We used a cohort model to assess the potential effect of these interventions on mothers and children in the 36 countries that have 90% of children with stunted linear growth. The model showed that existing interventions that were designed to improve nutrition and prevent related disease could reduce stunting at 36 months by 36%; mortality between birth and 36 months by about 25%; and disability-adjusted life-years associated with stunting, severe wasting, intrauterine growth restriction, and micronutrient deficiencies by about 25%. To eliminate stunting in the longer term, these interventions should be supplemented by improvements in the underlying determinants of undernutrition, such as poverty, poor education, disease burden, …","author":[{"dropping-particle":"","family":"Bhutta","given":"Zulfiqar A.","non-dropping-particle":"","parse-names":false,"suffix":""},{"dropping-particle":"","family":"Ahmed","given":"Tahmeed","non-dropping-particle":"","parse-names":false,"suffix":""},{"dropping-particle":"","family":"Black","given":"Robert E.","non-dropping-particle":"","parse-names":false,"suffix":""},{"dropping-particle":"","family":"Cousens","given":"Simon","non-dropping-particle":"","parse-names":false,"suffix":""},{"dropping-particle":"","family":"Dewey","given":"Kathryn","non-dropping-particle":"","parse-names":false,"suffix":""},{"dropping-particle":"","family":"Giugliani","given":"Elsa","non-dropping-particle":"","parse-names":false,"suffix":""},{"dropping-particle":"","family":"Haider","given":"Batool A.","non-dropping-particle":"","parse-names":false,"suffix":""},{"dropping-particle":"","family":"Kirkwood","given":"Betty","non-dropping-particle":"","parse-names":false,"suffix":""},{"dropping-particle":"","family":"Morris","given":"Saul S.","non-dropping-particle":"","parse-names":false,"suffix":""},{"dropping-particle":"","family":"Sachdev","given":"HPS","non-dropping-particle":"","parse-names":false,"suffix":""},{"dropping-particle":"","family":"Shekar","given":"Meera","non-dropping-particle":"","parse-names":false,"suffix":""}],"container-title":"The Lancet","id":"ITEM-1","issue":"9610","issued":{"date-parts":[["2008"]]},"page":"417-440","title":"What works? Interventions for maternal and child undernutrition and survival","type":"article-journal","volume":"371"},"uris":["http://www.mendeley.com/documents/?uuid=8b79e18f-907e-45b6-8b81-320d2089499c"]}],"mendeley":{"formattedCitation":"(Bhutta et al. 2008)","plainTextFormattedCitation":"(Bhutta et al. 2008)","previouslyFormattedCitation":"(Bhutta et al. 2008)"},"properties":{"noteIndex":0},"schema":"https://github.com/citation-style-language/schema/raw/master/csl-citation.json"}</w:instrText>
      </w:r>
      <w:r w:rsidR="00FE039D" w:rsidRPr="007720BC">
        <w:rPr>
          <w:sz w:val="24"/>
          <w:szCs w:val="24"/>
          <w:lang w:val="en-US"/>
        </w:rPr>
        <w:fldChar w:fldCharType="separate"/>
      </w:r>
      <w:r w:rsidR="00FE039D" w:rsidRPr="007720BC">
        <w:rPr>
          <w:noProof/>
          <w:sz w:val="24"/>
          <w:szCs w:val="24"/>
          <w:lang w:val="en-US"/>
        </w:rPr>
        <w:t>(Bhutta et al. 2008)</w:t>
      </w:r>
      <w:r w:rsidR="00FE039D" w:rsidRPr="007720BC">
        <w:rPr>
          <w:sz w:val="24"/>
          <w:szCs w:val="24"/>
          <w:lang w:val="en-US"/>
        </w:rPr>
        <w:fldChar w:fldCharType="end"/>
      </w:r>
      <w:r w:rsidR="00FE039D" w:rsidRPr="007720BC">
        <w:rPr>
          <w:sz w:val="24"/>
          <w:szCs w:val="24"/>
          <w:lang w:val="en-US"/>
        </w:rPr>
        <w:t xml:space="preserve"> yang </w:t>
      </w:r>
      <w:proofErr w:type="spellStart"/>
      <w:r w:rsidR="00FE039D" w:rsidRPr="007720BC">
        <w:rPr>
          <w:sz w:val="24"/>
          <w:szCs w:val="24"/>
          <w:lang w:val="en-US"/>
        </w:rPr>
        <w:t>mengatakan</w:t>
      </w:r>
      <w:proofErr w:type="spellEnd"/>
      <w:r w:rsidR="00FE039D" w:rsidRPr="007720BC">
        <w:rPr>
          <w:sz w:val="24"/>
          <w:szCs w:val="24"/>
          <w:lang w:val="en-US"/>
        </w:rPr>
        <w:t xml:space="preserve"> </w:t>
      </w:r>
      <w:proofErr w:type="spellStart"/>
      <w:r w:rsidR="00FE039D" w:rsidRPr="007720BC">
        <w:rPr>
          <w:sz w:val="24"/>
          <w:szCs w:val="24"/>
          <w:lang w:val="en-US"/>
        </w:rPr>
        <w:t>pentingnya</w:t>
      </w:r>
      <w:proofErr w:type="spellEnd"/>
      <w:r w:rsidR="00FE039D" w:rsidRPr="007720BC">
        <w:rPr>
          <w:spacing w:val="1"/>
          <w:w w:val="105"/>
          <w:sz w:val="24"/>
          <w:szCs w:val="24"/>
        </w:rPr>
        <w:t xml:space="preserve"> </w:t>
      </w:r>
      <w:r w:rsidR="00FE039D" w:rsidRPr="007720BC">
        <w:rPr>
          <w:w w:val="105"/>
          <w:sz w:val="24"/>
          <w:szCs w:val="24"/>
        </w:rPr>
        <w:t>intervensi</w:t>
      </w:r>
      <w:r w:rsidR="00FE039D" w:rsidRPr="007720BC">
        <w:rPr>
          <w:spacing w:val="1"/>
          <w:w w:val="105"/>
          <w:sz w:val="24"/>
          <w:szCs w:val="24"/>
        </w:rPr>
        <w:t xml:space="preserve"> </w:t>
      </w:r>
      <w:r w:rsidR="00FE039D" w:rsidRPr="007720BC">
        <w:rPr>
          <w:spacing w:val="-1"/>
          <w:w w:val="105"/>
          <w:sz w:val="24"/>
          <w:szCs w:val="24"/>
        </w:rPr>
        <w:t>pengurangan</w:t>
      </w:r>
      <w:r w:rsidR="00FE039D" w:rsidRPr="007720BC">
        <w:rPr>
          <w:spacing w:val="-11"/>
          <w:w w:val="105"/>
          <w:sz w:val="24"/>
          <w:szCs w:val="24"/>
        </w:rPr>
        <w:t xml:space="preserve"> </w:t>
      </w:r>
      <w:r w:rsidR="00FE039D" w:rsidRPr="007720BC">
        <w:rPr>
          <w:i/>
          <w:w w:val="105"/>
          <w:sz w:val="24"/>
          <w:szCs w:val="24"/>
        </w:rPr>
        <w:t>stunting</w:t>
      </w:r>
      <w:r w:rsidR="00FE039D" w:rsidRPr="007720BC">
        <w:rPr>
          <w:i/>
          <w:spacing w:val="-10"/>
          <w:w w:val="105"/>
          <w:sz w:val="24"/>
          <w:szCs w:val="24"/>
        </w:rPr>
        <w:t xml:space="preserve"> </w:t>
      </w:r>
      <w:r w:rsidR="00FE039D" w:rsidRPr="007720BC">
        <w:rPr>
          <w:w w:val="105"/>
          <w:sz w:val="24"/>
          <w:szCs w:val="24"/>
        </w:rPr>
        <w:t>jangka</w:t>
      </w:r>
      <w:r w:rsidR="00FE039D" w:rsidRPr="007720BC">
        <w:rPr>
          <w:spacing w:val="-12"/>
          <w:w w:val="105"/>
          <w:sz w:val="24"/>
          <w:szCs w:val="24"/>
        </w:rPr>
        <w:t xml:space="preserve"> </w:t>
      </w:r>
      <w:r w:rsidR="00FE039D" w:rsidRPr="007720BC">
        <w:rPr>
          <w:w w:val="105"/>
          <w:sz w:val="24"/>
          <w:szCs w:val="24"/>
        </w:rPr>
        <w:t>panjang</w:t>
      </w:r>
      <w:r w:rsidR="00FE039D" w:rsidRPr="007720BC">
        <w:rPr>
          <w:w w:val="105"/>
          <w:sz w:val="24"/>
          <w:szCs w:val="24"/>
          <w:lang w:val="en-US"/>
        </w:rPr>
        <w:t xml:space="preserve"> yang</w:t>
      </w:r>
      <w:r w:rsidR="00FE039D" w:rsidRPr="007720BC">
        <w:rPr>
          <w:spacing w:val="-9"/>
          <w:w w:val="105"/>
          <w:sz w:val="24"/>
          <w:szCs w:val="24"/>
        </w:rPr>
        <w:t xml:space="preserve"> </w:t>
      </w:r>
      <w:r w:rsidR="00FE039D" w:rsidRPr="007720BC">
        <w:rPr>
          <w:w w:val="105"/>
          <w:sz w:val="24"/>
          <w:szCs w:val="24"/>
        </w:rPr>
        <w:t>harus</w:t>
      </w:r>
      <w:r w:rsidR="00FE039D" w:rsidRPr="007720BC">
        <w:rPr>
          <w:spacing w:val="-11"/>
          <w:w w:val="105"/>
          <w:sz w:val="24"/>
          <w:szCs w:val="24"/>
        </w:rPr>
        <w:t xml:space="preserve"> </w:t>
      </w:r>
      <w:r w:rsidR="00FE039D" w:rsidRPr="007720BC">
        <w:rPr>
          <w:w w:val="105"/>
          <w:sz w:val="24"/>
          <w:szCs w:val="24"/>
        </w:rPr>
        <w:t>dilengkapi</w:t>
      </w:r>
      <w:r w:rsidR="00FE039D" w:rsidRPr="007720BC">
        <w:rPr>
          <w:w w:val="105"/>
          <w:sz w:val="24"/>
          <w:szCs w:val="24"/>
          <w:lang w:val="en-US"/>
        </w:rPr>
        <w:t xml:space="preserve"> </w:t>
      </w:r>
      <w:r w:rsidR="00FE039D" w:rsidRPr="007720BC">
        <w:rPr>
          <w:spacing w:val="-50"/>
          <w:w w:val="105"/>
          <w:sz w:val="24"/>
          <w:szCs w:val="24"/>
        </w:rPr>
        <w:t xml:space="preserve"> </w:t>
      </w:r>
      <w:r w:rsidR="00FE039D" w:rsidRPr="007720BC">
        <w:rPr>
          <w:w w:val="105"/>
          <w:sz w:val="24"/>
          <w:szCs w:val="24"/>
        </w:rPr>
        <w:t>dengan</w:t>
      </w:r>
      <w:r w:rsidR="00FE039D" w:rsidRPr="007720BC">
        <w:rPr>
          <w:spacing w:val="1"/>
          <w:w w:val="105"/>
          <w:sz w:val="24"/>
          <w:szCs w:val="24"/>
        </w:rPr>
        <w:t xml:space="preserve"> </w:t>
      </w:r>
      <w:r w:rsidR="00FE039D" w:rsidRPr="007720BC">
        <w:rPr>
          <w:w w:val="105"/>
          <w:sz w:val="24"/>
          <w:szCs w:val="24"/>
        </w:rPr>
        <w:t>perbaikan</w:t>
      </w:r>
      <w:r w:rsidR="00FE039D" w:rsidRPr="007720BC">
        <w:rPr>
          <w:spacing w:val="1"/>
          <w:w w:val="105"/>
          <w:sz w:val="24"/>
          <w:szCs w:val="24"/>
        </w:rPr>
        <w:t xml:space="preserve"> </w:t>
      </w:r>
      <w:r w:rsidR="00FE039D" w:rsidRPr="007720BC">
        <w:rPr>
          <w:w w:val="105"/>
          <w:sz w:val="24"/>
          <w:szCs w:val="24"/>
        </w:rPr>
        <w:t>dalam</w:t>
      </w:r>
      <w:r w:rsidR="00FE039D" w:rsidRPr="007720BC">
        <w:rPr>
          <w:spacing w:val="1"/>
          <w:w w:val="105"/>
          <w:sz w:val="24"/>
          <w:szCs w:val="24"/>
        </w:rPr>
        <w:t xml:space="preserve"> </w:t>
      </w:r>
      <w:r w:rsidR="00FE039D" w:rsidRPr="007720BC">
        <w:rPr>
          <w:w w:val="105"/>
          <w:sz w:val="24"/>
          <w:szCs w:val="24"/>
        </w:rPr>
        <w:t>faktor-faktor</w:t>
      </w:r>
      <w:r w:rsidR="00FE039D" w:rsidRPr="007720BC">
        <w:rPr>
          <w:spacing w:val="1"/>
          <w:w w:val="105"/>
          <w:sz w:val="24"/>
          <w:szCs w:val="24"/>
        </w:rPr>
        <w:t xml:space="preserve"> </w:t>
      </w:r>
      <w:r w:rsidR="00FE039D" w:rsidRPr="007720BC">
        <w:rPr>
          <w:w w:val="105"/>
          <w:sz w:val="24"/>
          <w:szCs w:val="24"/>
        </w:rPr>
        <w:t>penentu</w:t>
      </w:r>
      <w:r w:rsidR="00FE039D" w:rsidRPr="007720BC">
        <w:rPr>
          <w:spacing w:val="1"/>
          <w:w w:val="105"/>
          <w:sz w:val="24"/>
          <w:szCs w:val="24"/>
        </w:rPr>
        <w:t xml:space="preserve"> </w:t>
      </w:r>
      <w:r w:rsidR="00FE039D" w:rsidRPr="007720BC">
        <w:rPr>
          <w:w w:val="105"/>
          <w:sz w:val="24"/>
          <w:szCs w:val="24"/>
        </w:rPr>
        <w:t>gizi,</w:t>
      </w:r>
      <w:r w:rsidR="00FE039D" w:rsidRPr="007720BC">
        <w:rPr>
          <w:spacing w:val="-50"/>
          <w:w w:val="105"/>
          <w:sz w:val="24"/>
          <w:szCs w:val="24"/>
        </w:rPr>
        <w:t xml:space="preserve"> </w:t>
      </w:r>
      <w:r w:rsidR="00FE039D" w:rsidRPr="007720BC">
        <w:rPr>
          <w:w w:val="105"/>
          <w:sz w:val="24"/>
          <w:szCs w:val="24"/>
        </w:rPr>
        <w:t>seperti</w:t>
      </w:r>
      <w:r w:rsidR="00FE039D" w:rsidRPr="007720BC">
        <w:rPr>
          <w:spacing w:val="1"/>
          <w:w w:val="105"/>
          <w:sz w:val="24"/>
          <w:szCs w:val="24"/>
        </w:rPr>
        <w:t xml:space="preserve"> </w:t>
      </w:r>
      <w:r w:rsidR="00FE039D" w:rsidRPr="007720BC">
        <w:rPr>
          <w:w w:val="105"/>
          <w:sz w:val="24"/>
          <w:szCs w:val="24"/>
        </w:rPr>
        <w:t>kemiskinan,</w:t>
      </w:r>
      <w:r w:rsidR="00FE039D" w:rsidRPr="007720BC">
        <w:rPr>
          <w:spacing w:val="1"/>
          <w:w w:val="105"/>
          <w:sz w:val="24"/>
          <w:szCs w:val="24"/>
        </w:rPr>
        <w:t xml:space="preserve"> </w:t>
      </w:r>
      <w:r w:rsidR="00FE039D" w:rsidRPr="007720BC">
        <w:rPr>
          <w:w w:val="105"/>
          <w:sz w:val="24"/>
          <w:szCs w:val="24"/>
        </w:rPr>
        <w:t>pendidikan</w:t>
      </w:r>
      <w:r w:rsidR="00FE039D" w:rsidRPr="007720BC">
        <w:rPr>
          <w:spacing w:val="1"/>
          <w:w w:val="105"/>
          <w:sz w:val="24"/>
          <w:szCs w:val="24"/>
        </w:rPr>
        <w:t xml:space="preserve"> </w:t>
      </w:r>
      <w:r w:rsidR="00FE039D" w:rsidRPr="007720BC">
        <w:rPr>
          <w:w w:val="105"/>
          <w:sz w:val="24"/>
          <w:szCs w:val="24"/>
        </w:rPr>
        <w:t>yang</w:t>
      </w:r>
      <w:r w:rsidR="00FE039D" w:rsidRPr="007720BC">
        <w:rPr>
          <w:spacing w:val="1"/>
          <w:w w:val="105"/>
          <w:sz w:val="24"/>
          <w:szCs w:val="24"/>
        </w:rPr>
        <w:t xml:space="preserve"> </w:t>
      </w:r>
      <w:r w:rsidR="00FE039D" w:rsidRPr="007720BC">
        <w:rPr>
          <w:w w:val="105"/>
          <w:sz w:val="24"/>
          <w:szCs w:val="24"/>
        </w:rPr>
        <w:t>rendah,</w:t>
      </w:r>
      <w:r w:rsidR="00FE039D" w:rsidRPr="007720BC">
        <w:rPr>
          <w:spacing w:val="1"/>
          <w:w w:val="105"/>
          <w:sz w:val="24"/>
          <w:szCs w:val="24"/>
        </w:rPr>
        <w:t xml:space="preserve"> </w:t>
      </w:r>
      <w:r w:rsidR="00FE039D" w:rsidRPr="007720BC">
        <w:rPr>
          <w:w w:val="105"/>
          <w:sz w:val="24"/>
          <w:szCs w:val="24"/>
        </w:rPr>
        <w:t>beban</w:t>
      </w:r>
      <w:r w:rsidR="00FE039D" w:rsidRPr="007720BC">
        <w:rPr>
          <w:spacing w:val="-50"/>
          <w:w w:val="105"/>
          <w:sz w:val="24"/>
          <w:szCs w:val="24"/>
        </w:rPr>
        <w:t xml:space="preserve"> </w:t>
      </w:r>
      <w:r w:rsidR="00FE039D" w:rsidRPr="007720BC">
        <w:rPr>
          <w:w w:val="105"/>
          <w:sz w:val="24"/>
          <w:szCs w:val="24"/>
        </w:rPr>
        <w:t>penyakit,</w:t>
      </w:r>
      <w:r w:rsidR="00FE039D" w:rsidRPr="007720BC">
        <w:rPr>
          <w:spacing w:val="1"/>
          <w:w w:val="105"/>
          <w:sz w:val="24"/>
          <w:szCs w:val="24"/>
        </w:rPr>
        <w:t xml:space="preserve"> </w:t>
      </w:r>
      <w:r w:rsidR="00FE039D" w:rsidRPr="007720BC">
        <w:rPr>
          <w:w w:val="105"/>
          <w:sz w:val="24"/>
          <w:szCs w:val="24"/>
        </w:rPr>
        <w:t>dan</w:t>
      </w:r>
      <w:r w:rsidR="00FE039D" w:rsidRPr="007720BC">
        <w:rPr>
          <w:spacing w:val="1"/>
          <w:w w:val="105"/>
          <w:sz w:val="24"/>
          <w:szCs w:val="24"/>
        </w:rPr>
        <w:t xml:space="preserve"> </w:t>
      </w:r>
      <w:r w:rsidR="00FE039D" w:rsidRPr="007720BC">
        <w:rPr>
          <w:w w:val="105"/>
          <w:sz w:val="24"/>
          <w:szCs w:val="24"/>
        </w:rPr>
        <w:t>kurangnya</w:t>
      </w:r>
      <w:r w:rsidR="00FE039D" w:rsidRPr="007720BC">
        <w:rPr>
          <w:spacing w:val="1"/>
          <w:w w:val="105"/>
          <w:sz w:val="24"/>
          <w:szCs w:val="24"/>
        </w:rPr>
        <w:t xml:space="preserve"> </w:t>
      </w:r>
      <w:r w:rsidR="00FE039D" w:rsidRPr="007720BC">
        <w:rPr>
          <w:w w:val="105"/>
          <w:sz w:val="24"/>
          <w:szCs w:val="24"/>
        </w:rPr>
        <w:t>pemberdayaan</w:t>
      </w:r>
      <w:r w:rsidR="00FE039D" w:rsidRPr="007720BC">
        <w:rPr>
          <w:spacing w:val="1"/>
          <w:w w:val="105"/>
          <w:sz w:val="24"/>
          <w:szCs w:val="24"/>
        </w:rPr>
        <w:t xml:space="preserve"> </w:t>
      </w:r>
      <w:r w:rsidR="00FE039D" w:rsidRPr="007720BC">
        <w:rPr>
          <w:w w:val="105"/>
          <w:sz w:val="24"/>
          <w:szCs w:val="24"/>
        </w:rPr>
        <w:t>perempuan</w:t>
      </w:r>
      <w:r w:rsidR="00FE039D" w:rsidRPr="007720BC">
        <w:rPr>
          <w:w w:val="105"/>
          <w:sz w:val="24"/>
          <w:szCs w:val="24"/>
          <w:lang w:val="en-US"/>
        </w:rPr>
        <w:t>.</w:t>
      </w:r>
    </w:p>
    <w:p w14:paraId="146E9289" w14:textId="3A6F7A51" w:rsidR="00AA00F1" w:rsidRPr="007720BC" w:rsidRDefault="009612EA" w:rsidP="00E66AE5">
      <w:pPr>
        <w:pStyle w:val="BodyText"/>
        <w:ind w:firstLine="720"/>
        <w:contextualSpacing/>
        <w:jc w:val="both"/>
        <w:rPr>
          <w:w w:val="105"/>
          <w:sz w:val="24"/>
          <w:szCs w:val="24"/>
          <w:lang w:val="en-US"/>
        </w:rPr>
      </w:pPr>
      <w:proofErr w:type="spellStart"/>
      <w:r w:rsidRPr="007720BC">
        <w:rPr>
          <w:sz w:val="24"/>
          <w:szCs w:val="24"/>
          <w:lang w:val="en-US"/>
        </w:rPr>
        <w:t>Dampak</w:t>
      </w:r>
      <w:proofErr w:type="spellEnd"/>
      <w:r w:rsidRPr="007720BC">
        <w:rPr>
          <w:sz w:val="24"/>
          <w:szCs w:val="24"/>
          <w:lang w:val="en-US"/>
        </w:rPr>
        <w:t xml:space="preserve"> </w:t>
      </w:r>
      <w:proofErr w:type="spellStart"/>
      <w:r w:rsidRPr="007720BC">
        <w:rPr>
          <w:sz w:val="24"/>
          <w:szCs w:val="24"/>
          <w:lang w:val="en-US"/>
        </w:rPr>
        <w:t>implementasi</w:t>
      </w:r>
      <w:proofErr w:type="spellEnd"/>
      <w:r w:rsidRPr="007720BC">
        <w:rPr>
          <w:sz w:val="24"/>
          <w:szCs w:val="24"/>
          <w:lang w:val="en-US"/>
        </w:rPr>
        <w:t xml:space="preserve"> program </w:t>
      </w:r>
      <w:proofErr w:type="spellStart"/>
      <w:r w:rsidR="00910C3A" w:rsidRPr="007720BC">
        <w:rPr>
          <w:sz w:val="24"/>
          <w:szCs w:val="24"/>
          <w:lang w:val="en-US"/>
        </w:rPr>
        <w:t>diikuti</w:t>
      </w:r>
      <w:proofErr w:type="spellEnd"/>
      <w:r w:rsidR="00910C3A" w:rsidRPr="007720BC">
        <w:rPr>
          <w:sz w:val="24"/>
          <w:szCs w:val="24"/>
          <w:lang w:val="en-US"/>
        </w:rPr>
        <w:t xml:space="preserve"> </w:t>
      </w:r>
      <w:proofErr w:type="spellStart"/>
      <w:r w:rsidR="00910C3A" w:rsidRPr="007720BC">
        <w:rPr>
          <w:sz w:val="24"/>
          <w:szCs w:val="24"/>
          <w:lang w:val="en-US"/>
        </w:rPr>
        <w:t>dengan</w:t>
      </w:r>
      <w:proofErr w:type="spellEnd"/>
      <w:r w:rsidR="00910C3A" w:rsidRPr="007720BC">
        <w:rPr>
          <w:sz w:val="24"/>
          <w:szCs w:val="24"/>
          <w:lang w:val="en-US"/>
        </w:rPr>
        <w:t xml:space="preserve"> </w:t>
      </w:r>
      <w:proofErr w:type="spellStart"/>
      <w:r w:rsidR="00910C3A" w:rsidRPr="007720BC">
        <w:rPr>
          <w:sz w:val="24"/>
          <w:szCs w:val="24"/>
          <w:lang w:val="en-US"/>
        </w:rPr>
        <w:t>k</w:t>
      </w:r>
      <w:r w:rsidR="00E66AE5" w:rsidRPr="007720BC">
        <w:rPr>
          <w:sz w:val="24"/>
          <w:szCs w:val="24"/>
          <w:lang w:val="en-US"/>
        </w:rPr>
        <w:t>eterlibatan</w:t>
      </w:r>
      <w:proofErr w:type="spellEnd"/>
      <w:r w:rsidR="00E66AE5" w:rsidRPr="007720BC">
        <w:rPr>
          <w:sz w:val="24"/>
          <w:szCs w:val="24"/>
          <w:lang w:val="en-US"/>
        </w:rPr>
        <w:t xml:space="preserve"> </w:t>
      </w:r>
      <w:proofErr w:type="spellStart"/>
      <w:r w:rsidR="00910C3A" w:rsidRPr="007720BC">
        <w:rPr>
          <w:sz w:val="24"/>
          <w:szCs w:val="24"/>
          <w:lang w:val="en-US"/>
        </w:rPr>
        <w:t>m</w:t>
      </w:r>
      <w:r w:rsidR="00E66AE5" w:rsidRPr="007720BC">
        <w:rPr>
          <w:sz w:val="24"/>
          <w:szCs w:val="24"/>
          <w:lang w:val="en-US"/>
        </w:rPr>
        <w:t>asyarakat</w:t>
      </w:r>
      <w:proofErr w:type="spellEnd"/>
      <w:r w:rsidR="00E66AE5" w:rsidRPr="007720BC">
        <w:rPr>
          <w:sz w:val="24"/>
          <w:szCs w:val="24"/>
          <w:lang w:val="en-US"/>
        </w:rPr>
        <w:t xml:space="preserve"> </w:t>
      </w:r>
      <w:proofErr w:type="spellStart"/>
      <w:r w:rsidR="00E66AE5" w:rsidRPr="007720BC">
        <w:rPr>
          <w:sz w:val="24"/>
          <w:szCs w:val="24"/>
          <w:lang w:val="en-US"/>
        </w:rPr>
        <w:t>secara</w:t>
      </w:r>
      <w:proofErr w:type="spellEnd"/>
      <w:r w:rsidR="00E66AE5" w:rsidRPr="007720BC">
        <w:rPr>
          <w:sz w:val="24"/>
          <w:szCs w:val="24"/>
          <w:lang w:val="en-US"/>
        </w:rPr>
        <w:t xml:space="preserve"> </w:t>
      </w:r>
      <w:proofErr w:type="spellStart"/>
      <w:r w:rsidR="00E66AE5" w:rsidRPr="007720BC">
        <w:rPr>
          <w:sz w:val="24"/>
          <w:szCs w:val="24"/>
          <w:lang w:val="en-US"/>
        </w:rPr>
        <w:t>langsung</w:t>
      </w:r>
      <w:proofErr w:type="spellEnd"/>
      <w:r w:rsidR="00E66AE5" w:rsidRPr="007720BC">
        <w:rPr>
          <w:sz w:val="24"/>
          <w:szCs w:val="24"/>
          <w:lang w:val="en-US"/>
        </w:rPr>
        <w:t xml:space="preserve"> </w:t>
      </w:r>
      <w:proofErr w:type="spellStart"/>
      <w:r w:rsidR="00E66AE5" w:rsidRPr="007720BC">
        <w:rPr>
          <w:sz w:val="24"/>
          <w:szCs w:val="24"/>
          <w:lang w:val="en-US"/>
        </w:rPr>
        <w:t>dalam</w:t>
      </w:r>
      <w:proofErr w:type="spellEnd"/>
      <w:r w:rsidR="00E66AE5" w:rsidRPr="007720BC">
        <w:rPr>
          <w:sz w:val="24"/>
          <w:szCs w:val="24"/>
          <w:lang w:val="en-US"/>
        </w:rPr>
        <w:t xml:space="preserve"> </w:t>
      </w:r>
      <w:proofErr w:type="spellStart"/>
      <w:r w:rsidR="00E66AE5" w:rsidRPr="007720BC">
        <w:rPr>
          <w:sz w:val="24"/>
          <w:szCs w:val="24"/>
          <w:lang w:val="en-US"/>
        </w:rPr>
        <w:t>memberikan</w:t>
      </w:r>
      <w:proofErr w:type="spellEnd"/>
      <w:r w:rsidR="00E66AE5" w:rsidRPr="007720BC">
        <w:rPr>
          <w:sz w:val="24"/>
          <w:szCs w:val="24"/>
          <w:lang w:val="en-US"/>
        </w:rPr>
        <w:t xml:space="preserve"> </w:t>
      </w:r>
      <w:proofErr w:type="spellStart"/>
      <w:r w:rsidR="00E66AE5" w:rsidRPr="007720BC">
        <w:rPr>
          <w:sz w:val="24"/>
          <w:szCs w:val="24"/>
          <w:lang w:val="en-US"/>
        </w:rPr>
        <w:t>umpan</w:t>
      </w:r>
      <w:proofErr w:type="spellEnd"/>
      <w:r w:rsidR="00E66AE5" w:rsidRPr="007720BC">
        <w:rPr>
          <w:sz w:val="24"/>
          <w:szCs w:val="24"/>
          <w:lang w:val="en-US"/>
        </w:rPr>
        <w:t xml:space="preserve"> </w:t>
      </w:r>
      <w:proofErr w:type="spellStart"/>
      <w:r w:rsidR="00E66AE5" w:rsidRPr="007720BC">
        <w:rPr>
          <w:sz w:val="24"/>
          <w:szCs w:val="24"/>
          <w:lang w:val="en-US"/>
        </w:rPr>
        <w:t>balik</w:t>
      </w:r>
      <w:proofErr w:type="spellEnd"/>
      <w:r w:rsidR="00E66AE5" w:rsidRPr="007720BC">
        <w:rPr>
          <w:sz w:val="24"/>
          <w:szCs w:val="24"/>
          <w:lang w:val="en-US"/>
        </w:rPr>
        <w:t xml:space="preserve"> </w:t>
      </w:r>
      <w:proofErr w:type="spellStart"/>
      <w:r w:rsidR="00E66AE5" w:rsidRPr="007720BC">
        <w:rPr>
          <w:sz w:val="24"/>
          <w:szCs w:val="24"/>
          <w:lang w:val="en-US"/>
        </w:rPr>
        <w:t>permasalahan</w:t>
      </w:r>
      <w:proofErr w:type="spellEnd"/>
      <w:r w:rsidR="00E66AE5" w:rsidRPr="007720BC">
        <w:rPr>
          <w:sz w:val="24"/>
          <w:szCs w:val="24"/>
          <w:lang w:val="en-US"/>
        </w:rPr>
        <w:t xml:space="preserve"> yang </w:t>
      </w:r>
      <w:proofErr w:type="spellStart"/>
      <w:r w:rsidR="00E66AE5" w:rsidRPr="007720BC">
        <w:rPr>
          <w:sz w:val="24"/>
          <w:szCs w:val="24"/>
          <w:lang w:val="en-US"/>
        </w:rPr>
        <w:t>dihadapi</w:t>
      </w:r>
      <w:proofErr w:type="spellEnd"/>
      <w:r w:rsidR="00E66AE5" w:rsidRPr="007720BC">
        <w:rPr>
          <w:sz w:val="24"/>
          <w:szCs w:val="24"/>
          <w:lang w:val="en-US"/>
        </w:rPr>
        <w:t xml:space="preserve"> </w:t>
      </w:r>
      <w:proofErr w:type="spellStart"/>
      <w:r w:rsidR="00910C3A" w:rsidRPr="007720BC">
        <w:rPr>
          <w:sz w:val="24"/>
          <w:szCs w:val="24"/>
          <w:lang w:val="en-US"/>
        </w:rPr>
        <w:t>sehingga</w:t>
      </w:r>
      <w:proofErr w:type="spellEnd"/>
      <w:r w:rsidR="00910C3A" w:rsidRPr="007720BC">
        <w:rPr>
          <w:sz w:val="24"/>
          <w:szCs w:val="24"/>
          <w:lang w:val="en-US"/>
        </w:rPr>
        <w:t xml:space="preserve"> </w:t>
      </w:r>
      <w:proofErr w:type="spellStart"/>
      <w:r w:rsidR="00E66AE5" w:rsidRPr="007720BC">
        <w:rPr>
          <w:sz w:val="24"/>
          <w:szCs w:val="24"/>
          <w:lang w:val="en-US"/>
        </w:rPr>
        <w:t>dapat</w:t>
      </w:r>
      <w:proofErr w:type="spellEnd"/>
      <w:r w:rsidR="00E66AE5" w:rsidRPr="007720BC">
        <w:rPr>
          <w:sz w:val="24"/>
          <w:szCs w:val="24"/>
          <w:lang w:val="en-US"/>
        </w:rPr>
        <w:t xml:space="preserve"> </w:t>
      </w:r>
      <w:proofErr w:type="spellStart"/>
      <w:r w:rsidR="00E66AE5" w:rsidRPr="007720BC">
        <w:rPr>
          <w:sz w:val="24"/>
          <w:szCs w:val="24"/>
          <w:lang w:val="en-US"/>
        </w:rPr>
        <w:t>menjadi</w:t>
      </w:r>
      <w:proofErr w:type="spellEnd"/>
      <w:r w:rsidR="00E66AE5" w:rsidRPr="007720BC">
        <w:rPr>
          <w:sz w:val="24"/>
          <w:szCs w:val="24"/>
          <w:lang w:val="en-US"/>
        </w:rPr>
        <w:t xml:space="preserve"> </w:t>
      </w:r>
      <w:proofErr w:type="spellStart"/>
      <w:r w:rsidR="00E66AE5" w:rsidRPr="007720BC">
        <w:rPr>
          <w:sz w:val="24"/>
          <w:szCs w:val="24"/>
          <w:lang w:val="en-US"/>
        </w:rPr>
        <w:t>pendekatan</w:t>
      </w:r>
      <w:proofErr w:type="spellEnd"/>
      <w:r w:rsidR="00E66AE5" w:rsidRPr="007720BC">
        <w:rPr>
          <w:sz w:val="24"/>
          <w:szCs w:val="24"/>
          <w:lang w:val="en-US"/>
        </w:rPr>
        <w:t xml:space="preserve"> </w:t>
      </w:r>
      <w:proofErr w:type="spellStart"/>
      <w:r w:rsidR="00E66AE5" w:rsidRPr="007720BC">
        <w:rPr>
          <w:sz w:val="24"/>
          <w:szCs w:val="24"/>
          <w:lang w:val="en-US"/>
        </w:rPr>
        <w:t>intervensi</w:t>
      </w:r>
      <w:proofErr w:type="spellEnd"/>
      <w:r w:rsidR="00E66AE5" w:rsidRPr="007720BC">
        <w:rPr>
          <w:sz w:val="24"/>
          <w:szCs w:val="24"/>
          <w:lang w:val="en-US"/>
        </w:rPr>
        <w:t xml:space="preserve"> yang </w:t>
      </w:r>
      <w:proofErr w:type="spellStart"/>
      <w:r w:rsidR="00E66AE5" w:rsidRPr="007720BC">
        <w:rPr>
          <w:sz w:val="24"/>
          <w:szCs w:val="24"/>
          <w:lang w:val="en-US"/>
        </w:rPr>
        <w:t>efektif</w:t>
      </w:r>
      <w:proofErr w:type="spellEnd"/>
      <w:r w:rsidR="00E66AE5" w:rsidRPr="007720BC">
        <w:rPr>
          <w:sz w:val="24"/>
          <w:szCs w:val="24"/>
          <w:lang w:val="en-US"/>
        </w:rPr>
        <w:t xml:space="preserve"> </w:t>
      </w:r>
      <w:proofErr w:type="spellStart"/>
      <w:r w:rsidR="00E66AE5" w:rsidRPr="007720BC">
        <w:rPr>
          <w:sz w:val="24"/>
          <w:szCs w:val="24"/>
          <w:lang w:val="en-US"/>
        </w:rPr>
        <w:t>bagi</w:t>
      </w:r>
      <w:proofErr w:type="spellEnd"/>
      <w:r w:rsidR="00E66AE5" w:rsidRPr="007720BC">
        <w:rPr>
          <w:sz w:val="24"/>
          <w:szCs w:val="24"/>
          <w:lang w:val="en-US"/>
        </w:rPr>
        <w:t xml:space="preserve"> </w:t>
      </w:r>
      <w:proofErr w:type="spellStart"/>
      <w:r w:rsidR="00E66AE5" w:rsidRPr="007720BC">
        <w:rPr>
          <w:sz w:val="24"/>
          <w:szCs w:val="24"/>
          <w:lang w:val="en-US"/>
        </w:rPr>
        <w:t>kelompok</w:t>
      </w:r>
      <w:proofErr w:type="spellEnd"/>
      <w:r w:rsidR="00E66AE5" w:rsidRPr="007720BC">
        <w:rPr>
          <w:sz w:val="24"/>
          <w:szCs w:val="24"/>
          <w:lang w:val="en-US"/>
        </w:rPr>
        <w:t xml:space="preserve"> </w:t>
      </w:r>
      <w:proofErr w:type="spellStart"/>
      <w:r w:rsidR="00E66AE5" w:rsidRPr="007720BC">
        <w:rPr>
          <w:sz w:val="24"/>
          <w:szCs w:val="24"/>
          <w:lang w:val="en-US"/>
        </w:rPr>
        <w:t>kerja</w:t>
      </w:r>
      <w:proofErr w:type="spellEnd"/>
      <w:r w:rsidR="00E66AE5" w:rsidRPr="007720BC">
        <w:rPr>
          <w:sz w:val="24"/>
          <w:szCs w:val="24"/>
          <w:lang w:val="en-US"/>
        </w:rPr>
        <w:t xml:space="preserve"> Kampung KB </w:t>
      </w:r>
      <w:proofErr w:type="spellStart"/>
      <w:r w:rsidR="00E66AE5" w:rsidRPr="007720BC">
        <w:rPr>
          <w:sz w:val="24"/>
          <w:szCs w:val="24"/>
          <w:lang w:val="en-US"/>
        </w:rPr>
        <w:t>untuk</w:t>
      </w:r>
      <w:proofErr w:type="spellEnd"/>
      <w:r w:rsidR="00E66AE5" w:rsidRPr="007720BC">
        <w:rPr>
          <w:sz w:val="24"/>
          <w:szCs w:val="24"/>
          <w:lang w:val="en-US"/>
        </w:rPr>
        <w:t xml:space="preserve"> </w:t>
      </w:r>
      <w:proofErr w:type="spellStart"/>
      <w:r w:rsidR="00E66AE5" w:rsidRPr="007720BC">
        <w:rPr>
          <w:sz w:val="24"/>
          <w:szCs w:val="24"/>
          <w:lang w:val="en-US"/>
        </w:rPr>
        <w:t>melakukan</w:t>
      </w:r>
      <w:proofErr w:type="spellEnd"/>
      <w:r w:rsidR="00E66AE5" w:rsidRPr="007720BC">
        <w:rPr>
          <w:sz w:val="24"/>
          <w:szCs w:val="24"/>
          <w:lang w:val="en-US"/>
        </w:rPr>
        <w:t xml:space="preserve"> </w:t>
      </w:r>
      <w:proofErr w:type="spellStart"/>
      <w:r w:rsidR="00E66AE5" w:rsidRPr="007720BC">
        <w:rPr>
          <w:sz w:val="24"/>
          <w:szCs w:val="24"/>
          <w:lang w:val="en-US"/>
        </w:rPr>
        <w:t>perencanaan</w:t>
      </w:r>
      <w:proofErr w:type="spellEnd"/>
      <w:r w:rsidR="00E66AE5" w:rsidRPr="007720BC">
        <w:rPr>
          <w:sz w:val="24"/>
          <w:szCs w:val="24"/>
          <w:lang w:val="en-US"/>
        </w:rPr>
        <w:t xml:space="preserve"> dan </w:t>
      </w:r>
      <w:proofErr w:type="spellStart"/>
      <w:r w:rsidR="00E66AE5" w:rsidRPr="007720BC">
        <w:rPr>
          <w:sz w:val="24"/>
          <w:szCs w:val="24"/>
          <w:lang w:val="en-US"/>
        </w:rPr>
        <w:t>implementasi</w:t>
      </w:r>
      <w:proofErr w:type="spellEnd"/>
      <w:r w:rsidR="00E66AE5" w:rsidRPr="007720BC">
        <w:rPr>
          <w:sz w:val="24"/>
          <w:szCs w:val="24"/>
          <w:lang w:val="en-US"/>
        </w:rPr>
        <w:t xml:space="preserve"> </w:t>
      </w:r>
      <w:proofErr w:type="spellStart"/>
      <w:r w:rsidR="00910C3A" w:rsidRPr="007720BC">
        <w:rPr>
          <w:sz w:val="24"/>
          <w:szCs w:val="24"/>
          <w:lang w:val="en-US"/>
        </w:rPr>
        <w:t>kebijakan</w:t>
      </w:r>
      <w:proofErr w:type="spellEnd"/>
      <w:r w:rsidR="00910C3A" w:rsidRPr="007720BC">
        <w:rPr>
          <w:sz w:val="24"/>
          <w:szCs w:val="24"/>
          <w:lang w:val="en-US"/>
        </w:rPr>
        <w:t xml:space="preserve"> </w:t>
      </w:r>
      <w:proofErr w:type="spellStart"/>
      <w:r w:rsidR="00910C3A" w:rsidRPr="007720BC">
        <w:rPr>
          <w:sz w:val="24"/>
          <w:szCs w:val="24"/>
          <w:lang w:val="en-US"/>
        </w:rPr>
        <w:t>penurunan</w:t>
      </w:r>
      <w:proofErr w:type="spellEnd"/>
      <w:r w:rsidR="00910C3A" w:rsidRPr="007720BC">
        <w:rPr>
          <w:sz w:val="24"/>
          <w:szCs w:val="24"/>
          <w:lang w:val="en-US"/>
        </w:rPr>
        <w:t xml:space="preserve"> </w:t>
      </w:r>
      <w:proofErr w:type="spellStart"/>
      <w:r w:rsidR="00910C3A" w:rsidRPr="007720BC">
        <w:rPr>
          <w:sz w:val="24"/>
          <w:szCs w:val="24"/>
          <w:lang w:val="en-US"/>
        </w:rPr>
        <w:t>percepatan</w:t>
      </w:r>
      <w:proofErr w:type="spellEnd"/>
      <w:r w:rsidR="00910C3A" w:rsidRPr="007720BC">
        <w:rPr>
          <w:sz w:val="24"/>
          <w:szCs w:val="24"/>
          <w:lang w:val="en-US"/>
        </w:rPr>
        <w:t xml:space="preserve"> stunting </w:t>
      </w:r>
      <w:proofErr w:type="spellStart"/>
      <w:r w:rsidR="00910C3A" w:rsidRPr="007720BC">
        <w:rPr>
          <w:sz w:val="24"/>
          <w:szCs w:val="24"/>
          <w:lang w:val="en-US"/>
        </w:rPr>
        <w:t>selanjutnya</w:t>
      </w:r>
      <w:proofErr w:type="spellEnd"/>
      <w:r w:rsidR="00910C3A" w:rsidRPr="007720BC">
        <w:rPr>
          <w:sz w:val="24"/>
          <w:szCs w:val="24"/>
          <w:lang w:val="en-US"/>
        </w:rPr>
        <w:t xml:space="preserve">. </w:t>
      </w:r>
    </w:p>
    <w:p w14:paraId="2670FEEF" w14:textId="77777777" w:rsidR="00B61E88" w:rsidRDefault="00B61E88" w:rsidP="00CB2900">
      <w:pPr>
        <w:pStyle w:val="BodyText"/>
        <w:contextualSpacing/>
        <w:jc w:val="both"/>
        <w:rPr>
          <w:sz w:val="24"/>
          <w:szCs w:val="24"/>
          <w:lang w:val="en-US"/>
        </w:rPr>
      </w:pPr>
    </w:p>
    <w:p w14:paraId="1EA273F3" w14:textId="513F8BC4" w:rsidR="00F40AAF" w:rsidRPr="007720BC" w:rsidRDefault="00B61E88" w:rsidP="00CB2900">
      <w:pPr>
        <w:pStyle w:val="BodyText"/>
        <w:contextualSpacing/>
        <w:jc w:val="both"/>
        <w:rPr>
          <w:b/>
          <w:bCs/>
          <w:sz w:val="24"/>
          <w:szCs w:val="24"/>
          <w:lang w:val="en-US"/>
        </w:rPr>
      </w:pPr>
      <w:proofErr w:type="spellStart"/>
      <w:r w:rsidRPr="007720BC">
        <w:rPr>
          <w:b/>
          <w:bCs/>
          <w:sz w:val="24"/>
          <w:szCs w:val="24"/>
          <w:lang w:val="en-US"/>
        </w:rPr>
        <w:t>Simpulan</w:t>
      </w:r>
      <w:proofErr w:type="spellEnd"/>
    </w:p>
    <w:p w14:paraId="26781093" w14:textId="3454D7A8" w:rsidR="001B5F2D" w:rsidRPr="007720BC" w:rsidRDefault="00910C3A" w:rsidP="00910C3A">
      <w:pPr>
        <w:pStyle w:val="BodyText"/>
        <w:ind w:firstLine="720"/>
        <w:contextualSpacing/>
        <w:jc w:val="both"/>
        <w:rPr>
          <w:sz w:val="24"/>
          <w:szCs w:val="24"/>
          <w:lang w:val="en-ID"/>
        </w:rPr>
      </w:pPr>
      <w:proofErr w:type="spellStart"/>
      <w:r w:rsidRPr="007720BC">
        <w:rPr>
          <w:sz w:val="24"/>
          <w:szCs w:val="24"/>
          <w:lang w:val="en-US"/>
        </w:rPr>
        <w:t>Implementasi</w:t>
      </w:r>
      <w:proofErr w:type="spellEnd"/>
      <w:r w:rsidRPr="007720BC">
        <w:rPr>
          <w:sz w:val="24"/>
          <w:szCs w:val="24"/>
          <w:lang w:val="en-US"/>
        </w:rPr>
        <w:t xml:space="preserve"> </w:t>
      </w:r>
      <w:proofErr w:type="spellStart"/>
      <w:r w:rsidRPr="007720BC">
        <w:rPr>
          <w:sz w:val="24"/>
          <w:szCs w:val="24"/>
          <w:lang w:val="en-US"/>
        </w:rPr>
        <w:t>kebijakan</w:t>
      </w:r>
      <w:proofErr w:type="spellEnd"/>
      <w:r w:rsidRPr="007720BC">
        <w:rPr>
          <w:sz w:val="24"/>
          <w:szCs w:val="24"/>
          <w:lang w:val="en-US"/>
        </w:rPr>
        <w:t xml:space="preserve"> </w:t>
      </w:r>
      <w:proofErr w:type="spellStart"/>
      <w:r w:rsidRPr="007720BC">
        <w:rPr>
          <w:sz w:val="24"/>
          <w:szCs w:val="24"/>
          <w:lang w:val="en-US"/>
        </w:rPr>
        <w:t>penurunan</w:t>
      </w:r>
      <w:proofErr w:type="spellEnd"/>
      <w:r w:rsidRPr="007720BC">
        <w:rPr>
          <w:sz w:val="24"/>
          <w:szCs w:val="24"/>
          <w:lang w:val="en-US"/>
        </w:rPr>
        <w:t xml:space="preserve"> </w:t>
      </w:r>
      <w:proofErr w:type="spellStart"/>
      <w:r w:rsidRPr="007720BC">
        <w:rPr>
          <w:sz w:val="24"/>
          <w:szCs w:val="24"/>
          <w:lang w:val="en-US"/>
        </w:rPr>
        <w:t>percepatan</w:t>
      </w:r>
      <w:proofErr w:type="spellEnd"/>
      <w:r w:rsidRPr="007720BC">
        <w:rPr>
          <w:sz w:val="24"/>
          <w:szCs w:val="24"/>
          <w:lang w:val="en-US"/>
        </w:rPr>
        <w:t xml:space="preserve"> stunting </w:t>
      </w:r>
      <w:proofErr w:type="spellStart"/>
      <w:r w:rsidRPr="007720BC">
        <w:rPr>
          <w:sz w:val="24"/>
          <w:szCs w:val="24"/>
          <w:lang w:val="en-US"/>
        </w:rPr>
        <w:t>sudah</w:t>
      </w:r>
      <w:proofErr w:type="spellEnd"/>
      <w:r w:rsidRPr="007720BC">
        <w:rPr>
          <w:sz w:val="24"/>
          <w:szCs w:val="24"/>
          <w:lang w:val="en-US"/>
        </w:rPr>
        <w:t xml:space="preserve"> </w:t>
      </w:r>
      <w:proofErr w:type="spellStart"/>
      <w:r w:rsidRPr="007720BC">
        <w:rPr>
          <w:sz w:val="24"/>
          <w:szCs w:val="24"/>
          <w:lang w:val="en-US"/>
        </w:rPr>
        <w:t>cukup</w:t>
      </w:r>
      <w:proofErr w:type="spellEnd"/>
      <w:r w:rsidRPr="007720BC">
        <w:rPr>
          <w:sz w:val="24"/>
          <w:szCs w:val="24"/>
          <w:lang w:val="en-US"/>
        </w:rPr>
        <w:t xml:space="preserve"> </w:t>
      </w:r>
      <w:proofErr w:type="spellStart"/>
      <w:r w:rsidRPr="007720BC">
        <w:rPr>
          <w:sz w:val="24"/>
          <w:szCs w:val="24"/>
          <w:lang w:val="en-US"/>
        </w:rPr>
        <w:t>efektif</w:t>
      </w:r>
      <w:proofErr w:type="spellEnd"/>
      <w:r w:rsidRPr="007720BC">
        <w:rPr>
          <w:sz w:val="24"/>
          <w:szCs w:val="24"/>
          <w:lang w:val="en-US"/>
        </w:rPr>
        <w:t xml:space="preserve">. </w:t>
      </w:r>
      <w:proofErr w:type="spellStart"/>
      <w:r w:rsidRPr="007720BC">
        <w:rPr>
          <w:sz w:val="24"/>
          <w:szCs w:val="24"/>
          <w:lang w:val="en-US"/>
        </w:rPr>
        <w:t>Keempat</w:t>
      </w:r>
      <w:proofErr w:type="spellEnd"/>
      <w:r w:rsidRPr="007720BC">
        <w:rPr>
          <w:sz w:val="24"/>
          <w:szCs w:val="24"/>
          <w:lang w:val="en-US"/>
        </w:rPr>
        <w:t xml:space="preserve"> </w:t>
      </w:r>
      <w:proofErr w:type="spellStart"/>
      <w:r w:rsidRPr="007720BC">
        <w:rPr>
          <w:sz w:val="24"/>
          <w:szCs w:val="24"/>
          <w:lang w:val="en-US"/>
        </w:rPr>
        <w:t>dimensi</w:t>
      </w:r>
      <w:proofErr w:type="spellEnd"/>
      <w:r w:rsidRPr="007720BC">
        <w:rPr>
          <w:sz w:val="24"/>
          <w:szCs w:val="24"/>
          <w:lang w:val="en-US"/>
        </w:rPr>
        <w:t xml:space="preserve"> </w:t>
      </w:r>
      <w:proofErr w:type="spellStart"/>
      <w:r w:rsidRPr="007720BC">
        <w:rPr>
          <w:sz w:val="24"/>
          <w:szCs w:val="24"/>
          <w:lang w:val="en-US"/>
        </w:rPr>
        <w:t>yaitu</w:t>
      </w:r>
      <w:proofErr w:type="spellEnd"/>
      <w:r w:rsidRPr="007720BC">
        <w:rPr>
          <w:sz w:val="24"/>
          <w:szCs w:val="24"/>
          <w:lang w:val="en-US"/>
        </w:rPr>
        <w:t xml:space="preserve"> </w:t>
      </w:r>
      <w:r w:rsidRPr="007720BC">
        <w:rPr>
          <w:sz w:val="24"/>
          <w:szCs w:val="24"/>
        </w:rPr>
        <w:t>pendekatan terhadap perubahan perilaku kelompok sasaran, inovasi implementasi Kampung KB, dukungan pemerintah yang efektif dan dampak implementasi program</w:t>
      </w:r>
      <w:r w:rsidRPr="007720BC">
        <w:rPr>
          <w:sz w:val="24"/>
          <w:szCs w:val="24"/>
          <w:lang w:val="en-US"/>
        </w:rPr>
        <w:t xml:space="preserve"> </w:t>
      </w:r>
      <w:proofErr w:type="spellStart"/>
      <w:r w:rsidRPr="007720BC">
        <w:rPr>
          <w:sz w:val="24"/>
          <w:szCs w:val="24"/>
          <w:lang w:val="en-US"/>
        </w:rPr>
        <w:t>menunjukkan</w:t>
      </w:r>
      <w:proofErr w:type="spellEnd"/>
      <w:r w:rsidRPr="007720BC">
        <w:rPr>
          <w:sz w:val="24"/>
          <w:szCs w:val="24"/>
          <w:lang w:val="en-US"/>
        </w:rPr>
        <w:t xml:space="preserve"> indicator yang </w:t>
      </w:r>
      <w:proofErr w:type="spellStart"/>
      <w:r w:rsidRPr="007720BC">
        <w:rPr>
          <w:sz w:val="24"/>
          <w:szCs w:val="24"/>
          <w:lang w:val="en-US"/>
        </w:rPr>
        <w:t>dapat</w:t>
      </w:r>
      <w:proofErr w:type="spellEnd"/>
      <w:r w:rsidRPr="007720BC">
        <w:rPr>
          <w:sz w:val="24"/>
          <w:szCs w:val="24"/>
          <w:lang w:val="en-US"/>
        </w:rPr>
        <w:t xml:space="preserve"> </w:t>
      </w:r>
      <w:proofErr w:type="spellStart"/>
      <w:r w:rsidRPr="007720BC">
        <w:rPr>
          <w:sz w:val="24"/>
          <w:szCs w:val="24"/>
          <w:lang w:val="en-US"/>
        </w:rPr>
        <w:t>menjawab</w:t>
      </w:r>
      <w:proofErr w:type="spellEnd"/>
      <w:r w:rsidRPr="007720BC">
        <w:rPr>
          <w:sz w:val="24"/>
          <w:szCs w:val="24"/>
          <w:lang w:val="en-US"/>
        </w:rPr>
        <w:t xml:space="preserve"> </w:t>
      </w:r>
      <w:proofErr w:type="spellStart"/>
      <w:r w:rsidRPr="007720BC">
        <w:rPr>
          <w:sz w:val="24"/>
          <w:szCs w:val="24"/>
          <w:lang w:val="en-US"/>
        </w:rPr>
        <w:t>permasalahan</w:t>
      </w:r>
      <w:proofErr w:type="spellEnd"/>
      <w:r w:rsidRPr="007720BC">
        <w:rPr>
          <w:sz w:val="24"/>
          <w:szCs w:val="24"/>
          <w:lang w:val="en-US"/>
        </w:rPr>
        <w:t xml:space="preserve"> dan </w:t>
      </w:r>
      <w:proofErr w:type="spellStart"/>
      <w:r w:rsidRPr="007720BC">
        <w:rPr>
          <w:sz w:val="24"/>
          <w:szCs w:val="24"/>
          <w:lang w:val="en-US"/>
        </w:rPr>
        <w:t>kebutuhan</w:t>
      </w:r>
      <w:proofErr w:type="spellEnd"/>
      <w:r w:rsidRPr="007720BC">
        <w:rPr>
          <w:sz w:val="24"/>
          <w:szCs w:val="24"/>
          <w:lang w:val="en-US"/>
        </w:rPr>
        <w:t xml:space="preserve"> Masyarakat. </w:t>
      </w:r>
      <w:proofErr w:type="spellStart"/>
      <w:r w:rsidRPr="007720BC">
        <w:rPr>
          <w:sz w:val="24"/>
          <w:szCs w:val="24"/>
          <w:lang w:val="en-US"/>
        </w:rPr>
        <w:t>selain</w:t>
      </w:r>
      <w:proofErr w:type="spellEnd"/>
      <w:r w:rsidRPr="007720BC">
        <w:rPr>
          <w:sz w:val="24"/>
          <w:szCs w:val="24"/>
          <w:lang w:val="en-US"/>
        </w:rPr>
        <w:t xml:space="preserve"> </w:t>
      </w:r>
      <w:proofErr w:type="spellStart"/>
      <w:r w:rsidRPr="007720BC">
        <w:rPr>
          <w:sz w:val="24"/>
          <w:szCs w:val="24"/>
          <w:lang w:val="en-US"/>
        </w:rPr>
        <w:t>itu</w:t>
      </w:r>
      <w:proofErr w:type="spellEnd"/>
      <w:r w:rsidRPr="007720BC">
        <w:rPr>
          <w:sz w:val="24"/>
          <w:szCs w:val="24"/>
          <w:lang w:val="en-US"/>
        </w:rPr>
        <w:t xml:space="preserve"> </w:t>
      </w:r>
      <w:proofErr w:type="spellStart"/>
      <w:r w:rsidRPr="007720BC">
        <w:rPr>
          <w:sz w:val="24"/>
          <w:szCs w:val="24"/>
          <w:lang w:val="en-US"/>
        </w:rPr>
        <w:t>temuan</w:t>
      </w:r>
      <w:proofErr w:type="spellEnd"/>
      <w:r w:rsidRPr="007720BC">
        <w:rPr>
          <w:sz w:val="24"/>
          <w:szCs w:val="24"/>
          <w:lang w:val="en-US"/>
        </w:rPr>
        <w:t xml:space="preserve"> </w:t>
      </w:r>
      <w:proofErr w:type="spellStart"/>
      <w:r w:rsidRPr="007720BC">
        <w:rPr>
          <w:sz w:val="24"/>
          <w:szCs w:val="24"/>
          <w:lang w:val="en-US"/>
        </w:rPr>
        <w:t>penelitian</w:t>
      </w:r>
      <w:proofErr w:type="spellEnd"/>
      <w:r w:rsidRPr="007720BC">
        <w:rPr>
          <w:sz w:val="24"/>
          <w:szCs w:val="24"/>
          <w:lang w:val="en-US"/>
        </w:rPr>
        <w:t xml:space="preserve"> </w:t>
      </w:r>
      <w:proofErr w:type="spellStart"/>
      <w:r w:rsidRPr="007720BC">
        <w:rPr>
          <w:sz w:val="24"/>
          <w:szCs w:val="24"/>
          <w:lang w:val="en-US"/>
        </w:rPr>
        <w:t>menunjukkan</w:t>
      </w:r>
      <w:proofErr w:type="spellEnd"/>
      <w:r w:rsidRPr="007720BC">
        <w:rPr>
          <w:sz w:val="24"/>
          <w:szCs w:val="24"/>
          <w:lang w:val="en-US"/>
        </w:rPr>
        <w:t xml:space="preserve"> </w:t>
      </w:r>
      <w:proofErr w:type="spellStart"/>
      <w:r w:rsidRPr="007720BC">
        <w:rPr>
          <w:sz w:val="24"/>
          <w:szCs w:val="24"/>
          <w:lang w:val="en-US"/>
        </w:rPr>
        <w:t>adanya</w:t>
      </w:r>
      <w:proofErr w:type="spellEnd"/>
      <w:r w:rsidRPr="007720BC">
        <w:rPr>
          <w:sz w:val="24"/>
          <w:szCs w:val="24"/>
          <w:lang w:val="en-US"/>
        </w:rPr>
        <w:t xml:space="preserve"> </w:t>
      </w:r>
      <w:proofErr w:type="spellStart"/>
      <w:r w:rsidRPr="007720BC">
        <w:rPr>
          <w:sz w:val="24"/>
          <w:szCs w:val="24"/>
          <w:lang w:val="en-US"/>
        </w:rPr>
        <w:t>faktor</w:t>
      </w:r>
      <w:proofErr w:type="spellEnd"/>
      <w:r w:rsidRPr="007720BC">
        <w:rPr>
          <w:sz w:val="24"/>
          <w:szCs w:val="24"/>
          <w:lang w:val="en-US"/>
        </w:rPr>
        <w:t xml:space="preserve"> </w:t>
      </w:r>
      <w:proofErr w:type="spellStart"/>
      <w:r w:rsidR="002D1E70" w:rsidRPr="007720BC">
        <w:rPr>
          <w:sz w:val="24"/>
          <w:szCs w:val="24"/>
          <w:lang w:val="en-US"/>
        </w:rPr>
        <w:t>kepemimpinan</w:t>
      </w:r>
      <w:proofErr w:type="spellEnd"/>
      <w:r w:rsidR="002D1E70" w:rsidRPr="007720BC">
        <w:rPr>
          <w:sz w:val="24"/>
          <w:szCs w:val="24"/>
          <w:lang w:val="en-US"/>
        </w:rPr>
        <w:t xml:space="preserve"> </w:t>
      </w:r>
      <w:r w:rsidR="002D1E70" w:rsidRPr="007720BC">
        <w:rPr>
          <w:sz w:val="24"/>
          <w:szCs w:val="24"/>
          <w:lang w:val="en-US"/>
        </w:rPr>
        <w:lastRenderedPageBreak/>
        <w:t xml:space="preserve">responsive, </w:t>
      </w:r>
      <w:proofErr w:type="spellStart"/>
      <w:r w:rsidR="002D1E70" w:rsidRPr="007720BC">
        <w:rPr>
          <w:sz w:val="24"/>
          <w:szCs w:val="24"/>
          <w:lang w:val="en-US"/>
        </w:rPr>
        <w:t>kolaborasi</w:t>
      </w:r>
      <w:proofErr w:type="spellEnd"/>
      <w:r w:rsidR="002D1E70" w:rsidRPr="007720BC">
        <w:rPr>
          <w:sz w:val="24"/>
          <w:szCs w:val="24"/>
          <w:lang w:val="en-US"/>
        </w:rPr>
        <w:t xml:space="preserve"> yang focus </w:t>
      </w:r>
      <w:proofErr w:type="spellStart"/>
      <w:r w:rsidR="002D1E70" w:rsidRPr="007720BC">
        <w:rPr>
          <w:sz w:val="24"/>
          <w:szCs w:val="24"/>
          <w:lang w:val="en-US"/>
        </w:rPr>
        <w:t>terhadap</w:t>
      </w:r>
      <w:proofErr w:type="spellEnd"/>
      <w:r w:rsidR="002D1E70" w:rsidRPr="007720BC">
        <w:rPr>
          <w:sz w:val="24"/>
          <w:szCs w:val="24"/>
          <w:lang w:val="en-US"/>
        </w:rPr>
        <w:t xml:space="preserve"> </w:t>
      </w:r>
      <w:proofErr w:type="spellStart"/>
      <w:r w:rsidR="002D1E70" w:rsidRPr="007720BC">
        <w:rPr>
          <w:sz w:val="24"/>
          <w:szCs w:val="24"/>
          <w:lang w:val="en-US"/>
        </w:rPr>
        <w:t>rencana</w:t>
      </w:r>
      <w:proofErr w:type="spellEnd"/>
      <w:r w:rsidR="002D1E70" w:rsidRPr="007720BC">
        <w:rPr>
          <w:sz w:val="24"/>
          <w:szCs w:val="24"/>
          <w:lang w:val="en-US"/>
        </w:rPr>
        <w:t xml:space="preserve"> dan </w:t>
      </w:r>
      <w:proofErr w:type="spellStart"/>
      <w:r w:rsidR="002D1E70" w:rsidRPr="007720BC">
        <w:rPr>
          <w:sz w:val="24"/>
          <w:szCs w:val="24"/>
          <w:lang w:val="en-US"/>
        </w:rPr>
        <w:t>tindakan</w:t>
      </w:r>
      <w:proofErr w:type="spellEnd"/>
      <w:r w:rsidR="002D1E70" w:rsidRPr="007720BC">
        <w:rPr>
          <w:sz w:val="24"/>
          <w:szCs w:val="24"/>
          <w:lang w:val="en-US"/>
        </w:rPr>
        <w:t>,</w:t>
      </w:r>
      <w:r w:rsidRPr="007720BC">
        <w:rPr>
          <w:sz w:val="24"/>
          <w:szCs w:val="24"/>
          <w:lang w:val="en-US"/>
        </w:rPr>
        <w:t xml:space="preserve"> dan </w:t>
      </w:r>
      <w:proofErr w:type="spellStart"/>
      <w:r w:rsidR="002D1E70" w:rsidRPr="007720BC">
        <w:rPr>
          <w:sz w:val="24"/>
          <w:szCs w:val="24"/>
          <w:lang w:val="en-US"/>
        </w:rPr>
        <w:t>komitmen</w:t>
      </w:r>
      <w:proofErr w:type="spellEnd"/>
      <w:r w:rsidR="002D1E70" w:rsidRPr="007720BC">
        <w:rPr>
          <w:sz w:val="24"/>
          <w:szCs w:val="24"/>
          <w:lang w:val="en-US"/>
        </w:rPr>
        <w:t xml:space="preserve"> </w:t>
      </w:r>
      <w:proofErr w:type="spellStart"/>
      <w:r w:rsidR="002D1E70" w:rsidRPr="007720BC">
        <w:rPr>
          <w:sz w:val="24"/>
          <w:szCs w:val="24"/>
          <w:lang w:val="en-US"/>
        </w:rPr>
        <w:t>bersama</w:t>
      </w:r>
      <w:proofErr w:type="spellEnd"/>
      <w:r w:rsidR="002D1E70" w:rsidRPr="007720BC">
        <w:rPr>
          <w:sz w:val="24"/>
          <w:szCs w:val="24"/>
          <w:lang w:val="en-US"/>
        </w:rPr>
        <w:t xml:space="preserve"> para stakeholder</w:t>
      </w:r>
      <w:r w:rsidRPr="007720BC">
        <w:rPr>
          <w:sz w:val="24"/>
          <w:szCs w:val="24"/>
          <w:lang w:val="en-US"/>
        </w:rPr>
        <w:t xml:space="preserve"> </w:t>
      </w:r>
      <w:proofErr w:type="spellStart"/>
      <w:r w:rsidRPr="007720BC">
        <w:rPr>
          <w:sz w:val="24"/>
          <w:szCs w:val="24"/>
          <w:lang w:val="en-US"/>
        </w:rPr>
        <w:t>sehingga</w:t>
      </w:r>
      <w:proofErr w:type="spellEnd"/>
      <w:r w:rsidRPr="007720BC">
        <w:rPr>
          <w:sz w:val="24"/>
          <w:szCs w:val="24"/>
          <w:lang w:val="en-US"/>
        </w:rPr>
        <w:t xml:space="preserve"> </w:t>
      </w:r>
      <w:proofErr w:type="spellStart"/>
      <w:r w:rsidRPr="007720BC">
        <w:rPr>
          <w:sz w:val="24"/>
          <w:szCs w:val="24"/>
          <w:lang w:val="en-US"/>
        </w:rPr>
        <w:t>berdampak</w:t>
      </w:r>
      <w:proofErr w:type="spellEnd"/>
      <w:r w:rsidRPr="007720BC">
        <w:rPr>
          <w:sz w:val="24"/>
          <w:szCs w:val="24"/>
          <w:lang w:val="en-US"/>
        </w:rPr>
        <w:t xml:space="preserve"> pada </w:t>
      </w:r>
      <w:proofErr w:type="spellStart"/>
      <w:r w:rsidR="002D1E70" w:rsidRPr="007720BC">
        <w:rPr>
          <w:sz w:val="24"/>
          <w:szCs w:val="24"/>
          <w:lang w:val="en-US"/>
        </w:rPr>
        <w:t>meningkatnya</w:t>
      </w:r>
      <w:proofErr w:type="spellEnd"/>
      <w:r w:rsidR="002D1E70" w:rsidRPr="007720BC">
        <w:rPr>
          <w:sz w:val="24"/>
          <w:szCs w:val="24"/>
          <w:lang w:val="en-US"/>
        </w:rPr>
        <w:t xml:space="preserve"> </w:t>
      </w:r>
      <w:proofErr w:type="spellStart"/>
      <w:r w:rsidR="002D1E70" w:rsidRPr="007720BC">
        <w:rPr>
          <w:sz w:val="24"/>
          <w:szCs w:val="24"/>
          <w:lang w:val="en-US"/>
        </w:rPr>
        <w:t>derajat</w:t>
      </w:r>
      <w:proofErr w:type="spellEnd"/>
      <w:r w:rsidR="002D1E70" w:rsidRPr="007720BC">
        <w:rPr>
          <w:sz w:val="24"/>
          <w:szCs w:val="24"/>
          <w:lang w:val="en-US"/>
        </w:rPr>
        <w:t xml:space="preserve"> </w:t>
      </w:r>
      <w:proofErr w:type="spellStart"/>
      <w:r w:rsidR="002D1E70" w:rsidRPr="007720BC">
        <w:rPr>
          <w:sz w:val="24"/>
          <w:szCs w:val="24"/>
          <w:lang w:val="en-US"/>
        </w:rPr>
        <w:t>kesehatan</w:t>
      </w:r>
      <w:proofErr w:type="spellEnd"/>
      <w:r w:rsidR="002D1E70" w:rsidRPr="007720BC">
        <w:rPr>
          <w:sz w:val="24"/>
          <w:szCs w:val="24"/>
          <w:lang w:val="en-US"/>
        </w:rPr>
        <w:t xml:space="preserve"> </w:t>
      </w:r>
      <w:r w:rsidRPr="007720BC">
        <w:rPr>
          <w:sz w:val="24"/>
          <w:szCs w:val="24"/>
          <w:lang w:val="en-US"/>
        </w:rPr>
        <w:t xml:space="preserve">Masyarakat. </w:t>
      </w:r>
      <w:proofErr w:type="spellStart"/>
      <w:r w:rsidR="001B5F2D" w:rsidRPr="007720BC">
        <w:rPr>
          <w:sz w:val="24"/>
          <w:szCs w:val="24"/>
          <w:lang w:val="en-US"/>
        </w:rPr>
        <w:t>Rekomendasi</w:t>
      </w:r>
      <w:proofErr w:type="spellEnd"/>
      <w:r w:rsidR="001B5F2D" w:rsidRPr="007720BC">
        <w:rPr>
          <w:sz w:val="24"/>
          <w:szCs w:val="24"/>
          <w:lang w:val="en-US"/>
        </w:rPr>
        <w:t xml:space="preserve"> </w:t>
      </w:r>
      <w:proofErr w:type="spellStart"/>
      <w:r w:rsidR="001B5F2D" w:rsidRPr="007720BC">
        <w:rPr>
          <w:sz w:val="24"/>
          <w:szCs w:val="24"/>
          <w:lang w:val="en-US"/>
        </w:rPr>
        <w:t>kebijakan</w:t>
      </w:r>
      <w:proofErr w:type="spellEnd"/>
      <w:r w:rsidR="001B5F2D" w:rsidRPr="007720BC">
        <w:rPr>
          <w:sz w:val="24"/>
          <w:szCs w:val="24"/>
          <w:lang w:val="en-US"/>
        </w:rPr>
        <w:t xml:space="preserve"> yang </w:t>
      </w:r>
      <w:proofErr w:type="spellStart"/>
      <w:r w:rsidR="001B5F2D" w:rsidRPr="007720BC">
        <w:rPr>
          <w:sz w:val="24"/>
          <w:szCs w:val="24"/>
          <w:lang w:val="en-US"/>
        </w:rPr>
        <w:t>dapat</w:t>
      </w:r>
      <w:proofErr w:type="spellEnd"/>
      <w:r w:rsidR="001B5F2D" w:rsidRPr="007720BC">
        <w:rPr>
          <w:sz w:val="24"/>
          <w:szCs w:val="24"/>
          <w:lang w:val="en-US"/>
        </w:rPr>
        <w:t xml:space="preserve"> d</w:t>
      </w:r>
      <w:r w:rsidR="001B5F2D" w:rsidRPr="007720BC">
        <w:rPr>
          <w:sz w:val="24"/>
          <w:szCs w:val="24"/>
        </w:rPr>
        <w:t>ijadikan model intervensi yang bisa diterapkan di kampung keluarga berkualitas lainnya di</w:t>
      </w:r>
      <w:r w:rsidR="001B5F2D" w:rsidRPr="007720BC">
        <w:rPr>
          <w:sz w:val="24"/>
          <w:szCs w:val="24"/>
          <w:lang w:val="en-US"/>
        </w:rPr>
        <w:t xml:space="preserve"> </w:t>
      </w:r>
      <w:r w:rsidRPr="007720BC">
        <w:rPr>
          <w:sz w:val="24"/>
          <w:szCs w:val="24"/>
          <w:lang w:val="en-US"/>
        </w:rPr>
        <w:t xml:space="preserve">Indonesia </w:t>
      </w:r>
      <w:proofErr w:type="spellStart"/>
      <w:r w:rsidRPr="007720BC">
        <w:rPr>
          <w:sz w:val="24"/>
          <w:szCs w:val="24"/>
          <w:lang w:val="en-US"/>
        </w:rPr>
        <w:t>yaitu</w:t>
      </w:r>
      <w:proofErr w:type="spellEnd"/>
      <w:r w:rsidRPr="007720BC">
        <w:rPr>
          <w:sz w:val="24"/>
          <w:szCs w:val="24"/>
          <w:lang w:val="en-US"/>
        </w:rPr>
        <w:t xml:space="preserve"> </w:t>
      </w:r>
      <w:proofErr w:type="spellStart"/>
      <w:r w:rsidRPr="007720BC">
        <w:rPr>
          <w:sz w:val="24"/>
          <w:szCs w:val="24"/>
          <w:lang w:val="en-US"/>
        </w:rPr>
        <w:t>m</w:t>
      </w:r>
      <w:r w:rsidR="001B5F2D" w:rsidRPr="007720BC">
        <w:rPr>
          <w:sz w:val="24"/>
          <w:szCs w:val="24"/>
          <w:lang w:val="en-US"/>
        </w:rPr>
        <w:t>endorong</w:t>
      </w:r>
      <w:proofErr w:type="spellEnd"/>
      <w:r w:rsidR="001B5F2D" w:rsidRPr="007720BC">
        <w:rPr>
          <w:sz w:val="24"/>
          <w:szCs w:val="24"/>
          <w:lang w:val="en-US"/>
        </w:rPr>
        <w:t xml:space="preserve"> </w:t>
      </w:r>
      <w:proofErr w:type="spellStart"/>
      <w:r w:rsidR="001B5F2D" w:rsidRPr="007720BC">
        <w:rPr>
          <w:sz w:val="24"/>
          <w:szCs w:val="24"/>
          <w:lang w:val="en-US"/>
        </w:rPr>
        <w:t>Kepemimpinan</w:t>
      </w:r>
      <w:proofErr w:type="spellEnd"/>
      <w:r w:rsidR="001B5F2D" w:rsidRPr="007720BC">
        <w:rPr>
          <w:sz w:val="24"/>
          <w:szCs w:val="24"/>
          <w:lang w:val="en-US"/>
        </w:rPr>
        <w:t xml:space="preserve"> </w:t>
      </w:r>
      <w:proofErr w:type="spellStart"/>
      <w:r w:rsidR="001B5F2D" w:rsidRPr="007720BC">
        <w:rPr>
          <w:sz w:val="24"/>
          <w:szCs w:val="24"/>
          <w:lang w:val="en-US"/>
        </w:rPr>
        <w:t>tingkat</w:t>
      </w:r>
      <w:proofErr w:type="spellEnd"/>
      <w:r w:rsidR="001B5F2D" w:rsidRPr="007720BC">
        <w:rPr>
          <w:sz w:val="24"/>
          <w:szCs w:val="24"/>
          <w:lang w:val="en-US"/>
        </w:rPr>
        <w:t xml:space="preserve"> local (</w:t>
      </w:r>
      <w:proofErr w:type="spellStart"/>
      <w:r w:rsidR="001B5F2D" w:rsidRPr="007720BC">
        <w:rPr>
          <w:sz w:val="24"/>
          <w:szCs w:val="24"/>
          <w:lang w:val="en-US"/>
        </w:rPr>
        <w:t>kepala</w:t>
      </w:r>
      <w:proofErr w:type="spellEnd"/>
      <w:r w:rsidR="001B5F2D" w:rsidRPr="007720BC">
        <w:rPr>
          <w:sz w:val="24"/>
          <w:szCs w:val="24"/>
          <w:lang w:val="en-US"/>
        </w:rPr>
        <w:t xml:space="preserve"> </w:t>
      </w:r>
      <w:proofErr w:type="spellStart"/>
      <w:r w:rsidR="001B5F2D" w:rsidRPr="007720BC">
        <w:rPr>
          <w:sz w:val="24"/>
          <w:szCs w:val="24"/>
          <w:lang w:val="en-US"/>
        </w:rPr>
        <w:t>desa</w:t>
      </w:r>
      <w:proofErr w:type="spellEnd"/>
      <w:r w:rsidR="001B5F2D" w:rsidRPr="007720BC">
        <w:rPr>
          <w:sz w:val="24"/>
          <w:szCs w:val="24"/>
          <w:lang w:val="en-US"/>
        </w:rPr>
        <w:t xml:space="preserve">) yang </w:t>
      </w:r>
      <w:proofErr w:type="spellStart"/>
      <w:r w:rsidRPr="007720BC">
        <w:rPr>
          <w:sz w:val="24"/>
          <w:szCs w:val="24"/>
          <w:lang w:val="en-US"/>
        </w:rPr>
        <w:t>responsif</w:t>
      </w:r>
      <w:proofErr w:type="spellEnd"/>
      <w:r w:rsidRPr="007720BC">
        <w:rPr>
          <w:sz w:val="24"/>
          <w:szCs w:val="24"/>
          <w:lang w:val="en-US"/>
        </w:rPr>
        <w:t xml:space="preserve"> </w:t>
      </w:r>
      <w:proofErr w:type="spellStart"/>
      <w:r w:rsidRPr="007720BC">
        <w:rPr>
          <w:sz w:val="24"/>
          <w:szCs w:val="24"/>
          <w:lang w:val="en-US"/>
        </w:rPr>
        <w:t>sebagai</w:t>
      </w:r>
      <w:proofErr w:type="spellEnd"/>
      <w:r w:rsidRPr="007720BC">
        <w:rPr>
          <w:sz w:val="24"/>
          <w:szCs w:val="24"/>
          <w:lang w:val="en-US"/>
        </w:rPr>
        <w:t xml:space="preserve"> </w:t>
      </w:r>
      <w:proofErr w:type="spellStart"/>
      <w:r w:rsidRPr="007720BC">
        <w:rPr>
          <w:sz w:val="24"/>
          <w:szCs w:val="24"/>
          <w:lang w:val="en-US"/>
        </w:rPr>
        <w:t>pengarah</w:t>
      </w:r>
      <w:proofErr w:type="spellEnd"/>
      <w:r w:rsidRPr="007720BC">
        <w:rPr>
          <w:sz w:val="24"/>
          <w:szCs w:val="24"/>
          <w:lang w:val="en-US"/>
        </w:rPr>
        <w:t xml:space="preserve"> dan </w:t>
      </w:r>
      <w:proofErr w:type="spellStart"/>
      <w:r w:rsidRPr="007720BC">
        <w:rPr>
          <w:sz w:val="24"/>
          <w:szCs w:val="24"/>
          <w:lang w:val="en-US"/>
        </w:rPr>
        <w:t>penggerak</w:t>
      </w:r>
      <w:proofErr w:type="spellEnd"/>
      <w:r w:rsidRPr="007720BC">
        <w:rPr>
          <w:sz w:val="24"/>
          <w:szCs w:val="24"/>
          <w:lang w:val="en-US"/>
        </w:rPr>
        <w:t xml:space="preserve"> </w:t>
      </w:r>
      <w:r w:rsidR="001B5F2D" w:rsidRPr="007720BC">
        <w:rPr>
          <w:sz w:val="24"/>
          <w:szCs w:val="24"/>
          <w:lang w:val="en-US"/>
        </w:rPr>
        <w:t xml:space="preserve">Kampung KB </w:t>
      </w:r>
      <w:proofErr w:type="spellStart"/>
      <w:r w:rsidR="001B5F2D" w:rsidRPr="007720BC">
        <w:rPr>
          <w:sz w:val="24"/>
          <w:szCs w:val="24"/>
          <w:lang w:val="en-ID"/>
        </w:rPr>
        <w:t>sebagai</w:t>
      </w:r>
      <w:proofErr w:type="spellEnd"/>
      <w:r w:rsidR="001B5F2D" w:rsidRPr="007720BC">
        <w:rPr>
          <w:sz w:val="24"/>
          <w:szCs w:val="24"/>
          <w:lang w:val="en-ID"/>
        </w:rPr>
        <w:t xml:space="preserve"> </w:t>
      </w:r>
      <w:proofErr w:type="spellStart"/>
      <w:r w:rsidR="001B5F2D" w:rsidRPr="007720BC">
        <w:rPr>
          <w:sz w:val="24"/>
          <w:szCs w:val="24"/>
          <w:lang w:val="en-ID"/>
        </w:rPr>
        <w:t>locomotif</w:t>
      </w:r>
      <w:proofErr w:type="spellEnd"/>
      <w:r w:rsidR="001B5F2D" w:rsidRPr="007720BC">
        <w:rPr>
          <w:sz w:val="24"/>
          <w:szCs w:val="24"/>
          <w:lang w:val="en-ID"/>
        </w:rPr>
        <w:t xml:space="preserve"> </w:t>
      </w:r>
      <w:proofErr w:type="spellStart"/>
      <w:r w:rsidR="001B5F2D" w:rsidRPr="007720BC">
        <w:rPr>
          <w:sz w:val="24"/>
          <w:szCs w:val="24"/>
          <w:lang w:val="en-ID"/>
        </w:rPr>
        <w:t>perubahan</w:t>
      </w:r>
      <w:proofErr w:type="spellEnd"/>
      <w:r w:rsidR="001B5F2D" w:rsidRPr="007720BC">
        <w:rPr>
          <w:sz w:val="24"/>
          <w:szCs w:val="24"/>
          <w:lang w:val="en-ID"/>
        </w:rPr>
        <w:t xml:space="preserve"> </w:t>
      </w:r>
      <w:proofErr w:type="spellStart"/>
      <w:r w:rsidR="001B5F2D" w:rsidRPr="007720BC">
        <w:rPr>
          <w:sz w:val="24"/>
          <w:szCs w:val="24"/>
          <w:lang w:val="en-ID"/>
        </w:rPr>
        <w:t>perilaku</w:t>
      </w:r>
      <w:proofErr w:type="spellEnd"/>
      <w:r w:rsidR="001B5F2D" w:rsidRPr="007720BC">
        <w:rPr>
          <w:sz w:val="24"/>
          <w:szCs w:val="24"/>
          <w:lang w:val="en-ID"/>
        </w:rPr>
        <w:t xml:space="preserve"> </w:t>
      </w:r>
      <w:proofErr w:type="spellStart"/>
      <w:r w:rsidR="001B5F2D" w:rsidRPr="007720BC">
        <w:rPr>
          <w:sz w:val="24"/>
          <w:szCs w:val="24"/>
          <w:lang w:val="en-ID"/>
        </w:rPr>
        <w:t>hidup</w:t>
      </w:r>
      <w:proofErr w:type="spellEnd"/>
      <w:r w:rsidR="001B5F2D" w:rsidRPr="007720BC">
        <w:rPr>
          <w:sz w:val="24"/>
          <w:szCs w:val="24"/>
          <w:lang w:val="en-ID"/>
        </w:rPr>
        <w:t xml:space="preserve"> </w:t>
      </w:r>
      <w:proofErr w:type="spellStart"/>
      <w:r w:rsidR="001B5F2D" w:rsidRPr="007720BC">
        <w:rPr>
          <w:sz w:val="24"/>
          <w:szCs w:val="24"/>
          <w:lang w:val="en-ID"/>
        </w:rPr>
        <w:t>sehat</w:t>
      </w:r>
      <w:proofErr w:type="spellEnd"/>
      <w:r w:rsidR="001B5F2D" w:rsidRPr="007720BC">
        <w:rPr>
          <w:sz w:val="24"/>
          <w:szCs w:val="24"/>
          <w:lang w:val="en-ID"/>
        </w:rPr>
        <w:t xml:space="preserve"> </w:t>
      </w:r>
      <w:proofErr w:type="spellStart"/>
      <w:r w:rsidR="001B5F2D" w:rsidRPr="007720BC">
        <w:rPr>
          <w:sz w:val="24"/>
          <w:szCs w:val="24"/>
          <w:lang w:val="en-ID"/>
        </w:rPr>
        <w:t>masyarakat</w:t>
      </w:r>
      <w:proofErr w:type="spellEnd"/>
      <w:r w:rsidR="001B5F2D" w:rsidRPr="007720BC">
        <w:rPr>
          <w:sz w:val="24"/>
          <w:szCs w:val="24"/>
          <w:lang w:val="en-ID"/>
        </w:rPr>
        <w:t xml:space="preserve">, </w:t>
      </w:r>
      <w:proofErr w:type="spellStart"/>
      <w:r w:rsidR="001B5F2D" w:rsidRPr="007720BC">
        <w:rPr>
          <w:sz w:val="24"/>
          <w:szCs w:val="24"/>
          <w:lang w:val="en-ID"/>
        </w:rPr>
        <w:t>peningkatan</w:t>
      </w:r>
      <w:proofErr w:type="spellEnd"/>
      <w:r w:rsidR="001B5F2D" w:rsidRPr="007720BC">
        <w:rPr>
          <w:sz w:val="24"/>
          <w:szCs w:val="24"/>
          <w:lang w:val="en-ID"/>
        </w:rPr>
        <w:t xml:space="preserve"> </w:t>
      </w:r>
      <w:proofErr w:type="spellStart"/>
      <w:r w:rsidR="001B5F2D" w:rsidRPr="007720BC">
        <w:rPr>
          <w:sz w:val="24"/>
          <w:szCs w:val="24"/>
          <w:lang w:val="en-ID"/>
        </w:rPr>
        <w:t>derajat</w:t>
      </w:r>
      <w:proofErr w:type="spellEnd"/>
      <w:r w:rsidR="001B5F2D" w:rsidRPr="007720BC">
        <w:rPr>
          <w:sz w:val="24"/>
          <w:szCs w:val="24"/>
          <w:lang w:val="en-ID"/>
        </w:rPr>
        <w:t xml:space="preserve"> </w:t>
      </w:r>
      <w:proofErr w:type="spellStart"/>
      <w:r w:rsidR="001B5F2D" w:rsidRPr="007720BC">
        <w:rPr>
          <w:sz w:val="24"/>
          <w:szCs w:val="24"/>
          <w:lang w:val="en-ID"/>
        </w:rPr>
        <w:t>kesehatan</w:t>
      </w:r>
      <w:proofErr w:type="spellEnd"/>
      <w:r w:rsidR="001B5F2D" w:rsidRPr="007720BC">
        <w:rPr>
          <w:sz w:val="24"/>
          <w:szCs w:val="24"/>
          <w:lang w:val="en-ID"/>
        </w:rPr>
        <w:t xml:space="preserve"> </w:t>
      </w:r>
      <w:proofErr w:type="spellStart"/>
      <w:r w:rsidR="001B5F2D" w:rsidRPr="007720BC">
        <w:rPr>
          <w:sz w:val="24"/>
          <w:szCs w:val="24"/>
          <w:lang w:val="en-ID"/>
        </w:rPr>
        <w:t>masyarakat</w:t>
      </w:r>
      <w:proofErr w:type="spellEnd"/>
      <w:r w:rsidR="001B5F2D" w:rsidRPr="007720BC">
        <w:rPr>
          <w:sz w:val="24"/>
          <w:szCs w:val="24"/>
          <w:lang w:val="en-ID"/>
        </w:rPr>
        <w:t xml:space="preserve"> dan </w:t>
      </w:r>
      <w:proofErr w:type="spellStart"/>
      <w:r w:rsidR="001B5F2D" w:rsidRPr="007720BC">
        <w:rPr>
          <w:sz w:val="24"/>
          <w:szCs w:val="24"/>
          <w:lang w:val="en-ID"/>
        </w:rPr>
        <w:t>penanganan</w:t>
      </w:r>
      <w:proofErr w:type="spellEnd"/>
      <w:r w:rsidR="001B5F2D" w:rsidRPr="007720BC">
        <w:rPr>
          <w:sz w:val="24"/>
          <w:szCs w:val="24"/>
          <w:lang w:val="en-ID"/>
        </w:rPr>
        <w:t xml:space="preserve"> stunting</w:t>
      </w:r>
      <w:r w:rsidRPr="007720BC">
        <w:rPr>
          <w:sz w:val="24"/>
          <w:szCs w:val="24"/>
          <w:lang w:val="en-ID"/>
        </w:rPr>
        <w:t xml:space="preserve"> </w:t>
      </w:r>
      <w:proofErr w:type="spellStart"/>
      <w:r w:rsidRPr="007720BC">
        <w:rPr>
          <w:sz w:val="24"/>
          <w:szCs w:val="24"/>
          <w:lang w:val="en-ID"/>
        </w:rPr>
        <w:t>serta</w:t>
      </w:r>
      <w:proofErr w:type="spellEnd"/>
      <w:r w:rsidRPr="007720BC">
        <w:rPr>
          <w:sz w:val="24"/>
          <w:szCs w:val="24"/>
          <w:lang w:val="en-ID"/>
        </w:rPr>
        <w:t xml:space="preserve"> </w:t>
      </w:r>
      <w:proofErr w:type="spellStart"/>
      <w:r w:rsidR="001B5F2D" w:rsidRPr="007720BC">
        <w:rPr>
          <w:sz w:val="24"/>
          <w:szCs w:val="24"/>
          <w:lang w:val="en-ID"/>
        </w:rPr>
        <w:t>kolaborasi</w:t>
      </w:r>
      <w:proofErr w:type="spellEnd"/>
      <w:r w:rsidR="001B5F2D" w:rsidRPr="007720BC">
        <w:rPr>
          <w:sz w:val="24"/>
          <w:szCs w:val="24"/>
          <w:lang w:val="en-ID"/>
        </w:rPr>
        <w:t xml:space="preserve"> yang focus pada </w:t>
      </w:r>
      <w:proofErr w:type="spellStart"/>
      <w:r w:rsidR="001B5F2D" w:rsidRPr="007720BC">
        <w:rPr>
          <w:sz w:val="24"/>
          <w:szCs w:val="24"/>
          <w:lang w:val="en-ID"/>
        </w:rPr>
        <w:t>rencana</w:t>
      </w:r>
      <w:proofErr w:type="spellEnd"/>
      <w:r w:rsidR="001B5F2D" w:rsidRPr="007720BC">
        <w:rPr>
          <w:sz w:val="24"/>
          <w:szCs w:val="24"/>
          <w:lang w:val="en-ID"/>
        </w:rPr>
        <w:t xml:space="preserve"> dan </w:t>
      </w:r>
      <w:proofErr w:type="spellStart"/>
      <w:r w:rsidR="001B5F2D" w:rsidRPr="007720BC">
        <w:rPr>
          <w:sz w:val="24"/>
          <w:szCs w:val="24"/>
          <w:lang w:val="en-ID"/>
        </w:rPr>
        <w:t>tindakan</w:t>
      </w:r>
      <w:proofErr w:type="spellEnd"/>
      <w:r w:rsidR="001B5F2D" w:rsidRPr="007720BC">
        <w:rPr>
          <w:sz w:val="24"/>
          <w:szCs w:val="24"/>
          <w:lang w:val="en-ID"/>
        </w:rPr>
        <w:t xml:space="preserve"> </w:t>
      </w:r>
      <w:proofErr w:type="spellStart"/>
      <w:r w:rsidR="001B5F2D" w:rsidRPr="007720BC">
        <w:rPr>
          <w:sz w:val="24"/>
          <w:szCs w:val="24"/>
          <w:lang w:val="en-ID"/>
        </w:rPr>
        <w:t>berkelanjutan</w:t>
      </w:r>
      <w:proofErr w:type="spellEnd"/>
      <w:r w:rsidR="001B5F2D" w:rsidRPr="007720BC">
        <w:rPr>
          <w:sz w:val="24"/>
          <w:szCs w:val="24"/>
          <w:lang w:val="en-ID"/>
        </w:rPr>
        <w:t xml:space="preserve">, </w:t>
      </w:r>
      <w:proofErr w:type="spellStart"/>
      <w:r w:rsidR="001B5F2D" w:rsidRPr="007720BC">
        <w:rPr>
          <w:sz w:val="24"/>
          <w:szCs w:val="24"/>
          <w:lang w:val="en-ID"/>
        </w:rPr>
        <w:t>komitmen</w:t>
      </w:r>
      <w:proofErr w:type="spellEnd"/>
      <w:r w:rsidR="001B5F2D" w:rsidRPr="007720BC">
        <w:rPr>
          <w:sz w:val="24"/>
          <w:szCs w:val="24"/>
          <w:lang w:val="en-ID"/>
        </w:rPr>
        <w:t xml:space="preserve"> </w:t>
      </w:r>
      <w:proofErr w:type="spellStart"/>
      <w:r w:rsidR="001B5F2D" w:rsidRPr="007720BC">
        <w:rPr>
          <w:sz w:val="24"/>
          <w:szCs w:val="24"/>
          <w:lang w:val="en-ID"/>
        </w:rPr>
        <w:t>bersama</w:t>
      </w:r>
      <w:proofErr w:type="spellEnd"/>
      <w:r w:rsidR="001B5F2D" w:rsidRPr="007720BC">
        <w:rPr>
          <w:sz w:val="24"/>
          <w:szCs w:val="24"/>
          <w:lang w:val="en-ID"/>
        </w:rPr>
        <w:t xml:space="preserve"> dan </w:t>
      </w:r>
      <w:proofErr w:type="spellStart"/>
      <w:r w:rsidR="001B5F2D" w:rsidRPr="007720BC">
        <w:rPr>
          <w:sz w:val="24"/>
          <w:szCs w:val="24"/>
          <w:lang w:val="en-ID"/>
        </w:rPr>
        <w:t>peningkatan</w:t>
      </w:r>
      <w:proofErr w:type="spellEnd"/>
      <w:r w:rsidR="001B5F2D" w:rsidRPr="007720BC">
        <w:rPr>
          <w:sz w:val="24"/>
          <w:szCs w:val="24"/>
          <w:lang w:val="en-ID"/>
        </w:rPr>
        <w:t xml:space="preserve"> </w:t>
      </w:r>
      <w:proofErr w:type="spellStart"/>
      <w:r w:rsidR="001B5F2D" w:rsidRPr="007720BC">
        <w:rPr>
          <w:sz w:val="24"/>
          <w:szCs w:val="24"/>
          <w:lang w:val="en-ID"/>
        </w:rPr>
        <w:t>kesadaran</w:t>
      </w:r>
      <w:proofErr w:type="spellEnd"/>
      <w:r w:rsidR="001B5F2D" w:rsidRPr="007720BC">
        <w:rPr>
          <w:sz w:val="24"/>
          <w:szCs w:val="24"/>
          <w:lang w:val="en-ID"/>
        </w:rPr>
        <w:t xml:space="preserve"> </w:t>
      </w:r>
      <w:proofErr w:type="spellStart"/>
      <w:r w:rsidR="001B5F2D" w:rsidRPr="007720BC">
        <w:rPr>
          <w:sz w:val="24"/>
          <w:szCs w:val="24"/>
          <w:lang w:val="en-ID"/>
        </w:rPr>
        <w:t>masyarakat</w:t>
      </w:r>
      <w:proofErr w:type="spellEnd"/>
      <w:r w:rsidR="001B5F2D" w:rsidRPr="007720BC">
        <w:rPr>
          <w:sz w:val="24"/>
          <w:szCs w:val="24"/>
          <w:lang w:val="en-ID"/>
        </w:rPr>
        <w:t xml:space="preserve"> </w:t>
      </w:r>
      <w:proofErr w:type="spellStart"/>
      <w:r w:rsidR="001B5F2D" w:rsidRPr="007720BC">
        <w:rPr>
          <w:sz w:val="24"/>
          <w:szCs w:val="24"/>
          <w:lang w:val="en-ID"/>
        </w:rPr>
        <w:t>untuk</w:t>
      </w:r>
      <w:proofErr w:type="spellEnd"/>
      <w:r w:rsidR="001B5F2D" w:rsidRPr="007720BC">
        <w:rPr>
          <w:sz w:val="24"/>
          <w:szCs w:val="24"/>
          <w:lang w:val="en-ID"/>
        </w:rPr>
        <w:t xml:space="preserve"> </w:t>
      </w:r>
      <w:proofErr w:type="spellStart"/>
      <w:r w:rsidR="001B5F2D" w:rsidRPr="007720BC">
        <w:rPr>
          <w:sz w:val="24"/>
          <w:szCs w:val="24"/>
          <w:lang w:val="en-ID"/>
        </w:rPr>
        <w:t>hidup</w:t>
      </w:r>
      <w:proofErr w:type="spellEnd"/>
      <w:r w:rsidR="001B5F2D" w:rsidRPr="007720BC">
        <w:rPr>
          <w:sz w:val="24"/>
          <w:szCs w:val="24"/>
          <w:lang w:val="en-ID"/>
        </w:rPr>
        <w:t xml:space="preserve"> </w:t>
      </w:r>
      <w:proofErr w:type="spellStart"/>
      <w:r w:rsidR="001B5F2D" w:rsidRPr="007720BC">
        <w:rPr>
          <w:sz w:val="24"/>
          <w:szCs w:val="24"/>
          <w:lang w:val="en-ID"/>
        </w:rPr>
        <w:t>sehat</w:t>
      </w:r>
      <w:proofErr w:type="spellEnd"/>
      <w:r w:rsidR="001B5F2D" w:rsidRPr="007720BC">
        <w:rPr>
          <w:sz w:val="24"/>
          <w:szCs w:val="24"/>
          <w:lang w:val="en-ID"/>
        </w:rPr>
        <w:t xml:space="preserve"> </w:t>
      </w:r>
      <w:proofErr w:type="spellStart"/>
      <w:r w:rsidR="001B5F2D" w:rsidRPr="007720BC">
        <w:rPr>
          <w:sz w:val="24"/>
          <w:szCs w:val="24"/>
          <w:lang w:val="en-ID"/>
        </w:rPr>
        <w:t>dalam</w:t>
      </w:r>
      <w:proofErr w:type="spellEnd"/>
      <w:r w:rsidR="001B5F2D" w:rsidRPr="007720BC">
        <w:rPr>
          <w:sz w:val="24"/>
          <w:szCs w:val="24"/>
          <w:lang w:val="en-ID"/>
        </w:rPr>
        <w:t xml:space="preserve"> </w:t>
      </w:r>
      <w:proofErr w:type="spellStart"/>
      <w:r w:rsidR="001B5F2D" w:rsidRPr="007720BC">
        <w:rPr>
          <w:sz w:val="24"/>
          <w:szCs w:val="24"/>
          <w:lang w:val="en-ID"/>
        </w:rPr>
        <w:t>mencapai</w:t>
      </w:r>
      <w:proofErr w:type="spellEnd"/>
      <w:r w:rsidR="001B5F2D" w:rsidRPr="007720BC">
        <w:rPr>
          <w:sz w:val="24"/>
          <w:szCs w:val="24"/>
          <w:lang w:val="en-ID"/>
        </w:rPr>
        <w:t xml:space="preserve"> </w:t>
      </w:r>
      <w:proofErr w:type="spellStart"/>
      <w:r w:rsidRPr="007720BC">
        <w:rPr>
          <w:sz w:val="24"/>
          <w:szCs w:val="24"/>
          <w:lang w:val="en-ID"/>
        </w:rPr>
        <w:t>penurunan</w:t>
      </w:r>
      <w:proofErr w:type="spellEnd"/>
      <w:r w:rsidRPr="007720BC">
        <w:rPr>
          <w:sz w:val="24"/>
          <w:szCs w:val="24"/>
          <w:lang w:val="en-ID"/>
        </w:rPr>
        <w:t xml:space="preserve"> </w:t>
      </w:r>
      <w:proofErr w:type="spellStart"/>
      <w:r w:rsidRPr="007720BC">
        <w:rPr>
          <w:sz w:val="24"/>
          <w:szCs w:val="24"/>
          <w:lang w:val="en-ID"/>
        </w:rPr>
        <w:t>percepatan</w:t>
      </w:r>
      <w:proofErr w:type="spellEnd"/>
      <w:r w:rsidRPr="007720BC">
        <w:rPr>
          <w:sz w:val="24"/>
          <w:szCs w:val="24"/>
          <w:lang w:val="en-ID"/>
        </w:rPr>
        <w:t xml:space="preserve"> stunting.</w:t>
      </w:r>
    </w:p>
    <w:p w14:paraId="35C8B796" w14:textId="77777777" w:rsidR="000D5F0A" w:rsidRPr="007720BC" w:rsidRDefault="000D5F0A" w:rsidP="00CB2900">
      <w:pPr>
        <w:pStyle w:val="BodyText"/>
        <w:contextualSpacing/>
        <w:jc w:val="both"/>
        <w:rPr>
          <w:sz w:val="24"/>
          <w:szCs w:val="24"/>
          <w:lang w:val="en-US"/>
        </w:rPr>
      </w:pPr>
    </w:p>
    <w:p w14:paraId="6E05677F" w14:textId="77777777" w:rsidR="004307B5" w:rsidRPr="007720BC" w:rsidRDefault="004307B5" w:rsidP="00CB2900">
      <w:pPr>
        <w:pStyle w:val="BodyText"/>
        <w:contextualSpacing/>
        <w:jc w:val="both"/>
        <w:rPr>
          <w:sz w:val="24"/>
          <w:szCs w:val="24"/>
          <w:lang w:val="en-US"/>
        </w:rPr>
      </w:pPr>
    </w:p>
    <w:p w14:paraId="6F388225" w14:textId="5FB50D94" w:rsidR="004307B5" w:rsidRPr="007720BC" w:rsidRDefault="00B61E88" w:rsidP="00CB2900">
      <w:pPr>
        <w:pStyle w:val="BodyText"/>
        <w:contextualSpacing/>
        <w:jc w:val="both"/>
        <w:rPr>
          <w:b/>
          <w:bCs/>
          <w:sz w:val="24"/>
          <w:szCs w:val="24"/>
          <w:lang w:val="en-US"/>
        </w:rPr>
      </w:pPr>
      <w:proofErr w:type="spellStart"/>
      <w:r>
        <w:rPr>
          <w:b/>
          <w:bCs/>
          <w:sz w:val="24"/>
          <w:szCs w:val="24"/>
          <w:lang w:val="en-US"/>
        </w:rPr>
        <w:t>Referensi</w:t>
      </w:r>
      <w:proofErr w:type="spellEnd"/>
    </w:p>
    <w:p w14:paraId="69701AE8" w14:textId="0FF024F3" w:rsidR="00B61E88" w:rsidRPr="00B61E88" w:rsidRDefault="004307B5"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7720BC">
        <w:rPr>
          <w:rFonts w:ascii="Times New Roman" w:hAnsi="Times New Roman" w:cs="Times New Roman"/>
          <w:sz w:val="24"/>
          <w:szCs w:val="24"/>
          <w:lang w:val="en-US"/>
        </w:rPr>
        <w:fldChar w:fldCharType="begin" w:fldLock="1"/>
      </w:r>
      <w:r w:rsidRPr="007720BC">
        <w:rPr>
          <w:rFonts w:ascii="Times New Roman" w:hAnsi="Times New Roman" w:cs="Times New Roman"/>
          <w:sz w:val="24"/>
          <w:szCs w:val="24"/>
          <w:lang w:val="en-US"/>
        </w:rPr>
        <w:instrText xml:space="preserve">ADDIN Mendeley Bibliography CSL_BIBLIOGRAPHY </w:instrText>
      </w:r>
      <w:r w:rsidRPr="007720BC">
        <w:rPr>
          <w:rFonts w:ascii="Times New Roman" w:hAnsi="Times New Roman" w:cs="Times New Roman"/>
          <w:sz w:val="24"/>
          <w:szCs w:val="24"/>
          <w:lang w:val="en-US"/>
        </w:rPr>
        <w:fldChar w:fldCharType="separate"/>
      </w:r>
      <w:r w:rsidR="00B61E88" w:rsidRPr="00B61E88">
        <w:rPr>
          <w:rFonts w:ascii="Times New Roman" w:hAnsi="Times New Roman" w:cs="Times New Roman"/>
          <w:noProof/>
          <w:kern w:val="0"/>
          <w:sz w:val="24"/>
          <w:szCs w:val="24"/>
        </w:rPr>
        <w:t xml:space="preserve">Aldawood, Fatima, Yasser Kazzaz, Ali AlShehri, Hamza Alali, dan Khaled Al-Surimi. 2020. “Enhancing teamwork communication and patient safety responsiveness in a paediatric intensive care unit using the daily safety huddle tool.” </w:t>
      </w:r>
      <w:r w:rsidR="00B61E88" w:rsidRPr="00B61E88">
        <w:rPr>
          <w:rFonts w:ascii="Times New Roman" w:hAnsi="Times New Roman" w:cs="Times New Roman"/>
          <w:i/>
          <w:iCs/>
          <w:noProof/>
          <w:kern w:val="0"/>
          <w:sz w:val="24"/>
          <w:szCs w:val="24"/>
        </w:rPr>
        <w:t>BMJ open quality</w:t>
      </w:r>
      <w:r w:rsidR="00B61E88" w:rsidRPr="00B61E88">
        <w:rPr>
          <w:rFonts w:ascii="Times New Roman" w:hAnsi="Times New Roman" w:cs="Times New Roman"/>
          <w:noProof/>
          <w:kern w:val="0"/>
          <w:sz w:val="24"/>
          <w:szCs w:val="24"/>
        </w:rPr>
        <w:t xml:space="preserve"> 9 (1): 1–5. https://doi.org/10.1136/bmjoq-2019-000753.</w:t>
      </w:r>
    </w:p>
    <w:p w14:paraId="0CC52926"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Alfano, Ewran, Hamzah Hasyim, dan Rizma Adlia Syakurah. 2024. “Evaluasi Pengelolaan Kampung Keluarga Berkualitas dalam Pencegahan Stunting.” </w:t>
      </w:r>
      <w:r w:rsidRPr="00B61E88">
        <w:rPr>
          <w:rFonts w:ascii="Times New Roman" w:hAnsi="Times New Roman" w:cs="Times New Roman"/>
          <w:i/>
          <w:iCs/>
          <w:noProof/>
          <w:kern w:val="0"/>
          <w:sz w:val="24"/>
          <w:szCs w:val="24"/>
        </w:rPr>
        <w:t>Jurnal Kesehatan</w:t>
      </w:r>
      <w:r w:rsidRPr="00B61E88">
        <w:rPr>
          <w:rFonts w:ascii="Times New Roman" w:hAnsi="Times New Roman" w:cs="Times New Roman"/>
          <w:noProof/>
          <w:kern w:val="0"/>
          <w:sz w:val="24"/>
          <w:szCs w:val="24"/>
        </w:rPr>
        <w:t xml:space="preserve"> 1 (2023): 76–83.</w:t>
      </w:r>
    </w:p>
    <w:p w14:paraId="02C85BBE"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Allen, Lindsay H. 2012. “Global dietary patterns and diets in childhood: Implications for health outcomes.” </w:t>
      </w:r>
      <w:r w:rsidRPr="00B61E88">
        <w:rPr>
          <w:rFonts w:ascii="Times New Roman" w:hAnsi="Times New Roman" w:cs="Times New Roman"/>
          <w:i/>
          <w:iCs/>
          <w:noProof/>
          <w:kern w:val="0"/>
          <w:sz w:val="24"/>
          <w:szCs w:val="24"/>
        </w:rPr>
        <w:t>Annals of Nutrition and Metabolism</w:t>
      </w:r>
      <w:r w:rsidRPr="00B61E88">
        <w:rPr>
          <w:rFonts w:ascii="Times New Roman" w:hAnsi="Times New Roman" w:cs="Times New Roman"/>
          <w:noProof/>
          <w:kern w:val="0"/>
          <w:sz w:val="24"/>
          <w:szCs w:val="24"/>
        </w:rPr>
        <w:t xml:space="preserve"> 61: 29–37. https://doi.org/10.1159/000346185.</w:t>
      </w:r>
    </w:p>
    <w:p w14:paraId="5B743FB2"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Aurora, Wahyu I.D., Rico J. Sitorus, dan Rostika Flora. 2021. “Effect of Stunting on Intelligence Quotient (IQ) of School-Age Children.” </w:t>
      </w:r>
      <w:r w:rsidRPr="00B61E88">
        <w:rPr>
          <w:rFonts w:ascii="Times New Roman" w:hAnsi="Times New Roman" w:cs="Times New Roman"/>
          <w:i/>
          <w:iCs/>
          <w:noProof/>
          <w:kern w:val="0"/>
          <w:sz w:val="24"/>
          <w:szCs w:val="24"/>
        </w:rPr>
        <w:t>Proceedings of the 3rd Green Development International Conference (GDIC 2020)</w:t>
      </w:r>
      <w:r w:rsidRPr="00B61E88">
        <w:rPr>
          <w:rFonts w:ascii="Times New Roman" w:hAnsi="Times New Roman" w:cs="Times New Roman"/>
          <w:noProof/>
          <w:kern w:val="0"/>
          <w:sz w:val="24"/>
          <w:szCs w:val="24"/>
        </w:rPr>
        <w:t xml:space="preserve"> 205 (Gdic 2020): 176–80. https://doi.org/10.2991/aer.k.210825.032.</w:t>
      </w:r>
    </w:p>
    <w:p w14:paraId="15BC67EF"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Baker, Douglas C., dan James N. McLelland. 2003. “Evaluating the effectiveness of British Columbia’s environmental assessment process for first nations’ participation in mining development.” </w:t>
      </w:r>
      <w:r w:rsidRPr="00B61E88">
        <w:rPr>
          <w:rFonts w:ascii="Times New Roman" w:hAnsi="Times New Roman" w:cs="Times New Roman"/>
          <w:i/>
          <w:iCs/>
          <w:noProof/>
          <w:kern w:val="0"/>
          <w:sz w:val="24"/>
          <w:szCs w:val="24"/>
        </w:rPr>
        <w:t>Environmental Impact Assessment Review</w:t>
      </w:r>
      <w:r w:rsidRPr="00B61E88">
        <w:rPr>
          <w:rFonts w:ascii="Times New Roman" w:hAnsi="Times New Roman" w:cs="Times New Roman"/>
          <w:noProof/>
          <w:kern w:val="0"/>
          <w:sz w:val="24"/>
          <w:szCs w:val="24"/>
        </w:rPr>
        <w:t xml:space="preserve"> 23 (5): 581–603. https://doi.org/10.1016/S0195-9255(03)00093-3.</w:t>
      </w:r>
    </w:p>
    <w:p w14:paraId="77EC0540"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Banuwa, Anisa, dan Annastasia Nika Susanti. 2021. “Analisis Kebutuhan pelatihan ASN Penyuluh Keluarga Berencana (PKB) di Provinsi Lampung.” </w:t>
      </w:r>
      <w:r w:rsidRPr="00B61E88">
        <w:rPr>
          <w:rFonts w:ascii="Times New Roman" w:hAnsi="Times New Roman" w:cs="Times New Roman"/>
          <w:i/>
          <w:iCs/>
          <w:noProof/>
          <w:kern w:val="0"/>
          <w:sz w:val="24"/>
          <w:szCs w:val="24"/>
        </w:rPr>
        <w:t>Jurnal Ilmiah Widyaiswara</w:t>
      </w:r>
      <w:r w:rsidRPr="00B61E88">
        <w:rPr>
          <w:rFonts w:ascii="Times New Roman" w:hAnsi="Times New Roman" w:cs="Times New Roman"/>
          <w:noProof/>
          <w:kern w:val="0"/>
          <w:sz w:val="24"/>
          <w:szCs w:val="24"/>
        </w:rPr>
        <w:t xml:space="preserve"> 1 (1): 35–43. https://doi.org/10.35912/jiw.v1i1.240.</w:t>
      </w:r>
    </w:p>
    <w:p w14:paraId="349268C1"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Bappenas. 2020. </w:t>
      </w:r>
      <w:r w:rsidRPr="00B61E88">
        <w:rPr>
          <w:rFonts w:ascii="Times New Roman" w:hAnsi="Times New Roman" w:cs="Times New Roman"/>
          <w:i/>
          <w:iCs/>
          <w:noProof/>
          <w:kern w:val="0"/>
          <w:sz w:val="24"/>
          <w:szCs w:val="24"/>
        </w:rPr>
        <w:t>Lampiran Peraturan Presiden Republik Indonesia Nomor 18 Tahun 2020 Tentang Rencana Pembangunan Jangka Menengah Nasional 2020-2024</w:t>
      </w:r>
      <w:r w:rsidRPr="00B61E88">
        <w:rPr>
          <w:rFonts w:ascii="Times New Roman" w:hAnsi="Times New Roman" w:cs="Times New Roman"/>
          <w:noProof/>
          <w:kern w:val="0"/>
          <w:sz w:val="24"/>
          <w:szCs w:val="24"/>
        </w:rPr>
        <w:t xml:space="preserve">. </w:t>
      </w:r>
      <w:r w:rsidRPr="00B61E88">
        <w:rPr>
          <w:rFonts w:ascii="Times New Roman" w:hAnsi="Times New Roman" w:cs="Times New Roman"/>
          <w:i/>
          <w:iCs/>
          <w:noProof/>
          <w:kern w:val="0"/>
          <w:sz w:val="24"/>
          <w:szCs w:val="24"/>
        </w:rPr>
        <w:t>Badan Perencana Pembangunan Nasional</w:t>
      </w:r>
      <w:r w:rsidRPr="00B61E88">
        <w:rPr>
          <w:rFonts w:ascii="Times New Roman" w:hAnsi="Times New Roman" w:cs="Times New Roman"/>
          <w:noProof/>
          <w:kern w:val="0"/>
          <w:sz w:val="24"/>
          <w:szCs w:val="24"/>
        </w:rPr>
        <w:t>. Badan Perencana Pembangunan Nasional. https://www.bappenas.go.id/id/data-dan...dan.../rpjmn-2015-2019/.</w:t>
      </w:r>
    </w:p>
    <w:p w14:paraId="6FC97B5E"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Bhutta, Zulfiqar A., Tahmeed Ahmed, Robert E. Black, Simon Cousens, Kathryn Dewey, Elsa Giugliani, Batool A. Haider, et al. 2008. “What works? Interventions for maternal and child undernutrition and survival.” </w:t>
      </w:r>
      <w:r w:rsidRPr="00B61E88">
        <w:rPr>
          <w:rFonts w:ascii="Times New Roman" w:hAnsi="Times New Roman" w:cs="Times New Roman"/>
          <w:i/>
          <w:iCs/>
          <w:noProof/>
          <w:kern w:val="0"/>
          <w:sz w:val="24"/>
          <w:szCs w:val="24"/>
        </w:rPr>
        <w:t>The Lancet</w:t>
      </w:r>
      <w:r w:rsidRPr="00B61E88">
        <w:rPr>
          <w:rFonts w:ascii="Times New Roman" w:hAnsi="Times New Roman" w:cs="Times New Roman"/>
          <w:noProof/>
          <w:kern w:val="0"/>
          <w:sz w:val="24"/>
          <w:szCs w:val="24"/>
        </w:rPr>
        <w:t xml:space="preserve"> 371 (9610): 417–40. https://doi.org/10.1016/S0140-6736(07)61693-6.</w:t>
      </w:r>
    </w:p>
    <w:p w14:paraId="1F8EBB63"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Bhutta, Zulfiqar A., Nadia Akseer, Emily C. Keats, Tyler Vaivada, Shawn Baker, Susan E. Horton, Joanne Katz, et al. 2020. “How countries can reduce child stunting at scale: Lessons from exemplar countries.” </w:t>
      </w:r>
      <w:r w:rsidRPr="00B61E88">
        <w:rPr>
          <w:rFonts w:ascii="Times New Roman" w:hAnsi="Times New Roman" w:cs="Times New Roman"/>
          <w:i/>
          <w:iCs/>
          <w:noProof/>
          <w:kern w:val="0"/>
          <w:sz w:val="24"/>
          <w:szCs w:val="24"/>
        </w:rPr>
        <w:t>American Journal of Clinical Nutrition</w:t>
      </w:r>
      <w:r w:rsidRPr="00B61E88">
        <w:rPr>
          <w:rFonts w:ascii="Times New Roman" w:hAnsi="Times New Roman" w:cs="Times New Roman"/>
          <w:noProof/>
          <w:kern w:val="0"/>
          <w:sz w:val="24"/>
          <w:szCs w:val="24"/>
        </w:rPr>
        <w:t xml:space="preserve"> 112: 894S-904S. https://doi.org/10.1093/ajcn/nqaa153.</w:t>
      </w:r>
    </w:p>
    <w:p w14:paraId="41B790B8"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BKKBN RI. 2023. “Kampung Keluarga Berkualtas.” https://kampungkb.bkkbn.go.id/. Diakses pada tanggal 05 Agustus 2023.</w:t>
      </w:r>
    </w:p>
    <w:p w14:paraId="3A37AED2"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Black, Robert E., Cesar G. Victora, Susan P. Walker, Zulfiqar A. Bhutta, Parul Christian, Mercedes De Onis, Majid Ezzati, et al. 2013. “Maternal and child undernutrition and overweight in low-income and middle-income countries.” </w:t>
      </w:r>
      <w:r w:rsidRPr="00B61E88">
        <w:rPr>
          <w:rFonts w:ascii="Times New Roman" w:hAnsi="Times New Roman" w:cs="Times New Roman"/>
          <w:i/>
          <w:iCs/>
          <w:noProof/>
          <w:kern w:val="0"/>
          <w:sz w:val="24"/>
          <w:szCs w:val="24"/>
        </w:rPr>
        <w:t>The Lancet</w:t>
      </w:r>
      <w:r w:rsidRPr="00B61E88">
        <w:rPr>
          <w:rFonts w:ascii="Times New Roman" w:hAnsi="Times New Roman" w:cs="Times New Roman"/>
          <w:noProof/>
          <w:kern w:val="0"/>
          <w:sz w:val="24"/>
          <w:szCs w:val="24"/>
        </w:rPr>
        <w:t xml:space="preserve"> 382 (9890): 427–</w:t>
      </w:r>
      <w:r w:rsidRPr="00B61E88">
        <w:rPr>
          <w:rFonts w:ascii="Times New Roman" w:hAnsi="Times New Roman" w:cs="Times New Roman"/>
          <w:noProof/>
          <w:kern w:val="0"/>
          <w:sz w:val="24"/>
          <w:szCs w:val="24"/>
        </w:rPr>
        <w:lastRenderedPageBreak/>
        <w:t>51. https://doi.org/10.1016/S0140-6736(13)60937-X.</w:t>
      </w:r>
    </w:p>
    <w:p w14:paraId="053A8F2D"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Dijck, Charlotte Van, dan Trui Steen. 2022. “Collaborating for Innovation: A Systematic Review of the Red Tape Effects at Play.” </w:t>
      </w:r>
      <w:r w:rsidRPr="00B61E88">
        <w:rPr>
          <w:rFonts w:ascii="Times New Roman" w:hAnsi="Times New Roman" w:cs="Times New Roman"/>
          <w:i/>
          <w:iCs/>
          <w:noProof/>
          <w:kern w:val="0"/>
          <w:sz w:val="24"/>
          <w:szCs w:val="24"/>
        </w:rPr>
        <w:t>International Journal of Public Administration</w:t>
      </w:r>
      <w:r w:rsidRPr="00B61E88">
        <w:rPr>
          <w:rFonts w:ascii="Times New Roman" w:hAnsi="Times New Roman" w:cs="Times New Roman"/>
          <w:noProof/>
          <w:kern w:val="0"/>
          <w:sz w:val="24"/>
          <w:szCs w:val="24"/>
        </w:rPr>
        <w:t xml:space="preserve"> 46 (14): 994–1005. https://doi.org/10.1080/01900692.2022.2062382.</w:t>
      </w:r>
    </w:p>
    <w:p w14:paraId="32935F81"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Essa, Wiedy Yang, Erti Nurfindarti, dan Nugrahana Fitria Ruhyana. 2021. “Strategies for Handling Stunting in Bandung City.” </w:t>
      </w:r>
      <w:r w:rsidRPr="00B61E88">
        <w:rPr>
          <w:rFonts w:ascii="Times New Roman" w:hAnsi="Times New Roman" w:cs="Times New Roman"/>
          <w:i/>
          <w:iCs/>
          <w:noProof/>
          <w:kern w:val="0"/>
          <w:sz w:val="24"/>
          <w:szCs w:val="24"/>
        </w:rPr>
        <w:t>Jurnal Bina Praja</w:t>
      </w:r>
      <w:r w:rsidRPr="00B61E88">
        <w:rPr>
          <w:rFonts w:ascii="Times New Roman" w:hAnsi="Times New Roman" w:cs="Times New Roman"/>
          <w:noProof/>
          <w:kern w:val="0"/>
          <w:sz w:val="24"/>
          <w:szCs w:val="24"/>
        </w:rPr>
        <w:t xml:space="preserve"> 13: 15–28. https://doi.org/10.21787/jbp.13.2021.15-28.</w:t>
      </w:r>
    </w:p>
    <w:p w14:paraId="5AC3AD81"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Fahim, Shah Mohammad, Md Shabab Hossain, Shimul Sen, Subhasish Das, Muttaquina Hosssain, Tahmeed Ahmed, SM Mustafizur Rahman, Md Khalilur Rahman, dan Shamsul Alam. 2021. “Nutrition and Food Security in Bangladesh: Achievements, Challenges, and Impact of the COVID-19 Pandemic.” </w:t>
      </w:r>
      <w:r w:rsidRPr="00B61E88">
        <w:rPr>
          <w:rFonts w:ascii="Times New Roman" w:hAnsi="Times New Roman" w:cs="Times New Roman"/>
          <w:i/>
          <w:iCs/>
          <w:noProof/>
          <w:kern w:val="0"/>
          <w:sz w:val="24"/>
          <w:szCs w:val="24"/>
        </w:rPr>
        <w:t>J Infect Dis</w:t>
      </w:r>
      <w:r w:rsidRPr="00B61E88">
        <w:rPr>
          <w:rFonts w:ascii="Times New Roman" w:hAnsi="Times New Roman" w:cs="Times New Roman"/>
          <w:noProof/>
          <w:kern w:val="0"/>
          <w:sz w:val="24"/>
          <w:szCs w:val="24"/>
        </w:rPr>
        <w:t xml:space="preserve"> 20 (224 (). https://doi.org/10.1093/infdis/jiab473. PMID: 34668556; PMCID: PMC8687095.</w:t>
      </w:r>
    </w:p>
    <w:p w14:paraId="1FE41F4F"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González-Benito, Óscar, Pablo A. Muñoz-Gallego, dan Evelyn García-Zamora. 2016. “Role of Collaboration in Innovation Success: Differences for Large and Small Businesses.” </w:t>
      </w:r>
      <w:r w:rsidRPr="00B61E88">
        <w:rPr>
          <w:rFonts w:ascii="Times New Roman" w:hAnsi="Times New Roman" w:cs="Times New Roman"/>
          <w:i/>
          <w:iCs/>
          <w:noProof/>
          <w:kern w:val="0"/>
          <w:sz w:val="24"/>
          <w:szCs w:val="24"/>
        </w:rPr>
        <w:t>Journal of Business Economics and Management</w:t>
      </w:r>
      <w:r w:rsidRPr="00B61E88">
        <w:rPr>
          <w:rFonts w:ascii="Times New Roman" w:hAnsi="Times New Roman" w:cs="Times New Roman"/>
          <w:noProof/>
          <w:kern w:val="0"/>
          <w:sz w:val="24"/>
          <w:szCs w:val="24"/>
        </w:rPr>
        <w:t xml:space="preserve"> 17 (4): 645–62. https://doi.org/10.3846/16111699.2013.823103.</w:t>
      </w:r>
    </w:p>
    <w:p w14:paraId="0D91CD54"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Greenwood, Charles R., Susan Higgins, Meaghan McKenna, Jay Buzhardt, Dale Walker, Jun Ai, Dwight W. Irvin, dan Nikki Grasley-Boy. 2022. “Remote Use of Individual Growth and Development Indicators (IGDIs) for Infants and Toddlers.” </w:t>
      </w:r>
      <w:r w:rsidRPr="00B61E88">
        <w:rPr>
          <w:rFonts w:ascii="Times New Roman" w:hAnsi="Times New Roman" w:cs="Times New Roman"/>
          <w:i/>
          <w:iCs/>
          <w:noProof/>
          <w:kern w:val="0"/>
          <w:sz w:val="24"/>
          <w:szCs w:val="24"/>
        </w:rPr>
        <w:t>Journal of Early Intervention</w:t>
      </w:r>
      <w:r w:rsidRPr="00B61E88">
        <w:rPr>
          <w:rFonts w:ascii="Times New Roman" w:hAnsi="Times New Roman" w:cs="Times New Roman"/>
          <w:noProof/>
          <w:kern w:val="0"/>
          <w:sz w:val="24"/>
          <w:szCs w:val="24"/>
        </w:rPr>
        <w:t xml:space="preserve"> 44 (2): 168–89. https://doi.org/10.1177/10538151211057552.</w:t>
      </w:r>
    </w:p>
    <w:p w14:paraId="2D7EC8C3"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Habibie, Aziz Nashiruddin, Ferry Efendi, dan Eka Misbahatul M Has. 2023. “Intervensi Berbasis Keluarga pada Anak dengan Stunting.” </w:t>
      </w:r>
      <w:r w:rsidRPr="00B61E88">
        <w:rPr>
          <w:rFonts w:ascii="Times New Roman" w:hAnsi="Times New Roman" w:cs="Times New Roman"/>
          <w:i/>
          <w:iCs/>
          <w:noProof/>
          <w:kern w:val="0"/>
          <w:sz w:val="24"/>
          <w:szCs w:val="24"/>
        </w:rPr>
        <w:t>Journal of Telenursing (JOTING)</w:t>
      </w:r>
      <w:r w:rsidRPr="00B61E88">
        <w:rPr>
          <w:rFonts w:ascii="Times New Roman" w:hAnsi="Times New Roman" w:cs="Times New Roman"/>
          <w:noProof/>
          <w:kern w:val="0"/>
          <w:sz w:val="24"/>
          <w:szCs w:val="24"/>
        </w:rPr>
        <w:t xml:space="preserve"> 5 (1).</w:t>
      </w:r>
    </w:p>
    <w:p w14:paraId="73E8B1FC"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Habiburrahman, Andjar Prasetyo, Tri Wedha Raharjo, Herrukmi Septa Rinawati, Trisnani, Bambang Riawan Eko, Wahyudiyono, et al. 2022. “Determination of Critical Factors for Success in Business Incubators and Startups in East Java.” </w:t>
      </w:r>
      <w:r w:rsidRPr="00B61E88">
        <w:rPr>
          <w:rFonts w:ascii="Times New Roman" w:hAnsi="Times New Roman" w:cs="Times New Roman"/>
          <w:i/>
          <w:iCs/>
          <w:noProof/>
          <w:kern w:val="0"/>
          <w:sz w:val="24"/>
          <w:szCs w:val="24"/>
        </w:rPr>
        <w:t>Sustainability (Switzerland)</w:t>
      </w:r>
      <w:r w:rsidRPr="00B61E88">
        <w:rPr>
          <w:rFonts w:ascii="Times New Roman" w:hAnsi="Times New Roman" w:cs="Times New Roman"/>
          <w:noProof/>
          <w:kern w:val="0"/>
          <w:sz w:val="24"/>
          <w:szCs w:val="24"/>
        </w:rPr>
        <w:t xml:space="preserve"> 14 (21): 1–17. https://doi.org/10.3390/su142114243.</w:t>
      </w:r>
    </w:p>
    <w:p w14:paraId="410105E3"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Haq, Wajiha, dan Faisal Abbas. 2022. “A Multilevel Analysis of Factors Associated With Stunting in Children Less Than 2 years Using Multiple Indicator Cluster Survey (MICS) 2017–18 of Punjab, Pakistan.” </w:t>
      </w:r>
      <w:r w:rsidRPr="00B61E88">
        <w:rPr>
          <w:rFonts w:ascii="Times New Roman" w:hAnsi="Times New Roman" w:cs="Times New Roman"/>
          <w:i/>
          <w:iCs/>
          <w:noProof/>
          <w:kern w:val="0"/>
          <w:sz w:val="24"/>
          <w:szCs w:val="24"/>
        </w:rPr>
        <w:t>SAGE Open</w:t>
      </w:r>
      <w:r w:rsidRPr="00B61E88">
        <w:rPr>
          <w:rFonts w:ascii="Times New Roman" w:hAnsi="Times New Roman" w:cs="Times New Roman"/>
          <w:noProof/>
          <w:kern w:val="0"/>
          <w:sz w:val="24"/>
          <w:szCs w:val="24"/>
        </w:rPr>
        <w:t xml:space="preserve"> 12 (2). https://doi.org/10.1177/21582440221096127.</w:t>
      </w:r>
    </w:p>
    <w:p w14:paraId="5F4B9A53"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Howlett, Michael, dan Ishani Mukherjee. 2018. </w:t>
      </w:r>
      <w:r w:rsidRPr="00B61E88">
        <w:rPr>
          <w:rFonts w:ascii="Times New Roman" w:hAnsi="Times New Roman" w:cs="Times New Roman"/>
          <w:i/>
          <w:iCs/>
          <w:noProof/>
          <w:kern w:val="0"/>
          <w:sz w:val="24"/>
          <w:szCs w:val="24"/>
        </w:rPr>
        <w:t>Routledge Handbook of Policy Design</w:t>
      </w:r>
      <w:r w:rsidRPr="00B61E88">
        <w:rPr>
          <w:rFonts w:ascii="Times New Roman" w:hAnsi="Times New Roman" w:cs="Times New Roman"/>
          <w:noProof/>
          <w:kern w:val="0"/>
          <w:sz w:val="24"/>
          <w:szCs w:val="24"/>
        </w:rPr>
        <w:t>. Routledge - Taylor &amp; Francis Group New York and London.</w:t>
      </w:r>
    </w:p>
    <w:p w14:paraId="726C3937"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Huicho, Luis, Elisa Vidal-Cárdenas, Nadia Akseer, Samanpreet Brar, Kaitlin Conway, Muhammad Islam, Elisa Juarez, et al. 2020. “Drivers of stunting reduction in Peru: A country case study.” </w:t>
      </w:r>
      <w:r w:rsidRPr="00B61E88">
        <w:rPr>
          <w:rFonts w:ascii="Times New Roman" w:hAnsi="Times New Roman" w:cs="Times New Roman"/>
          <w:i/>
          <w:iCs/>
          <w:noProof/>
          <w:kern w:val="0"/>
          <w:sz w:val="24"/>
          <w:szCs w:val="24"/>
        </w:rPr>
        <w:t>American Journal of Clinical Nutrition</w:t>
      </w:r>
      <w:r w:rsidRPr="00B61E88">
        <w:rPr>
          <w:rFonts w:ascii="Times New Roman" w:hAnsi="Times New Roman" w:cs="Times New Roman"/>
          <w:noProof/>
          <w:kern w:val="0"/>
          <w:sz w:val="24"/>
          <w:szCs w:val="24"/>
        </w:rPr>
        <w:t xml:space="preserve"> 112: 816S-829S. https://doi.org/10.1093/ajcn/nqaa164.</w:t>
      </w:r>
    </w:p>
    <w:p w14:paraId="3CDBF5BB"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Kemenkes RI. 2019. “Laporan Pelaksanaan Integrasi Susenas Maret 2019 dan SSGBI Tahun 2019.” </w:t>
      </w:r>
      <w:r w:rsidRPr="00B61E88">
        <w:rPr>
          <w:rFonts w:ascii="Times New Roman" w:hAnsi="Times New Roman" w:cs="Times New Roman"/>
          <w:i/>
          <w:iCs/>
          <w:noProof/>
          <w:kern w:val="0"/>
          <w:sz w:val="24"/>
          <w:szCs w:val="24"/>
        </w:rPr>
        <w:t>Badan Pusat Statistik, Jakarta - Indonesia</w:t>
      </w:r>
      <w:r w:rsidRPr="00B61E88">
        <w:rPr>
          <w:rFonts w:ascii="Times New Roman" w:hAnsi="Times New Roman" w:cs="Times New Roman"/>
          <w:noProof/>
          <w:kern w:val="0"/>
          <w:sz w:val="24"/>
          <w:szCs w:val="24"/>
        </w:rPr>
        <w:t>, 1–69. https://stunting.go.id/?smd_process_download=1&amp;download_id=5219.</w:t>
      </w:r>
    </w:p>
    <w:p w14:paraId="5D6EDF6C"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 2022. </w:t>
      </w:r>
      <w:r w:rsidRPr="00B61E88">
        <w:rPr>
          <w:rFonts w:ascii="Times New Roman" w:hAnsi="Times New Roman" w:cs="Times New Roman"/>
          <w:i/>
          <w:iCs/>
          <w:noProof/>
          <w:kern w:val="0"/>
          <w:sz w:val="24"/>
          <w:szCs w:val="24"/>
        </w:rPr>
        <w:t>Buku Saku Hasil Survei Status Gizi Indonesia (SSGI) 2022</w:t>
      </w:r>
      <w:r w:rsidRPr="00B61E88">
        <w:rPr>
          <w:rFonts w:ascii="Times New Roman" w:hAnsi="Times New Roman" w:cs="Times New Roman"/>
          <w:noProof/>
          <w:kern w:val="0"/>
          <w:sz w:val="24"/>
          <w:szCs w:val="24"/>
        </w:rPr>
        <w:t xml:space="preserve">. </w:t>
      </w:r>
      <w:r w:rsidRPr="00B61E88">
        <w:rPr>
          <w:rFonts w:ascii="Times New Roman" w:hAnsi="Times New Roman" w:cs="Times New Roman"/>
          <w:i/>
          <w:iCs/>
          <w:noProof/>
          <w:kern w:val="0"/>
          <w:sz w:val="24"/>
          <w:szCs w:val="24"/>
        </w:rPr>
        <w:t>Badan Kebijakan Pembangunan Kesehatan Kementerian Kesehatan RI</w:t>
      </w:r>
      <w:r w:rsidRPr="00B61E88">
        <w:rPr>
          <w:rFonts w:ascii="Times New Roman" w:hAnsi="Times New Roman" w:cs="Times New Roman"/>
          <w:noProof/>
          <w:kern w:val="0"/>
          <w:sz w:val="24"/>
          <w:szCs w:val="24"/>
        </w:rPr>
        <w:t>.</w:t>
      </w:r>
    </w:p>
    <w:p w14:paraId="017E1FEF"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Kementerian Kesehatan R1. 2021. </w:t>
      </w:r>
      <w:r w:rsidRPr="00B61E88">
        <w:rPr>
          <w:rFonts w:ascii="Times New Roman" w:hAnsi="Times New Roman" w:cs="Times New Roman"/>
          <w:i/>
          <w:iCs/>
          <w:noProof/>
          <w:kern w:val="0"/>
          <w:sz w:val="24"/>
          <w:szCs w:val="24"/>
        </w:rPr>
        <w:t>Buku Saku Hasil Studi Status Gizi Indonesia (SSGI) Tingkat Nasional, Provinsi dan Kabupaten/Kota</w:t>
      </w:r>
      <w:r w:rsidRPr="00B61E88">
        <w:rPr>
          <w:rFonts w:ascii="Times New Roman" w:hAnsi="Times New Roman" w:cs="Times New Roman"/>
          <w:noProof/>
          <w:kern w:val="0"/>
          <w:sz w:val="24"/>
          <w:szCs w:val="24"/>
        </w:rPr>
        <w:t xml:space="preserve">. </w:t>
      </w:r>
      <w:r w:rsidRPr="00B61E88">
        <w:rPr>
          <w:rFonts w:ascii="Times New Roman" w:hAnsi="Times New Roman" w:cs="Times New Roman"/>
          <w:i/>
          <w:iCs/>
          <w:noProof/>
          <w:kern w:val="0"/>
          <w:sz w:val="24"/>
          <w:szCs w:val="24"/>
        </w:rPr>
        <w:t>Kementrian Kesehatan RI</w:t>
      </w:r>
      <w:r w:rsidRPr="00B61E88">
        <w:rPr>
          <w:rFonts w:ascii="Times New Roman" w:hAnsi="Times New Roman" w:cs="Times New Roman"/>
          <w:noProof/>
          <w:kern w:val="0"/>
          <w:sz w:val="24"/>
          <w:szCs w:val="24"/>
        </w:rPr>
        <w:t>. https://doi.org/10.36805/bi.v2i1.301.</w:t>
      </w:r>
    </w:p>
    <w:p w14:paraId="5E9BC44D"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Lisatriana, Biyanti, PA Kodrat Pramudho, Dian Utama Pratiwi Putri, Atikah Adyas, dan Sugeng Eko Irianto. 2022. “Faktor-Faktor Yang Berhubungan Dengan Kinerja Penyuluh Keluarga Berencana Dalam Pendampingan Keluarga Berisiko Stunting.” </w:t>
      </w:r>
      <w:r w:rsidRPr="00B61E88">
        <w:rPr>
          <w:rFonts w:ascii="Times New Roman" w:hAnsi="Times New Roman" w:cs="Times New Roman"/>
          <w:i/>
          <w:iCs/>
          <w:noProof/>
          <w:kern w:val="0"/>
          <w:sz w:val="24"/>
          <w:szCs w:val="24"/>
        </w:rPr>
        <w:t>Jurnal Ilmiah Permas: Jurnal Ilmiah STIKES Kendal</w:t>
      </w:r>
      <w:r w:rsidRPr="00B61E88">
        <w:rPr>
          <w:rFonts w:ascii="Times New Roman" w:hAnsi="Times New Roman" w:cs="Times New Roman"/>
          <w:noProof/>
          <w:kern w:val="0"/>
          <w:sz w:val="24"/>
          <w:szCs w:val="24"/>
        </w:rPr>
        <w:t xml:space="preserve"> 12: 1–8.</w:t>
      </w:r>
    </w:p>
    <w:p w14:paraId="18C6ABD2"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McCalman, Janya, Tessa Benveniste, Mark Wenitong, Vicki Saunders, dan Ernest Hunter. </w:t>
      </w:r>
      <w:r w:rsidRPr="00B61E88">
        <w:rPr>
          <w:rFonts w:ascii="Times New Roman" w:hAnsi="Times New Roman" w:cs="Times New Roman"/>
          <w:noProof/>
          <w:kern w:val="0"/>
          <w:sz w:val="24"/>
          <w:szCs w:val="24"/>
        </w:rPr>
        <w:lastRenderedPageBreak/>
        <w:t xml:space="preserve">2020. “‘It’s all about relationships’: The place of boarding schools in promoting and managing health and wellbeing of Aboriginal and Torres Strait Islander secondary school students.” </w:t>
      </w:r>
      <w:r w:rsidRPr="00B61E88">
        <w:rPr>
          <w:rFonts w:ascii="Times New Roman" w:hAnsi="Times New Roman" w:cs="Times New Roman"/>
          <w:i/>
          <w:iCs/>
          <w:noProof/>
          <w:kern w:val="0"/>
          <w:sz w:val="24"/>
          <w:szCs w:val="24"/>
        </w:rPr>
        <w:t>Children and Youth Services Review</w:t>
      </w:r>
      <w:r w:rsidRPr="00B61E88">
        <w:rPr>
          <w:rFonts w:ascii="Times New Roman" w:hAnsi="Times New Roman" w:cs="Times New Roman"/>
          <w:noProof/>
          <w:kern w:val="0"/>
          <w:sz w:val="24"/>
          <w:szCs w:val="24"/>
        </w:rPr>
        <w:t xml:space="preserve"> 113 (April): 104954. https://doi.org/10.1016/j.childyouth.2020.104954.</w:t>
      </w:r>
    </w:p>
    <w:p w14:paraId="18BA612C"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Miles, Matthew B., Michael A Huberman, dan Johnny Saldaña. 2014. “Qualitative Data Analysis, A Methods Sourcebook.” In </w:t>
      </w:r>
      <w:r w:rsidRPr="00B61E88">
        <w:rPr>
          <w:rFonts w:ascii="Times New Roman" w:hAnsi="Times New Roman" w:cs="Times New Roman"/>
          <w:i/>
          <w:iCs/>
          <w:noProof/>
          <w:kern w:val="0"/>
          <w:sz w:val="24"/>
          <w:szCs w:val="24"/>
        </w:rPr>
        <w:t>Qualitative Data Analysis A Methods Sourcebook</w:t>
      </w:r>
      <w:r w:rsidRPr="00B61E88">
        <w:rPr>
          <w:rFonts w:ascii="Times New Roman" w:hAnsi="Times New Roman" w:cs="Times New Roman"/>
          <w:noProof/>
          <w:kern w:val="0"/>
          <w:sz w:val="24"/>
          <w:szCs w:val="24"/>
        </w:rPr>
        <w:t>, 3 ed. Arizona State University: SAGE Publications Inc.</w:t>
      </w:r>
    </w:p>
    <w:p w14:paraId="412E8C35"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NIPORT. 2020. </w:t>
      </w:r>
      <w:r w:rsidRPr="00B61E88">
        <w:rPr>
          <w:rFonts w:ascii="Times New Roman" w:hAnsi="Times New Roman" w:cs="Times New Roman"/>
          <w:i/>
          <w:iCs/>
          <w:noProof/>
          <w:kern w:val="0"/>
          <w:sz w:val="24"/>
          <w:szCs w:val="24"/>
        </w:rPr>
        <w:t>Bangladesh Demographic and Health Survey 2017-18</w:t>
      </w:r>
      <w:r w:rsidRPr="00B61E88">
        <w:rPr>
          <w:rFonts w:ascii="Times New Roman" w:hAnsi="Times New Roman" w:cs="Times New Roman"/>
          <w:noProof/>
          <w:kern w:val="0"/>
          <w:sz w:val="24"/>
          <w:szCs w:val="24"/>
        </w:rPr>
        <w:t xml:space="preserve">. </w:t>
      </w:r>
      <w:r w:rsidRPr="00B61E88">
        <w:rPr>
          <w:rFonts w:ascii="Times New Roman" w:hAnsi="Times New Roman" w:cs="Times New Roman"/>
          <w:i/>
          <w:iCs/>
          <w:noProof/>
          <w:kern w:val="0"/>
          <w:sz w:val="24"/>
          <w:szCs w:val="24"/>
        </w:rPr>
        <w:t>Dhaka, Bangladesh, and Rockville, Maryland, USA: NIPORT and ICF</w:t>
      </w:r>
      <w:r w:rsidRPr="00B61E88">
        <w:rPr>
          <w:rFonts w:ascii="Times New Roman" w:hAnsi="Times New Roman" w:cs="Times New Roman"/>
          <w:noProof/>
          <w:kern w:val="0"/>
          <w:sz w:val="24"/>
          <w:szCs w:val="24"/>
        </w:rPr>
        <w:t>. National Institute of Population Research and Training (NIPORT); ICF International.</w:t>
      </w:r>
    </w:p>
    <w:p w14:paraId="31C5A213"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Notarnicola, ElisabettS, Sara Berloto, dan Eleonora Perobelli. 2020. “Social Innovation in Social Care Services: Actors and Roles in the Innovation Process.” </w:t>
      </w:r>
      <w:r w:rsidRPr="00B61E88">
        <w:rPr>
          <w:rFonts w:ascii="Times New Roman" w:hAnsi="Times New Roman" w:cs="Times New Roman"/>
          <w:i/>
          <w:iCs/>
          <w:noProof/>
          <w:kern w:val="0"/>
          <w:sz w:val="24"/>
          <w:szCs w:val="24"/>
        </w:rPr>
        <w:t>Public Management Review</w:t>
      </w:r>
      <w:r w:rsidRPr="00B61E88">
        <w:rPr>
          <w:rFonts w:ascii="Times New Roman" w:hAnsi="Times New Roman" w:cs="Times New Roman"/>
          <w:noProof/>
          <w:kern w:val="0"/>
          <w:sz w:val="24"/>
          <w:szCs w:val="24"/>
        </w:rPr>
        <w:t>, 1–26. https://doi.org/10.1080/14719037.2020.1805918.</w:t>
      </w:r>
    </w:p>
    <w:p w14:paraId="05E77E0F"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O’Neill, Debra, Jan De Vries, dan Catherine M. Comiskey. 2021. “Leadership and community healthcare reform: a study using the Competing Values Framework (CVF).” </w:t>
      </w:r>
      <w:r w:rsidRPr="00B61E88">
        <w:rPr>
          <w:rFonts w:ascii="Times New Roman" w:hAnsi="Times New Roman" w:cs="Times New Roman"/>
          <w:i/>
          <w:iCs/>
          <w:noProof/>
          <w:kern w:val="0"/>
          <w:sz w:val="24"/>
          <w:szCs w:val="24"/>
        </w:rPr>
        <w:t>Leadership in Health Services</w:t>
      </w:r>
      <w:r w:rsidRPr="00B61E88">
        <w:rPr>
          <w:rFonts w:ascii="Times New Roman" w:hAnsi="Times New Roman" w:cs="Times New Roman"/>
          <w:noProof/>
          <w:kern w:val="0"/>
          <w:sz w:val="24"/>
          <w:szCs w:val="24"/>
        </w:rPr>
        <w:t xml:space="preserve"> 34 (4): 485–98. https://doi.org/10.1108/LHS-01-2021-0007.</w:t>
      </w:r>
    </w:p>
    <w:p w14:paraId="1CDBC00C"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Olney, Deanna K., Jef Leroy, Lilia Bliznashka, dan Marie T. Ruel. 2018. “PROCOMIDA, a food-assisted maternal and child health and nutrition program, reduces child stunting in Guatemala: A cluster-randomized controlled intervention trial.” </w:t>
      </w:r>
      <w:r w:rsidRPr="00B61E88">
        <w:rPr>
          <w:rFonts w:ascii="Times New Roman" w:hAnsi="Times New Roman" w:cs="Times New Roman"/>
          <w:i/>
          <w:iCs/>
          <w:noProof/>
          <w:kern w:val="0"/>
          <w:sz w:val="24"/>
          <w:szCs w:val="24"/>
        </w:rPr>
        <w:t>Journal of Nutrition</w:t>
      </w:r>
      <w:r w:rsidRPr="00B61E88">
        <w:rPr>
          <w:rFonts w:ascii="Times New Roman" w:hAnsi="Times New Roman" w:cs="Times New Roman"/>
          <w:noProof/>
          <w:kern w:val="0"/>
          <w:sz w:val="24"/>
          <w:szCs w:val="24"/>
        </w:rPr>
        <w:t xml:space="preserve"> 148 (9): 1493–1505. https://doi.org/10.1093/jn/nxy138.</w:t>
      </w:r>
    </w:p>
    <w:p w14:paraId="3563417C"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Patton, Michael Quinn. 2002. “Two Decades of Developments in Qualitative Inquiry: A Personal, Experiential Perspective.” </w:t>
      </w:r>
      <w:r w:rsidRPr="00B61E88">
        <w:rPr>
          <w:rFonts w:ascii="Times New Roman" w:hAnsi="Times New Roman" w:cs="Times New Roman"/>
          <w:i/>
          <w:iCs/>
          <w:noProof/>
          <w:kern w:val="0"/>
          <w:sz w:val="24"/>
          <w:szCs w:val="24"/>
        </w:rPr>
        <w:t>Qualitative Social Work</w:t>
      </w:r>
      <w:r w:rsidRPr="00B61E88">
        <w:rPr>
          <w:rFonts w:ascii="Times New Roman" w:hAnsi="Times New Roman" w:cs="Times New Roman"/>
          <w:noProof/>
          <w:kern w:val="0"/>
          <w:sz w:val="24"/>
          <w:szCs w:val="24"/>
        </w:rPr>
        <w:t xml:space="preserve"> 1 (3): 261–83. https://doi.org/10.1177/1473325002001003636.</w:t>
      </w:r>
    </w:p>
    <w:p w14:paraId="3BD40392"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Peters, B. Guy, Giliberto Capano, Michael Howlett, Ishani Mukherjee, Meng-Hsuan Chou, dan Pauline Ravinet. 2018. “Designing for Policy Effectiveness.” </w:t>
      </w:r>
      <w:r w:rsidRPr="00B61E88">
        <w:rPr>
          <w:rFonts w:ascii="Times New Roman" w:hAnsi="Times New Roman" w:cs="Times New Roman"/>
          <w:i/>
          <w:iCs/>
          <w:noProof/>
          <w:kern w:val="0"/>
          <w:sz w:val="24"/>
          <w:szCs w:val="24"/>
        </w:rPr>
        <w:t>Designing for Policy Effectiveness</w:t>
      </w:r>
      <w:r w:rsidRPr="00B61E88">
        <w:rPr>
          <w:rFonts w:ascii="Times New Roman" w:hAnsi="Times New Roman" w:cs="Times New Roman"/>
          <w:noProof/>
          <w:kern w:val="0"/>
          <w:sz w:val="24"/>
          <w:szCs w:val="24"/>
        </w:rPr>
        <w:t>, no. March. https://doi.org/10.1017/9781108555081.</w:t>
      </w:r>
    </w:p>
    <w:p w14:paraId="4F99C37E"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Poole, Nigel, Chona Echavez, dan Dominic Rowland. 2018. “Are agriculture and nutrition policies and practice coherent? Stakeholder evidence from Afghanistan.” </w:t>
      </w:r>
      <w:r w:rsidRPr="00B61E88">
        <w:rPr>
          <w:rFonts w:ascii="Times New Roman" w:hAnsi="Times New Roman" w:cs="Times New Roman"/>
          <w:i/>
          <w:iCs/>
          <w:noProof/>
          <w:kern w:val="0"/>
          <w:sz w:val="24"/>
          <w:szCs w:val="24"/>
        </w:rPr>
        <w:t>Food Security</w:t>
      </w:r>
      <w:r w:rsidRPr="00B61E88">
        <w:rPr>
          <w:rFonts w:ascii="Times New Roman" w:hAnsi="Times New Roman" w:cs="Times New Roman"/>
          <w:noProof/>
          <w:kern w:val="0"/>
          <w:sz w:val="24"/>
          <w:szCs w:val="24"/>
        </w:rPr>
        <w:t xml:space="preserve"> 10 (6): 1577–1601. https://doi.org/10.1007/s12571-018-0851-y.</w:t>
      </w:r>
    </w:p>
    <w:p w14:paraId="58ED8F3D"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Prasetyo, Andjar, Nana Noviana, Weni Rosdiana, M. Arief Anwar, Hartiningsih, Hendrixon, Bekti Putri Harwijayanti, dan Mochammad Fahlevi. 2023. “Stunting Convergence Management Framework through System Integration Based on Regional Service Governance.” </w:t>
      </w:r>
      <w:r w:rsidRPr="00B61E88">
        <w:rPr>
          <w:rFonts w:ascii="Times New Roman" w:hAnsi="Times New Roman" w:cs="Times New Roman"/>
          <w:i/>
          <w:iCs/>
          <w:noProof/>
          <w:kern w:val="0"/>
          <w:sz w:val="24"/>
          <w:szCs w:val="24"/>
        </w:rPr>
        <w:t>Sustainability (Switzerland)</w:t>
      </w:r>
      <w:r w:rsidRPr="00B61E88">
        <w:rPr>
          <w:rFonts w:ascii="Times New Roman" w:hAnsi="Times New Roman" w:cs="Times New Roman"/>
          <w:noProof/>
          <w:kern w:val="0"/>
          <w:sz w:val="24"/>
          <w:szCs w:val="24"/>
        </w:rPr>
        <w:t xml:space="preserve"> 15 (3). https://doi.org/10.3390/su15031821.</w:t>
      </w:r>
    </w:p>
    <w:p w14:paraId="2C9D0887"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Razak, Amran, Sri Harpina, dan Ratno Adrianto. 2020. “Political Commitment of Local Government in Handling Stunting During the Covid-19 Pandemic: A Case Study of Enrekang District.” </w:t>
      </w:r>
      <w:r w:rsidRPr="00B61E88">
        <w:rPr>
          <w:rFonts w:ascii="Times New Roman" w:hAnsi="Times New Roman" w:cs="Times New Roman"/>
          <w:i/>
          <w:iCs/>
          <w:noProof/>
          <w:kern w:val="0"/>
          <w:sz w:val="24"/>
          <w:szCs w:val="24"/>
        </w:rPr>
        <w:t>Medico-Legal Update</w:t>
      </w:r>
      <w:r w:rsidRPr="00B61E88">
        <w:rPr>
          <w:rFonts w:ascii="Times New Roman" w:hAnsi="Times New Roman" w:cs="Times New Roman"/>
          <w:noProof/>
          <w:kern w:val="0"/>
          <w:sz w:val="24"/>
          <w:szCs w:val="24"/>
        </w:rPr>
        <w:t xml:space="preserve"> 20 (4): 2173–81. https://doi.org/10.37506/mlu.v20i4.2168.</w:t>
      </w:r>
    </w:p>
    <w:p w14:paraId="1F5CF611"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Rosa, Aaron B., Simone Kimpeler, Elna Schirrmeister, dan Philine Warnke. 2021. “Participatory foresight and reflexive innovation: setting policy goals and developing strategies in a bottom-up, mission-oriented, sustainable way.” </w:t>
      </w:r>
      <w:r w:rsidRPr="00B61E88">
        <w:rPr>
          <w:rFonts w:ascii="Times New Roman" w:hAnsi="Times New Roman" w:cs="Times New Roman"/>
          <w:i/>
          <w:iCs/>
          <w:noProof/>
          <w:kern w:val="0"/>
          <w:sz w:val="24"/>
          <w:szCs w:val="24"/>
        </w:rPr>
        <w:t>European Journal of Futures Research</w:t>
      </w:r>
      <w:r w:rsidRPr="00B61E88">
        <w:rPr>
          <w:rFonts w:ascii="Times New Roman" w:hAnsi="Times New Roman" w:cs="Times New Roman"/>
          <w:noProof/>
          <w:kern w:val="0"/>
          <w:sz w:val="24"/>
          <w:szCs w:val="24"/>
        </w:rPr>
        <w:t xml:space="preserve"> 9 (1). https://doi.org/10.1186/s40309-021-00171-6.</w:t>
      </w:r>
    </w:p>
    <w:p w14:paraId="4C58A78B"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Sandford, Jodi, dan Stephanie Moulton. 2015. </w:t>
      </w:r>
      <w:r w:rsidRPr="00B61E88">
        <w:rPr>
          <w:rFonts w:ascii="Times New Roman" w:hAnsi="Times New Roman" w:cs="Times New Roman"/>
          <w:i/>
          <w:iCs/>
          <w:noProof/>
          <w:kern w:val="0"/>
          <w:sz w:val="24"/>
          <w:szCs w:val="24"/>
        </w:rPr>
        <w:t>Effective Implementation in Practice: Integrating Public Policy and Management</w:t>
      </w:r>
      <w:r w:rsidRPr="00B61E88">
        <w:rPr>
          <w:rFonts w:ascii="Times New Roman" w:hAnsi="Times New Roman" w:cs="Times New Roman"/>
          <w:noProof/>
          <w:kern w:val="0"/>
          <w:sz w:val="24"/>
          <w:szCs w:val="24"/>
        </w:rPr>
        <w:t>. John Wiley &amp; Sons.</w:t>
      </w:r>
    </w:p>
    <w:p w14:paraId="00205046"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Scaling Up Nutrition. 2021. </w:t>
      </w:r>
      <w:r w:rsidRPr="00B61E88">
        <w:rPr>
          <w:rFonts w:ascii="Times New Roman" w:hAnsi="Times New Roman" w:cs="Times New Roman"/>
          <w:i/>
          <w:iCs/>
          <w:noProof/>
          <w:kern w:val="0"/>
          <w:sz w:val="24"/>
          <w:szCs w:val="24"/>
        </w:rPr>
        <w:t>Scaling Up Nutrition. SUN Strategy 3.0 2021-2025</w:t>
      </w:r>
      <w:r w:rsidRPr="00B61E88">
        <w:rPr>
          <w:rFonts w:ascii="Times New Roman" w:hAnsi="Times New Roman" w:cs="Times New Roman"/>
          <w:noProof/>
          <w:kern w:val="0"/>
          <w:sz w:val="24"/>
          <w:szCs w:val="24"/>
        </w:rPr>
        <w:t>. Scaling Up Nutrition. Engage-Inspire-Invest. https://scalingupnutrition.org/wp-content/uploads/2021/01/SUN-Strategy-2021-2025_ENG_web1.pdf.</w:t>
      </w:r>
    </w:p>
    <w:p w14:paraId="72B4398F"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Sekretariat Wakil Presiden Republik Indonesia. 2019. </w:t>
      </w:r>
      <w:r w:rsidRPr="00B61E88">
        <w:rPr>
          <w:rFonts w:ascii="Times New Roman" w:hAnsi="Times New Roman" w:cs="Times New Roman"/>
          <w:i/>
          <w:iCs/>
          <w:noProof/>
          <w:kern w:val="0"/>
          <w:sz w:val="24"/>
          <w:szCs w:val="24"/>
        </w:rPr>
        <w:t>Strategi Nasional Percepatan Pencegahan Anak Kerdil (Stunting) Periode 2018-2024</w:t>
      </w:r>
      <w:r w:rsidRPr="00B61E88">
        <w:rPr>
          <w:rFonts w:ascii="Times New Roman" w:hAnsi="Times New Roman" w:cs="Times New Roman"/>
          <w:noProof/>
          <w:kern w:val="0"/>
          <w:sz w:val="24"/>
          <w:szCs w:val="24"/>
        </w:rPr>
        <w:t>. Kementerian Koordinator Bidang Pembangunan Manusia dan Kebudayaan.</w:t>
      </w:r>
    </w:p>
    <w:p w14:paraId="071122A2"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lastRenderedPageBreak/>
        <w:t xml:space="preserve">Siswati, Tri, Slamet Iskandar, Nova Pramestuti, Jarohman Raharjo, Agus Kharmayana Rubaya, dan Bayu Satria Wiratama. 2022. “Impact of an Integrative Nutrition Package through Home Visit on Maternal and Children Outcome: Finding from Locus Stunting in Yogyakarta, Indonesia.” </w:t>
      </w:r>
      <w:r w:rsidRPr="00B61E88">
        <w:rPr>
          <w:rFonts w:ascii="Times New Roman" w:hAnsi="Times New Roman" w:cs="Times New Roman"/>
          <w:i/>
          <w:iCs/>
          <w:noProof/>
          <w:kern w:val="0"/>
          <w:sz w:val="24"/>
          <w:szCs w:val="24"/>
        </w:rPr>
        <w:t>Nutrients</w:t>
      </w:r>
      <w:r w:rsidRPr="00B61E88">
        <w:rPr>
          <w:rFonts w:ascii="Times New Roman" w:hAnsi="Times New Roman" w:cs="Times New Roman"/>
          <w:noProof/>
          <w:kern w:val="0"/>
          <w:sz w:val="24"/>
          <w:szCs w:val="24"/>
        </w:rPr>
        <w:t xml:space="preserve"> 14 (16). https://doi.org/10.3390/nu14163448.</w:t>
      </w:r>
    </w:p>
    <w:p w14:paraId="376A5022"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Specchia, Maria Lucia, Maria Rosaria Cozzolino, Elettra Carini, Andrea Di Pilla, Caterina Galletti, Walter Ricciardi, dan Gianfranco Damiani. 2021. “Leadership styles and nurses’ job satisfaction. Results of a systematic review. Int J Environ Res Public Health. [revista en Internet] 2021 [acceso 22 de junio de 2022]; 18(4): 1552.” https://www.ncbi.nlm.nih.gov/pmc/articles/PMC7915070/.</w:t>
      </w:r>
    </w:p>
    <w:p w14:paraId="0490F36F"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Suci, Elsa Wulan, Rahmadani Yusran, M Fachri Adnan, dan Zikri Alhadi. 2023. “Policy Implementation of Stunting Prevention in Solok Selatan Regency.” </w:t>
      </w:r>
      <w:r w:rsidRPr="00B61E88">
        <w:rPr>
          <w:rFonts w:ascii="Times New Roman" w:hAnsi="Times New Roman" w:cs="Times New Roman"/>
          <w:i/>
          <w:iCs/>
          <w:noProof/>
          <w:kern w:val="0"/>
          <w:sz w:val="24"/>
          <w:szCs w:val="24"/>
        </w:rPr>
        <w:t>Science and Environmental Journals for Postgraduate</w:t>
      </w:r>
      <w:r w:rsidRPr="00B61E88">
        <w:rPr>
          <w:rFonts w:ascii="Times New Roman" w:hAnsi="Times New Roman" w:cs="Times New Roman"/>
          <w:noProof/>
          <w:kern w:val="0"/>
          <w:sz w:val="24"/>
          <w:szCs w:val="24"/>
        </w:rPr>
        <w:t xml:space="preserve"> 5 (2): 127–32.</w:t>
      </w:r>
    </w:p>
    <w:p w14:paraId="47D79CF3"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Sulistiyani, Pratiwi, Zahroh Shaluhiyah, dan Kusyogo Cahyo Bagian. 2017. “Gambaran Penolakan Masyarakat Terhadap Imunisasi Dasar Lengkap Bagi Balita.” </w:t>
      </w:r>
      <w:r w:rsidRPr="00B61E88">
        <w:rPr>
          <w:rFonts w:ascii="Times New Roman" w:hAnsi="Times New Roman" w:cs="Times New Roman"/>
          <w:i/>
          <w:iCs/>
          <w:noProof/>
          <w:kern w:val="0"/>
          <w:sz w:val="24"/>
          <w:szCs w:val="24"/>
        </w:rPr>
        <w:t>Kesehatan Masyarakat</w:t>
      </w:r>
      <w:r w:rsidRPr="00B61E88">
        <w:rPr>
          <w:rFonts w:ascii="Times New Roman" w:hAnsi="Times New Roman" w:cs="Times New Roman"/>
          <w:noProof/>
          <w:kern w:val="0"/>
          <w:sz w:val="24"/>
          <w:szCs w:val="24"/>
        </w:rPr>
        <w:t xml:space="preserve"> 5 (5): 2356–3346. http://ejournal3.undip.ac.id/index.php/jkm.</w:t>
      </w:r>
    </w:p>
    <w:p w14:paraId="35ACF5E3"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Sururi, Ahmad. 2016. “Inovasi Kebijakan Publik, Tinjauan Konseptual dan Empiris.” </w:t>
      </w:r>
      <w:r w:rsidRPr="00B61E88">
        <w:rPr>
          <w:rFonts w:ascii="Times New Roman" w:hAnsi="Times New Roman" w:cs="Times New Roman"/>
          <w:i/>
          <w:iCs/>
          <w:noProof/>
          <w:kern w:val="0"/>
          <w:sz w:val="24"/>
          <w:szCs w:val="24"/>
        </w:rPr>
        <w:t>Sawala Jurnal Administrasi Negara</w:t>
      </w:r>
      <w:r w:rsidRPr="00B61E88">
        <w:rPr>
          <w:rFonts w:ascii="Times New Roman" w:hAnsi="Times New Roman" w:cs="Times New Roman"/>
          <w:noProof/>
          <w:kern w:val="0"/>
          <w:sz w:val="24"/>
          <w:szCs w:val="24"/>
        </w:rPr>
        <w:t xml:space="preserve"> 4 (3): 1–14.</w:t>
      </w:r>
    </w:p>
    <w:p w14:paraId="4761D69D"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Svefors, Pernilla, Jesmin Pervin, Ashraful Islam Khan, Anisur Rahman, Eva Charlotte Ekström, Shams El Arifeen, Katarina Ekholm Selling, dan Lars Åke Persson. 2020. “Stunting, recovery from stunting and puberty development in the MINIMat cohort, Bangladesh.” </w:t>
      </w:r>
      <w:r w:rsidRPr="00B61E88">
        <w:rPr>
          <w:rFonts w:ascii="Times New Roman" w:hAnsi="Times New Roman" w:cs="Times New Roman"/>
          <w:i/>
          <w:iCs/>
          <w:noProof/>
          <w:kern w:val="0"/>
          <w:sz w:val="24"/>
          <w:szCs w:val="24"/>
        </w:rPr>
        <w:t>Acta Paediatrica, International Journal of Paediatrics</w:t>
      </w:r>
      <w:r w:rsidRPr="00B61E88">
        <w:rPr>
          <w:rFonts w:ascii="Times New Roman" w:hAnsi="Times New Roman" w:cs="Times New Roman"/>
          <w:noProof/>
          <w:kern w:val="0"/>
          <w:sz w:val="24"/>
          <w:szCs w:val="24"/>
        </w:rPr>
        <w:t xml:space="preserve"> 109 (1): 122–33. https://doi.org/10.1111/apa.14929.</w:t>
      </w:r>
    </w:p>
    <w:p w14:paraId="0F731403"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UCLG-ASPAC. 2019. “How Indonesia Local Governments Deal with Stunting.” https://uclg-aspac.org/how-indonesia-local-governments-deal-with-stunting/. Diakses pada tanggal 06 Januari 2022.</w:t>
      </w:r>
    </w:p>
    <w:p w14:paraId="4CD37BCC"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 xml:space="preserve">Widianingsih, Ida, Budhi Gunawan, dan Binahayati Rusyidi. 2018. “Peningkatan Kepedulian Stakeholder Pembangunan Dalam Mencegah Stunting Di Desa Cangkuang Wetan Kecamatan Dayeuhkolot Kabupaten Bandung.” </w:t>
      </w:r>
      <w:r w:rsidRPr="00B61E88">
        <w:rPr>
          <w:rFonts w:ascii="Times New Roman" w:hAnsi="Times New Roman" w:cs="Times New Roman"/>
          <w:i/>
          <w:iCs/>
          <w:noProof/>
          <w:kern w:val="0"/>
          <w:sz w:val="24"/>
          <w:szCs w:val="24"/>
        </w:rPr>
        <w:t>Jurnal Pengabdian Kepada Masyarakat</w:t>
      </w:r>
      <w:r w:rsidRPr="00B61E88">
        <w:rPr>
          <w:rFonts w:ascii="Times New Roman" w:hAnsi="Times New Roman" w:cs="Times New Roman"/>
          <w:noProof/>
          <w:kern w:val="0"/>
          <w:sz w:val="24"/>
          <w:szCs w:val="24"/>
        </w:rPr>
        <w:t xml:space="preserve"> 1 (2): 120–30. http://ejournal3.undip.ac.id/index.php/jkm.</w:t>
      </w:r>
    </w:p>
    <w:p w14:paraId="6841309A"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kern w:val="0"/>
          <w:sz w:val="24"/>
          <w:szCs w:val="24"/>
        </w:rPr>
      </w:pPr>
      <w:r w:rsidRPr="00B61E88">
        <w:rPr>
          <w:rFonts w:ascii="Times New Roman" w:hAnsi="Times New Roman" w:cs="Times New Roman"/>
          <w:noProof/>
          <w:kern w:val="0"/>
          <w:sz w:val="24"/>
          <w:szCs w:val="24"/>
        </w:rPr>
        <w:t>World Health Organization. 2014. “World Health Assembly Global Nutrition Targets 2025: Stunting Policy Brief.” https://doi.org/10.7591/cornell/9781501758898.003.0006.</w:t>
      </w:r>
    </w:p>
    <w:p w14:paraId="27F26893" w14:textId="77777777" w:rsidR="00B61E88" w:rsidRPr="00B61E88" w:rsidRDefault="00B61E88" w:rsidP="00B61E88">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B61E88">
        <w:rPr>
          <w:rFonts w:ascii="Times New Roman" w:hAnsi="Times New Roman" w:cs="Times New Roman"/>
          <w:noProof/>
          <w:kern w:val="0"/>
          <w:sz w:val="24"/>
          <w:szCs w:val="24"/>
        </w:rPr>
        <w:t xml:space="preserve">Yin, Robert K. 2014. </w:t>
      </w:r>
      <w:r w:rsidRPr="00B61E88">
        <w:rPr>
          <w:rFonts w:ascii="Times New Roman" w:hAnsi="Times New Roman" w:cs="Times New Roman"/>
          <w:i/>
          <w:iCs/>
          <w:noProof/>
          <w:kern w:val="0"/>
          <w:sz w:val="24"/>
          <w:szCs w:val="24"/>
        </w:rPr>
        <w:t>Case Study Research : design and methods</w:t>
      </w:r>
      <w:r w:rsidRPr="00B61E88">
        <w:rPr>
          <w:rFonts w:ascii="Times New Roman" w:hAnsi="Times New Roman" w:cs="Times New Roman"/>
          <w:noProof/>
          <w:kern w:val="0"/>
          <w:sz w:val="24"/>
          <w:szCs w:val="24"/>
        </w:rPr>
        <w:t>. Fifth Edit. Lon: SAGE Publications Inc.</w:t>
      </w:r>
    </w:p>
    <w:p w14:paraId="7C2A139C" w14:textId="20E7A3C8" w:rsidR="004307B5" w:rsidRPr="007720BC" w:rsidRDefault="004307B5" w:rsidP="00B61E88">
      <w:pPr>
        <w:pStyle w:val="BodyText"/>
        <w:contextualSpacing/>
        <w:jc w:val="both"/>
        <w:rPr>
          <w:sz w:val="24"/>
          <w:szCs w:val="24"/>
          <w:lang w:val="en-US"/>
        </w:rPr>
      </w:pPr>
      <w:r w:rsidRPr="007720BC">
        <w:rPr>
          <w:sz w:val="24"/>
          <w:szCs w:val="24"/>
          <w:lang w:val="en-US"/>
        </w:rPr>
        <w:fldChar w:fldCharType="end"/>
      </w:r>
    </w:p>
    <w:p w14:paraId="3A483DF9" w14:textId="77777777" w:rsidR="001B5F2D" w:rsidRPr="007720BC" w:rsidRDefault="001B5F2D" w:rsidP="00B61E88">
      <w:pPr>
        <w:tabs>
          <w:tab w:val="left" w:pos="1080"/>
        </w:tabs>
        <w:spacing w:after="0" w:line="240" w:lineRule="auto"/>
        <w:contextualSpacing/>
        <w:jc w:val="both"/>
        <w:rPr>
          <w:rFonts w:ascii="Times New Roman" w:hAnsi="Times New Roman" w:cs="Times New Roman"/>
          <w:sz w:val="24"/>
          <w:szCs w:val="24"/>
        </w:rPr>
      </w:pPr>
    </w:p>
    <w:sectPr w:rsidR="001B5F2D" w:rsidRPr="007720BC" w:rsidSect="00C348A9">
      <w:pgSz w:w="11906" w:h="16838" w:code="9"/>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77D5"/>
    <w:multiLevelType w:val="multilevel"/>
    <w:tmpl w:val="24B577D5"/>
    <w:lvl w:ilvl="0">
      <w:start w:val="1"/>
      <w:numFmt w:val="decimal"/>
      <w:lvlText w:val="%1."/>
      <w:lvlJc w:val="left"/>
      <w:pPr>
        <w:ind w:left="1125" w:hanging="360"/>
      </w:pPr>
      <w:rPr>
        <w:rFonts w:hint="default"/>
      </w:rPr>
    </w:lvl>
    <w:lvl w:ilvl="1">
      <w:start w:val="1"/>
      <w:numFmt w:val="lowerLetter"/>
      <w:lvlText w:val="%2."/>
      <w:lvlJc w:val="left"/>
      <w:pPr>
        <w:ind w:left="1778"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decimal"/>
      <w:lvlText w:val="%5."/>
      <w:lvlJc w:val="left"/>
      <w:pPr>
        <w:ind w:left="4005" w:hanging="360"/>
      </w:pPr>
      <w:rPr>
        <w:rFonts w:hint="default"/>
      </w:rPr>
    </w:lvl>
    <w:lvl w:ilvl="5">
      <w:start w:val="5"/>
      <w:numFmt w:val="decimal"/>
      <w:lvlText w:val="%6"/>
      <w:lvlJc w:val="left"/>
      <w:pPr>
        <w:ind w:left="4905" w:hanging="360"/>
      </w:pPr>
      <w:rPr>
        <w:rFonts w:hint="default"/>
      </w:r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1" w15:restartNumberingAfterBreak="0">
    <w:nsid w:val="4A781900"/>
    <w:multiLevelType w:val="hybridMultilevel"/>
    <w:tmpl w:val="2CBEC26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642C3AE9"/>
    <w:multiLevelType w:val="hybridMultilevel"/>
    <w:tmpl w:val="A3BCFCE2"/>
    <w:lvl w:ilvl="0" w:tplc="828CDBE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CB76D2C"/>
    <w:multiLevelType w:val="hybridMultilevel"/>
    <w:tmpl w:val="A3BCFC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3675DA"/>
    <w:multiLevelType w:val="hybridMultilevel"/>
    <w:tmpl w:val="0BD2EA3E"/>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7BB9494A"/>
    <w:multiLevelType w:val="hybridMultilevel"/>
    <w:tmpl w:val="764A8938"/>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7E1E1C5F"/>
    <w:multiLevelType w:val="hybridMultilevel"/>
    <w:tmpl w:val="3ED84BA4"/>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988394942">
    <w:abstractNumId w:val="6"/>
  </w:num>
  <w:num w:numId="2" w16cid:durableId="1802966052">
    <w:abstractNumId w:val="1"/>
  </w:num>
  <w:num w:numId="3" w16cid:durableId="1603684795">
    <w:abstractNumId w:val="4"/>
  </w:num>
  <w:num w:numId="4" w16cid:durableId="1041899567">
    <w:abstractNumId w:val="5"/>
  </w:num>
  <w:num w:numId="5" w16cid:durableId="629558555">
    <w:abstractNumId w:val="2"/>
  </w:num>
  <w:num w:numId="6" w16cid:durableId="1915508735">
    <w:abstractNumId w:val="3"/>
  </w:num>
  <w:num w:numId="7" w16cid:durableId="948462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3F2"/>
    <w:rsid w:val="000033AC"/>
    <w:rsid w:val="00004F2C"/>
    <w:rsid w:val="000155EF"/>
    <w:rsid w:val="000228FE"/>
    <w:rsid w:val="000264DF"/>
    <w:rsid w:val="00034792"/>
    <w:rsid w:val="00036E25"/>
    <w:rsid w:val="000459C2"/>
    <w:rsid w:val="0005519A"/>
    <w:rsid w:val="00082DC0"/>
    <w:rsid w:val="000A23ED"/>
    <w:rsid w:val="000A5A5B"/>
    <w:rsid w:val="000B49C3"/>
    <w:rsid w:val="000C67AD"/>
    <w:rsid w:val="000D08B3"/>
    <w:rsid w:val="000D119C"/>
    <w:rsid w:val="000D4973"/>
    <w:rsid w:val="000D5F0A"/>
    <w:rsid w:val="000D7D4D"/>
    <w:rsid w:val="000F0C3B"/>
    <w:rsid w:val="000F2AF4"/>
    <w:rsid w:val="001015B8"/>
    <w:rsid w:val="00112C9E"/>
    <w:rsid w:val="00121428"/>
    <w:rsid w:val="00130505"/>
    <w:rsid w:val="0014078B"/>
    <w:rsid w:val="00147422"/>
    <w:rsid w:val="0015346F"/>
    <w:rsid w:val="001708FE"/>
    <w:rsid w:val="00196B08"/>
    <w:rsid w:val="001A36BD"/>
    <w:rsid w:val="001B5F2D"/>
    <w:rsid w:val="001B7826"/>
    <w:rsid w:val="001C718A"/>
    <w:rsid w:val="001D7AD8"/>
    <w:rsid w:val="001F0544"/>
    <w:rsid w:val="001F376C"/>
    <w:rsid w:val="00201965"/>
    <w:rsid w:val="00204714"/>
    <w:rsid w:val="0022051D"/>
    <w:rsid w:val="00233CC8"/>
    <w:rsid w:val="002502A2"/>
    <w:rsid w:val="00264FD9"/>
    <w:rsid w:val="00280D2B"/>
    <w:rsid w:val="00285873"/>
    <w:rsid w:val="002872E7"/>
    <w:rsid w:val="00290E9C"/>
    <w:rsid w:val="00293408"/>
    <w:rsid w:val="002A60E9"/>
    <w:rsid w:val="002D1851"/>
    <w:rsid w:val="002D1E70"/>
    <w:rsid w:val="002D4695"/>
    <w:rsid w:val="002D4F09"/>
    <w:rsid w:val="002E0F5F"/>
    <w:rsid w:val="002F1638"/>
    <w:rsid w:val="00317B23"/>
    <w:rsid w:val="00327105"/>
    <w:rsid w:val="00332242"/>
    <w:rsid w:val="003447E2"/>
    <w:rsid w:val="003463C3"/>
    <w:rsid w:val="0035388D"/>
    <w:rsid w:val="003543EB"/>
    <w:rsid w:val="00355CE2"/>
    <w:rsid w:val="003717D5"/>
    <w:rsid w:val="00384FC7"/>
    <w:rsid w:val="00385BDC"/>
    <w:rsid w:val="003C6F7D"/>
    <w:rsid w:val="003D71B7"/>
    <w:rsid w:val="003D7756"/>
    <w:rsid w:val="003E7D03"/>
    <w:rsid w:val="003F5650"/>
    <w:rsid w:val="003F577A"/>
    <w:rsid w:val="00402D99"/>
    <w:rsid w:val="0040400D"/>
    <w:rsid w:val="00404359"/>
    <w:rsid w:val="004307B5"/>
    <w:rsid w:val="0043174B"/>
    <w:rsid w:val="0043288E"/>
    <w:rsid w:val="004868C3"/>
    <w:rsid w:val="00486FF0"/>
    <w:rsid w:val="0049181E"/>
    <w:rsid w:val="004A630E"/>
    <w:rsid w:val="004A74AF"/>
    <w:rsid w:val="004B01BD"/>
    <w:rsid w:val="004B11C1"/>
    <w:rsid w:val="004B2015"/>
    <w:rsid w:val="004B2129"/>
    <w:rsid w:val="004C6BC7"/>
    <w:rsid w:val="004D0B02"/>
    <w:rsid w:val="004F3057"/>
    <w:rsid w:val="004F5484"/>
    <w:rsid w:val="00504316"/>
    <w:rsid w:val="00504B83"/>
    <w:rsid w:val="00521ED5"/>
    <w:rsid w:val="00527A8F"/>
    <w:rsid w:val="0053750D"/>
    <w:rsid w:val="00543477"/>
    <w:rsid w:val="005464D1"/>
    <w:rsid w:val="005542AD"/>
    <w:rsid w:val="0056196E"/>
    <w:rsid w:val="0057002B"/>
    <w:rsid w:val="00580C55"/>
    <w:rsid w:val="005929DB"/>
    <w:rsid w:val="005B4958"/>
    <w:rsid w:val="005C25D3"/>
    <w:rsid w:val="0061270B"/>
    <w:rsid w:val="0063652F"/>
    <w:rsid w:val="00640323"/>
    <w:rsid w:val="0065440A"/>
    <w:rsid w:val="00663688"/>
    <w:rsid w:val="00692C98"/>
    <w:rsid w:val="006C114D"/>
    <w:rsid w:val="006C6E29"/>
    <w:rsid w:val="006F5259"/>
    <w:rsid w:val="007017D5"/>
    <w:rsid w:val="007127C4"/>
    <w:rsid w:val="00717586"/>
    <w:rsid w:val="007305D4"/>
    <w:rsid w:val="00737D04"/>
    <w:rsid w:val="007720BC"/>
    <w:rsid w:val="00783A29"/>
    <w:rsid w:val="00787C0A"/>
    <w:rsid w:val="0079552B"/>
    <w:rsid w:val="007973CE"/>
    <w:rsid w:val="007C2204"/>
    <w:rsid w:val="007C466C"/>
    <w:rsid w:val="007E50DF"/>
    <w:rsid w:val="007E71DF"/>
    <w:rsid w:val="007F3739"/>
    <w:rsid w:val="00804841"/>
    <w:rsid w:val="00822CFD"/>
    <w:rsid w:val="0083188C"/>
    <w:rsid w:val="00834830"/>
    <w:rsid w:val="00840655"/>
    <w:rsid w:val="0084284E"/>
    <w:rsid w:val="00844AE3"/>
    <w:rsid w:val="008517C0"/>
    <w:rsid w:val="0085242A"/>
    <w:rsid w:val="008653D9"/>
    <w:rsid w:val="008761BB"/>
    <w:rsid w:val="00881E00"/>
    <w:rsid w:val="00895433"/>
    <w:rsid w:val="008A4451"/>
    <w:rsid w:val="008B4F0C"/>
    <w:rsid w:val="008C3F00"/>
    <w:rsid w:val="008E2D9D"/>
    <w:rsid w:val="008E7E53"/>
    <w:rsid w:val="008F301C"/>
    <w:rsid w:val="008F5E48"/>
    <w:rsid w:val="00910C3A"/>
    <w:rsid w:val="00912F2C"/>
    <w:rsid w:val="009417AC"/>
    <w:rsid w:val="009477A6"/>
    <w:rsid w:val="009560F4"/>
    <w:rsid w:val="009612EA"/>
    <w:rsid w:val="009650CB"/>
    <w:rsid w:val="009671CF"/>
    <w:rsid w:val="00972B41"/>
    <w:rsid w:val="009836F6"/>
    <w:rsid w:val="00993746"/>
    <w:rsid w:val="00995D7C"/>
    <w:rsid w:val="009969CF"/>
    <w:rsid w:val="00997E56"/>
    <w:rsid w:val="009A0298"/>
    <w:rsid w:val="009C783F"/>
    <w:rsid w:val="009D7050"/>
    <w:rsid w:val="009E2677"/>
    <w:rsid w:val="009E29A2"/>
    <w:rsid w:val="009F0674"/>
    <w:rsid w:val="009F1E3B"/>
    <w:rsid w:val="009F3721"/>
    <w:rsid w:val="009F5354"/>
    <w:rsid w:val="00A02911"/>
    <w:rsid w:val="00A07A87"/>
    <w:rsid w:val="00A12978"/>
    <w:rsid w:val="00A1538B"/>
    <w:rsid w:val="00A15F79"/>
    <w:rsid w:val="00A17183"/>
    <w:rsid w:val="00A20D07"/>
    <w:rsid w:val="00A22EEB"/>
    <w:rsid w:val="00A241B6"/>
    <w:rsid w:val="00A30A49"/>
    <w:rsid w:val="00A440FC"/>
    <w:rsid w:val="00A47A72"/>
    <w:rsid w:val="00A638A7"/>
    <w:rsid w:val="00A66F93"/>
    <w:rsid w:val="00A8371F"/>
    <w:rsid w:val="00A90097"/>
    <w:rsid w:val="00A95683"/>
    <w:rsid w:val="00AA00F1"/>
    <w:rsid w:val="00AC2A93"/>
    <w:rsid w:val="00AC39D5"/>
    <w:rsid w:val="00AE3783"/>
    <w:rsid w:val="00AF0CE8"/>
    <w:rsid w:val="00B011FB"/>
    <w:rsid w:val="00B103DB"/>
    <w:rsid w:val="00B52827"/>
    <w:rsid w:val="00B61E88"/>
    <w:rsid w:val="00B64E52"/>
    <w:rsid w:val="00B81D8A"/>
    <w:rsid w:val="00B90489"/>
    <w:rsid w:val="00BB382A"/>
    <w:rsid w:val="00BC15D2"/>
    <w:rsid w:val="00BD1422"/>
    <w:rsid w:val="00BE2445"/>
    <w:rsid w:val="00BF358C"/>
    <w:rsid w:val="00C06B13"/>
    <w:rsid w:val="00C1136B"/>
    <w:rsid w:val="00C27C0F"/>
    <w:rsid w:val="00C348A9"/>
    <w:rsid w:val="00C55BF3"/>
    <w:rsid w:val="00C649E9"/>
    <w:rsid w:val="00C76E11"/>
    <w:rsid w:val="00CA6C66"/>
    <w:rsid w:val="00CB2900"/>
    <w:rsid w:val="00CB4E4C"/>
    <w:rsid w:val="00CC66DD"/>
    <w:rsid w:val="00CD026A"/>
    <w:rsid w:val="00CD1E25"/>
    <w:rsid w:val="00CE2353"/>
    <w:rsid w:val="00CE2D3D"/>
    <w:rsid w:val="00CE4A76"/>
    <w:rsid w:val="00D11106"/>
    <w:rsid w:val="00D3067E"/>
    <w:rsid w:val="00D349D8"/>
    <w:rsid w:val="00D431E6"/>
    <w:rsid w:val="00D44772"/>
    <w:rsid w:val="00D4609F"/>
    <w:rsid w:val="00D51442"/>
    <w:rsid w:val="00D6195E"/>
    <w:rsid w:val="00D6252E"/>
    <w:rsid w:val="00D806A2"/>
    <w:rsid w:val="00D811EE"/>
    <w:rsid w:val="00D847BD"/>
    <w:rsid w:val="00DA23F2"/>
    <w:rsid w:val="00DA2C68"/>
    <w:rsid w:val="00DB6621"/>
    <w:rsid w:val="00DB669D"/>
    <w:rsid w:val="00DF4F28"/>
    <w:rsid w:val="00E06B4D"/>
    <w:rsid w:val="00E1434A"/>
    <w:rsid w:val="00E149C0"/>
    <w:rsid w:val="00E265B9"/>
    <w:rsid w:val="00E3066F"/>
    <w:rsid w:val="00E47F8F"/>
    <w:rsid w:val="00E51645"/>
    <w:rsid w:val="00E54198"/>
    <w:rsid w:val="00E57ADE"/>
    <w:rsid w:val="00E633D6"/>
    <w:rsid w:val="00E66AE5"/>
    <w:rsid w:val="00EA1EDF"/>
    <w:rsid w:val="00EB17FB"/>
    <w:rsid w:val="00EB7703"/>
    <w:rsid w:val="00EC34B0"/>
    <w:rsid w:val="00EE4E91"/>
    <w:rsid w:val="00EF1834"/>
    <w:rsid w:val="00F10389"/>
    <w:rsid w:val="00F128D4"/>
    <w:rsid w:val="00F1353F"/>
    <w:rsid w:val="00F13B9B"/>
    <w:rsid w:val="00F23EBF"/>
    <w:rsid w:val="00F31301"/>
    <w:rsid w:val="00F326C9"/>
    <w:rsid w:val="00F40AAF"/>
    <w:rsid w:val="00F43B25"/>
    <w:rsid w:val="00F50928"/>
    <w:rsid w:val="00F549A3"/>
    <w:rsid w:val="00F64C61"/>
    <w:rsid w:val="00F715DE"/>
    <w:rsid w:val="00F7168B"/>
    <w:rsid w:val="00F71AA7"/>
    <w:rsid w:val="00F80099"/>
    <w:rsid w:val="00F825CA"/>
    <w:rsid w:val="00FB0D61"/>
    <w:rsid w:val="00FD2DF9"/>
    <w:rsid w:val="00FD448F"/>
    <w:rsid w:val="00FE039D"/>
    <w:rsid w:val="00FF70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F501"/>
  <w15:chartTrackingRefBased/>
  <w15:docId w15:val="{E53B6B2E-ABD5-493B-9C87-DA09A447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23F2"/>
    <w:pPr>
      <w:widowControl w:val="0"/>
      <w:autoSpaceDE w:val="0"/>
      <w:autoSpaceDN w:val="0"/>
      <w:spacing w:after="0" w:line="240" w:lineRule="auto"/>
      <w:ind w:left="1771" w:right="1504"/>
      <w:jc w:val="center"/>
      <w:outlineLvl w:val="0"/>
    </w:pPr>
    <w:rPr>
      <w:rFonts w:ascii="Trebuchet MS" w:eastAsia="Trebuchet MS" w:hAnsi="Trebuchet MS" w:cs="Trebuchet MS"/>
      <w:b/>
      <w:bCs/>
      <w:kern w:val="0"/>
      <w:sz w:val="39"/>
      <w:szCs w:val="39"/>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3F2"/>
    <w:rPr>
      <w:rFonts w:ascii="Trebuchet MS" w:eastAsia="Trebuchet MS" w:hAnsi="Trebuchet MS" w:cs="Trebuchet MS"/>
      <w:b/>
      <w:bCs/>
      <w:kern w:val="0"/>
      <w:sz w:val="39"/>
      <w:szCs w:val="39"/>
      <w:lang w:val="id"/>
      <w14:ligatures w14:val="none"/>
    </w:rPr>
  </w:style>
  <w:style w:type="paragraph" w:styleId="BodyText">
    <w:name w:val="Body Text"/>
    <w:basedOn w:val="Normal"/>
    <w:link w:val="BodyTextChar"/>
    <w:uiPriority w:val="1"/>
    <w:qFormat/>
    <w:rsid w:val="00A20D07"/>
    <w:pPr>
      <w:widowControl w:val="0"/>
      <w:autoSpaceDE w:val="0"/>
      <w:autoSpaceDN w:val="0"/>
      <w:spacing w:after="0" w:line="240" w:lineRule="auto"/>
    </w:pPr>
    <w:rPr>
      <w:rFonts w:ascii="Times New Roman" w:eastAsia="Times New Roman" w:hAnsi="Times New Roman" w:cs="Times New Roman"/>
      <w:kern w:val="0"/>
      <w:sz w:val="23"/>
      <w:szCs w:val="23"/>
      <w:lang w:val="id"/>
      <w14:ligatures w14:val="none"/>
    </w:rPr>
  </w:style>
  <w:style w:type="character" w:customStyle="1" w:styleId="BodyTextChar">
    <w:name w:val="Body Text Char"/>
    <w:basedOn w:val="DefaultParagraphFont"/>
    <w:link w:val="BodyText"/>
    <w:uiPriority w:val="1"/>
    <w:rsid w:val="00A20D07"/>
    <w:rPr>
      <w:rFonts w:ascii="Times New Roman" w:eastAsia="Times New Roman" w:hAnsi="Times New Roman" w:cs="Times New Roman"/>
      <w:kern w:val="0"/>
      <w:sz w:val="23"/>
      <w:szCs w:val="23"/>
      <w:lang w:val="id"/>
      <w14:ligatures w14:val="none"/>
    </w:rPr>
  </w:style>
  <w:style w:type="table" w:styleId="TableGrid">
    <w:name w:val="Table Grid"/>
    <w:basedOn w:val="TableNormal"/>
    <w:uiPriority w:val="39"/>
    <w:rsid w:val="00196B08"/>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5CA"/>
    <w:rPr>
      <w:color w:val="0563C1" w:themeColor="hyperlink"/>
      <w:u w:val="single"/>
    </w:rPr>
  </w:style>
  <w:style w:type="character" w:styleId="UnresolvedMention">
    <w:name w:val="Unresolved Mention"/>
    <w:basedOn w:val="DefaultParagraphFont"/>
    <w:uiPriority w:val="99"/>
    <w:semiHidden/>
    <w:unhideWhenUsed/>
    <w:rsid w:val="00F825CA"/>
    <w:rPr>
      <w:color w:val="605E5C"/>
      <w:shd w:val="clear" w:color="auto" w:fill="E1DFDD"/>
    </w:rPr>
  </w:style>
  <w:style w:type="character" w:styleId="Emphasis">
    <w:name w:val="Emphasis"/>
    <w:basedOn w:val="DefaultParagraphFont"/>
    <w:uiPriority w:val="20"/>
    <w:qFormat/>
    <w:rsid w:val="00F825CA"/>
    <w:rPr>
      <w:i/>
      <w:iCs/>
    </w:rPr>
  </w:style>
  <w:style w:type="character" w:customStyle="1" w:styleId="hgkelc">
    <w:name w:val="hgkelc"/>
    <w:basedOn w:val="DefaultParagraphFont"/>
    <w:rsid w:val="001B5F2D"/>
  </w:style>
  <w:style w:type="character" w:styleId="Strong">
    <w:name w:val="Strong"/>
    <w:basedOn w:val="DefaultParagraphFont"/>
    <w:uiPriority w:val="22"/>
    <w:qFormat/>
    <w:rsid w:val="001B5F2D"/>
    <w:rPr>
      <w:b/>
      <w:bCs/>
    </w:rPr>
  </w:style>
  <w:style w:type="character" w:customStyle="1" w:styleId="jlqj4b">
    <w:name w:val="jlqj4b"/>
    <w:rsid w:val="001B5F2D"/>
  </w:style>
  <w:style w:type="character" w:customStyle="1" w:styleId="tlid-translation">
    <w:name w:val="tlid-translation"/>
    <w:basedOn w:val="DefaultParagraphFont"/>
    <w:rsid w:val="001B5F2D"/>
  </w:style>
  <w:style w:type="paragraph" w:styleId="ListParagraph">
    <w:name w:val="List Paragraph"/>
    <w:basedOn w:val="Normal"/>
    <w:link w:val="ListParagraphChar"/>
    <w:uiPriority w:val="1"/>
    <w:qFormat/>
    <w:rsid w:val="001B5F2D"/>
    <w:pPr>
      <w:widowControl w:val="0"/>
      <w:autoSpaceDE w:val="0"/>
      <w:autoSpaceDN w:val="0"/>
      <w:spacing w:before="122" w:after="0" w:line="240" w:lineRule="auto"/>
      <w:ind w:left="1939" w:right="1132" w:hanging="679"/>
      <w:jc w:val="both"/>
    </w:pPr>
    <w:rPr>
      <w:rFonts w:ascii="Times New Roman" w:eastAsia="Times New Roman" w:hAnsi="Times New Roman" w:cs="Times New Roman"/>
      <w:kern w:val="0"/>
      <w:lang w:val="id"/>
      <w14:ligatures w14:val="none"/>
    </w:rPr>
  </w:style>
  <w:style w:type="character" w:customStyle="1" w:styleId="ListParagraphChar">
    <w:name w:val="List Paragraph Char"/>
    <w:link w:val="ListParagraph"/>
    <w:uiPriority w:val="34"/>
    <w:qFormat/>
    <w:rsid w:val="001B5F2D"/>
    <w:rPr>
      <w:rFonts w:ascii="Times New Roman" w:eastAsia="Times New Roman" w:hAnsi="Times New Roman" w:cs="Times New Roman"/>
      <w:kern w:val="0"/>
      <w:lang w:val="id"/>
      <w14:ligatures w14:val="none"/>
    </w:rPr>
  </w:style>
  <w:style w:type="character" w:customStyle="1" w:styleId="rynqvb">
    <w:name w:val="rynqvb"/>
    <w:basedOn w:val="DefaultParagraphFont"/>
    <w:rsid w:val="000F0C3B"/>
  </w:style>
  <w:style w:type="character" w:customStyle="1" w:styleId="hwtze">
    <w:name w:val="hwtze"/>
    <w:basedOn w:val="DefaultParagraphFont"/>
    <w:rsid w:val="000033AC"/>
  </w:style>
  <w:style w:type="paragraph" w:customStyle="1" w:styleId="Style4">
    <w:name w:val="Style 4"/>
    <w:basedOn w:val="Normal"/>
    <w:rsid w:val="004F3057"/>
    <w:pPr>
      <w:widowControl w:val="0"/>
      <w:autoSpaceDE w:val="0"/>
      <w:autoSpaceDN w:val="0"/>
      <w:spacing w:after="0" w:line="300" w:lineRule="atLeast"/>
      <w:ind w:firstLine="432"/>
      <w:jc w:val="both"/>
    </w:pPr>
    <w:rPr>
      <w:rFonts w:ascii="Times New Roman" w:eastAsia="Times New Roman" w:hAnsi="Times New Roman" w:cs="Times New Roman"/>
      <w:kern w:val="0"/>
      <w:sz w:val="24"/>
      <w:szCs w:val="24"/>
      <w:lang w:val="en-US"/>
      <w14:ligatures w14:val="none"/>
    </w:rPr>
  </w:style>
  <w:style w:type="character" w:styleId="FootnoteReference">
    <w:name w:val="footnote reference"/>
    <w:basedOn w:val="DefaultParagraphFont"/>
    <w:uiPriority w:val="99"/>
    <w:semiHidden/>
    <w:unhideWhenUsed/>
    <w:rsid w:val="004F3057"/>
    <w:rPr>
      <w:vertAlign w:val="superscript"/>
    </w:rPr>
  </w:style>
  <w:style w:type="character" w:customStyle="1" w:styleId="A9">
    <w:name w:val="A9"/>
    <w:uiPriority w:val="99"/>
    <w:rsid w:val="004F3057"/>
    <w:rPr>
      <w:rFonts w:cs="Myriad Pro"/>
      <w:color w:val="211D1E"/>
      <w:sz w:val="19"/>
      <w:szCs w:val="19"/>
    </w:rPr>
  </w:style>
  <w:style w:type="character" w:customStyle="1" w:styleId="gi">
    <w:name w:val="gi"/>
    <w:basedOn w:val="DefaultParagraphFont"/>
    <w:rsid w:val="00B61E88"/>
  </w:style>
  <w:style w:type="character" w:customStyle="1" w:styleId="go">
    <w:name w:val="go"/>
    <w:basedOn w:val="DefaultParagraphFont"/>
    <w:rsid w:val="00B61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ahmadbroer@gmail.com" TargetMode="Externa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Kajian%20Stunting_BKKBN\daftar-kabupaten-dengan-prevalensi-balita-stunting-tertinggi-di-banten-pada-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Chart%20in%20Microsoft%20PowerPoint"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noFill/>
        <a:ln w="3175" cap="flat" cmpd="sng" algn="ctr">
          <a:solidFill>
            <a:schemeClr val="tx1">
              <a:lumMod val="15000"/>
              <a:lumOff val="85000"/>
            </a:schemeClr>
          </a:solidFill>
          <a:round/>
        </a:ln>
        <a:effectLst/>
        <a:sp3d contourW="3175">
          <a:contourClr>
            <a:schemeClr val="tx1">
              <a:lumMod val="15000"/>
              <a:lumOff val="85000"/>
            </a:schemeClr>
          </a:contourClr>
        </a:sp3d>
      </c:spPr>
    </c:floor>
    <c:sideWall>
      <c:thickness val="0"/>
      <c:spPr>
        <a:solidFill>
          <a:schemeClr val="lt1"/>
        </a:solidFill>
        <a:ln w="25400" cap="flat" cmpd="sng" algn="ctr">
          <a:solidFill>
            <a:schemeClr val="accent2"/>
          </a:solidFill>
          <a:prstDash val="solid"/>
        </a:ln>
        <a:effectLst/>
        <a:sp3d contourW="25400">
          <a:contourClr>
            <a:schemeClr val="accent2"/>
          </a:contourClr>
        </a:sp3d>
      </c:spPr>
    </c:sideWall>
    <c:backWall>
      <c:thickness val="0"/>
      <c:spPr>
        <a:solidFill>
          <a:schemeClr val="lt1"/>
        </a:solidFill>
        <a:ln w="25400" cap="flat" cmpd="sng" algn="ctr">
          <a:solidFill>
            <a:schemeClr val="accent2"/>
          </a:solidFill>
          <a:prstDash val="solid"/>
        </a:ln>
        <a:effectLst/>
        <a:sp3d contourW="25400">
          <a:contourClr>
            <a:schemeClr val="accent2"/>
          </a:contourClr>
        </a:sp3d>
      </c:spPr>
    </c:backWall>
    <c:plotArea>
      <c:layout/>
      <c:bar3DChart>
        <c:barDir val="col"/>
        <c:grouping val="clustered"/>
        <c:varyColors val="0"/>
        <c:ser>
          <c:idx val="0"/>
          <c:order val="0"/>
          <c:tx>
            <c:strRef>
              <c:f>'[Chart in Microsoft Word]Sheet1'!$B$1</c:f>
              <c:strCache>
                <c:ptCount val="1"/>
                <c:pt idx="0">
                  <c:v>2019</c:v>
                </c:pt>
              </c:strCache>
            </c:strRef>
          </c:tx>
          <c:spPr>
            <a:solidFill>
              <a:srgbClr val="FF0000"/>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'[Chart in Microsoft Word]Sheet1'!$B$2</c:f>
              <c:numCache>
                <c:formatCode>General</c:formatCode>
                <c:ptCount val="1"/>
                <c:pt idx="0">
                  <c:v>39.43</c:v>
                </c:pt>
              </c:numCache>
            </c:numRef>
          </c:val>
          <c:extLst>
            <c:ext xmlns:c16="http://schemas.microsoft.com/office/drawing/2014/chart" uri="{C3380CC4-5D6E-409C-BE32-E72D297353CC}">
              <c16:uniqueId val="{00000000-350C-4F78-8079-CD73153EAAFC}"/>
            </c:ext>
          </c:extLst>
        </c:ser>
        <c:ser>
          <c:idx val="1"/>
          <c:order val="1"/>
          <c:tx>
            <c:strRef>
              <c:f>'[Chart in Microsoft Word]Sheet1'!$C$1</c:f>
              <c:strCache>
                <c:ptCount val="1"/>
                <c:pt idx="0">
                  <c:v>2021</c:v>
                </c:pt>
              </c:strCache>
            </c:strRef>
          </c:tx>
          <c:spPr>
            <a:solidFill>
              <a:srgbClr val="FFFF00"/>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'[Chart in Microsoft Word]Sheet1'!$C$2</c:f>
              <c:numCache>
                <c:formatCode>0.00</c:formatCode>
                <c:ptCount val="1"/>
                <c:pt idx="0">
                  <c:v>27.2</c:v>
                </c:pt>
              </c:numCache>
            </c:numRef>
          </c:val>
          <c:extLst>
            <c:ext xmlns:c16="http://schemas.microsoft.com/office/drawing/2014/chart" uri="{C3380CC4-5D6E-409C-BE32-E72D297353CC}">
              <c16:uniqueId val="{00000001-350C-4F78-8079-CD73153EAAFC}"/>
            </c:ext>
          </c:extLst>
        </c:ser>
        <c:ser>
          <c:idx val="2"/>
          <c:order val="2"/>
          <c:tx>
            <c:strRef>
              <c:f>'[Chart in Microsoft Word]Sheet1'!$D$1</c:f>
              <c:strCache>
                <c:ptCount val="1"/>
                <c:pt idx="0">
                  <c:v>2022</c:v>
                </c:pt>
              </c:strCache>
            </c:strRef>
          </c:tx>
          <c:spPr>
            <a:solidFill>
              <a:schemeClr val="accent3"/>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'[Chart in Microsoft Word]Sheet1'!$D$2</c:f>
              <c:numCache>
                <c:formatCode>General</c:formatCode>
                <c:ptCount val="1"/>
                <c:pt idx="0">
                  <c:v>26.4</c:v>
                </c:pt>
              </c:numCache>
            </c:numRef>
          </c:val>
          <c:extLst>
            <c:ext xmlns:c16="http://schemas.microsoft.com/office/drawing/2014/chart" uri="{C3380CC4-5D6E-409C-BE32-E72D297353CC}">
              <c16:uniqueId val="{00000002-350C-4F78-8079-CD73153EAAFC}"/>
            </c:ext>
          </c:extLst>
        </c:ser>
        <c:dLbls>
          <c:showLegendKey val="0"/>
          <c:showVal val="0"/>
          <c:showCatName val="0"/>
          <c:showSerName val="0"/>
          <c:showPercent val="0"/>
          <c:showBubbleSize val="0"/>
        </c:dLbls>
        <c:gapWidth val="150"/>
        <c:shape val="box"/>
        <c:axId val="490723816"/>
        <c:axId val="490722376"/>
        <c:axId val="0"/>
      </c:bar3DChart>
      <c:catAx>
        <c:axId val="490723816"/>
        <c:scaling>
          <c:orientation val="minMax"/>
        </c:scaling>
        <c:delete val="1"/>
        <c:axPos val="b"/>
        <c:numFmt formatCode="General" sourceLinked="1"/>
        <c:majorTickMark val="out"/>
        <c:minorTickMark val="none"/>
        <c:tickLblPos val="nextTo"/>
        <c:crossAx val="490722376"/>
        <c:crosses val="autoZero"/>
        <c:auto val="1"/>
        <c:lblAlgn val="ctr"/>
        <c:lblOffset val="100"/>
        <c:noMultiLvlLbl val="0"/>
      </c:catAx>
      <c:valAx>
        <c:axId val="490722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490723816"/>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rgbClr val="FFC000"/>
    </a:solidFill>
    <a:ln w="3175" cap="flat" cmpd="sng" algn="ctr">
      <a:solidFill>
        <a:schemeClr val="dk1"/>
      </a:solidFill>
      <a:prstDash val="solid"/>
      <a:round/>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amCharts!$B$1</c:f>
              <c:strCache>
                <c:ptCount val="1"/>
                <c:pt idx="0">
                  <c:v>2021</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amCharts!$A$2:$A$10</c:f>
              <c:strCache>
                <c:ptCount val="9"/>
                <c:pt idx="0">
                  <c:v>Kab. Pandeglang</c:v>
                </c:pt>
                <c:pt idx="1">
                  <c:v>Kab. Lebak</c:v>
                </c:pt>
                <c:pt idx="2">
                  <c:v>Kab. Serang</c:v>
                </c:pt>
                <c:pt idx="3">
                  <c:v>Kota Serang</c:v>
                </c:pt>
                <c:pt idx="4">
                  <c:v>Kab. Tangerang</c:v>
                </c:pt>
                <c:pt idx="5">
                  <c:v>Kota Cilegon</c:v>
                </c:pt>
                <c:pt idx="6">
                  <c:v>Kota Tangerang Selatan</c:v>
                </c:pt>
                <c:pt idx="7">
                  <c:v>Kota Tangerang</c:v>
                </c:pt>
                <c:pt idx="8">
                  <c:v>Banten</c:v>
                </c:pt>
              </c:strCache>
            </c:strRef>
          </c:cat>
          <c:val>
            <c:numRef>
              <c:f>amCharts!$B$2:$B$10</c:f>
              <c:numCache>
                <c:formatCode>General</c:formatCode>
                <c:ptCount val="9"/>
                <c:pt idx="0">
                  <c:v>37.799999999999997</c:v>
                </c:pt>
                <c:pt idx="1">
                  <c:v>27.3</c:v>
                </c:pt>
                <c:pt idx="2">
                  <c:v>27.2</c:v>
                </c:pt>
                <c:pt idx="3">
                  <c:v>23.4</c:v>
                </c:pt>
                <c:pt idx="4">
                  <c:v>15.3</c:v>
                </c:pt>
                <c:pt idx="5">
                  <c:v>20.6</c:v>
                </c:pt>
                <c:pt idx="6">
                  <c:v>19.899999999999999</c:v>
                </c:pt>
                <c:pt idx="7">
                  <c:v>15.3</c:v>
                </c:pt>
                <c:pt idx="8">
                  <c:v>24.5</c:v>
                </c:pt>
              </c:numCache>
            </c:numRef>
          </c:val>
          <c:extLst>
            <c:ext xmlns:c16="http://schemas.microsoft.com/office/drawing/2014/chart" uri="{C3380CC4-5D6E-409C-BE32-E72D297353CC}">
              <c16:uniqueId val="{00000000-A59D-40A8-BA79-373B70FC8158}"/>
            </c:ext>
          </c:extLst>
        </c:ser>
        <c:ser>
          <c:idx val="1"/>
          <c:order val="1"/>
          <c:tx>
            <c:strRef>
              <c:f>amCharts!$C$1</c:f>
              <c:strCache>
                <c:ptCount val="1"/>
                <c:pt idx="0">
                  <c:v>2022</c:v>
                </c:pt>
              </c:strCache>
            </c:strRef>
          </c:tx>
          <c:spPr>
            <a:solidFill>
              <a:srgbClr val="FFFF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amCharts!$A$2:$A$10</c:f>
              <c:strCache>
                <c:ptCount val="9"/>
                <c:pt idx="0">
                  <c:v>Kab. Pandeglang</c:v>
                </c:pt>
                <c:pt idx="1">
                  <c:v>Kab. Lebak</c:v>
                </c:pt>
                <c:pt idx="2">
                  <c:v>Kab. Serang</c:v>
                </c:pt>
                <c:pt idx="3">
                  <c:v>Kota Serang</c:v>
                </c:pt>
                <c:pt idx="4">
                  <c:v>Kab. Tangerang</c:v>
                </c:pt>
                <c:pt idx="5">
                  <c:v>Kota Cilegon</c:v>
                </c:pt>
                <c:pt idx="6">
                  <c:v>Kota Tangerang Selatan</c:v>
                </c:pt>
                <c:pt idx="7">
                  <c:v>Kota Tangerang</c:v>
                </c:pt>
                <c:pt idx="8">
                  <c:v>Banten</c:v>
                </c:pt>
              </c:strCache>
            </c:strRef>
          </c:cat>
          <c:val>
            <c:numRef>
              <c:f>amCharts!$C$2:$C$10</c:f>
              <c:numCache>
                <c:formatCode>General</c:formatCode>
                <c:ptCount val="9"/>
                <c:pt idx="0">
                  <c:v>29.4</c:v>
                </c:pt>
                <c:pt idx="1">
                  <c:v>26.2</c:v>
                </c:pt>
                <c:pt idx="2">
                  <c:v>26.4</c:v>
                </c:pt>
                <c:pt idx="3">
                  <c:v>23.8</c:v>
                </c:pt>
                <c:pt idx="4">
                  <c:v>21.1</c:v>
                </c:pt>
                <c:pt idx="5">
                  <c:v>19.100000000000001</c:v>
                </c:pt>
                <c:pt idx="6">
                  <c:v>11.8</c:v>
                </c:pt>
                <c:pt idx="7">
                  <c:v>9</c:v>
                </c:pt>
                <c:pt idx="8">
                  <c:v>20</c:v>
                </c:pt>
              </c:numCache>
            </c:numRef>
          </c:val>
          <c:extLst>
            <c:ext xmlns:c16="http://schemas.microsoft.com/office/drawing/2014/chart" uri="{C3380CC4-5D6E-409C-BE32-E72D297353CC}">
              <c16:uniqueId val="{00000001-A59D-40A8-BA79-373B70FC8158}"/>
            </c:ext>
          </c:extLst>
        </c:ser>
        <c:dLbls>
          <c:showLegendKey val="0"/>
          <c:showVal val="0"/>
          <c:showCatName val="0"/>
          <c:showSerName val="0"/>
          <c:showPercent val="0"/>
          <c:showBubbleSize val="0"/>
        </c:dLbls>
        <c:gapWidth val="150"/>
        <c:overlap val="100"/>
        <c:axId val="364576976"/>
        <c:axId val="364575176"/>
      </c:barChart>
      <c:catAx>
        <c:axId val="364576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364575176"/>
        <c:crosses val="autoZero"/>
        <c:auto val="1"/>
        <c:lblAlgn val="ctr"/>
        <c:lblOffset val="100"/>
        <c:noMultiLvlLbl val="0"/>
      </c:catAx>
      <c:valAx>
        <c:axId val="364575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36457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3175" cap="flat" cmpd="sng" algn="ctr">
      <a:solidFill>
        <a:schemeClr val="dk1"/>
      </a:solidFill>
      <a:prstDash val="solid"/>
      <a:round/>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SASARAN</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7F00-42BA-8B1D-B9590D2AFB95}"/>
                </c:ext>
              </c:extLst>
            </c:dLbl>
            <c:dLbl>
              <c:idx val="1"/>
              <c:delete val="1"/>
              <c:extLst>
                <c:ext xmlns:c15="http://schemas.microsoft.com/office/drawing/2012/chart" uri="{CE6537A1-D6FC-4f65-9D91-7224C49458BB}"/>
                <c:ext xmlns:c16="http://schemas.microsoft.com/office/drawing/2014/chart" uri="{C3380CC4-5D6E-409C-BE32-E72D297353CC}">
                  <c16:uniqueId val="{00000001-7F00-42BA-8B1D-B9590D2AFB95}"/>
                </c:ext>
              </c:extLst>
            </c:dLbl>
            <c:dLbl>
              <c:idx val="14"/>
              <c:layout>
                <c:manualLayout>
                  <c:x val="0"/>
                  <c:y val="1.05894811154253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00-42BA-8B1D-B9590D2AFB95}"/>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2">
                  <c:v>CIKEUSAL</c:v>
                </c:pt>
                <c:pt idx="3">
                  <c:v>DAHU</c:v>
                </c:pt>
                <c:pt idx="4">
                  <c:v>KATULISAN </c:v>
                </c:pt>
                <c:pt idx="5">
                  <c:v>SUKAMAJU</c:v>
                </c:pt>
                <c:pt idx="6">
                  <c:v>CILAYANG </c:v>
                </c:pt>
                <c:pt idx="7">
                  <c:v>SUKAMENAK</c:v>
                </c:pt>
                <c:pt idx="8">
                  <c:v>CIMAUNG </c:v>
                </c:pt>
                <c:pt idx="9">
                  <c:v>PANYABRANGAN </c:v>
                </c:pt>
                <c:pt idx="10">
                  <c:v>GANDAYASA</c:v>
                </c:pt>
                <c:pt idx="11">
                  <c:v>BANTAR PANJANG </c:v>
                </c:pt>
                <c:pt idx="12">
                  <c:v>SUKARATU </c:v>
                </c:pt>
                <c:pt idx="13">
                  <c:v>HARUNDANG </c:v>
                </c:pt>
                <c:pt idx="14">
                  <c:v>SUKARAME</c:v>
                </c:pt>
                <c:pt idx="15">
                  <c:v>PANOSOGAN </c:v>
                </c:pt>
                <c:pt idx="16">
                  <c:v>MONGPOK</c:v>
                </c:pt>
                <c:pt idx="17">
                  <c:v>SUKARAJA </c:v>
                </c:pt>
                <c:pt idx="18">
                  <c:v>CILAYANG GUHA</c:v>
                </c:pt>
              </c:strCache>
            </c:strRef>
          </c:cat>
          <c:val>
            <c:numRef>
              <c:f>Sheet1!$B$2:$B$20</c:f>
              <c:numCache>
                <c:formatCode>General</c:formatCode>
                <c:ptCount val="19"/>
                <c:pt idx="0">
                  <c:v>0</c:v>
                </c:pt>
                <c:pt idx="1">
                  <c:v>0</c:v>
                </c:pt>
                <c:pt idx="2">
                  <c:v>460</c:v>
                </c:pt>
                <c:pt idx="3">
                  <c:v>388</c:v>
                </c:pt>
                <c:pt idx="4">
                  <c:v>280</c:v>
                </c:pt>
                <c:pt idx="5">
                  <c:v>234</c:v>
                </c:pt>
                <c:pt idx="6">
                  <c:v>402</c:v>
                </c:pt>
                <c:pt idx="7">
                  <c:v>314</c:v>
                </c:pt>
                <c:pt idx="8">
                  <c:v>513</c:v>
                </c:pt>
                <c:pt idx="9">
                  <c:v>461</c:v>
                </c:pt>
                <c:pt idx="10">
                  <c:v>384</c:v>
                </c:pt>
                <c:pt idx="11">
                  <c:v>292</c:v>
                </c:pt>
                <c:pt idx="12">
                  <c:v>141</c:v>
                </c:pt>
                <c:pt idx="13">
                  <c:v>180</c:v>
                </c:pt>
                <c:pt idx="14">
                  <c:v>273</c:v>
                </c:pt>
                <c:pt idx="15">
                  <c:v>247</c:v>
                </c:pt>
                <c:pt idx="16">
                  <c:v>275</c:v>
                </c:pt>
                <c:pt idx="17">
                  <c:v>451</c:v>
                </c:pt>
                <c:pt idx="18">
                  <c:v>143</c:v>
                </c:pt>
              </c:numCache>
            </c:numRef>
          </c:val>
          <c:extLst>
            <c:ext xmlns:c16="http://schemas.microsoft.com/office/drawing/2014/chart" uri="{C3380CC4-5D6E-409C-BE32-E72D297353CC}">
              <c16:uniqueId val="{00000003-7F00-42BA-8B1D-B9590D2AFB95}"/>
            </c:ext>
          </c:extLst>
        </c:ser>
        <c:ser>
          <c:idx val="1"/>
          <c:order val="1"/>
          <c:tx>
            <c:strRef>
              <c:f>Sheet1!$C$1</c:f>
              <c:strCache>
                <c:ptCount val="1"/>
                <c:pt idx="0">
                  <c:v>KELUARGA RESIKO STUNTING</c:v>
                </c:pt>
              </c:strCache>
            </c:strRef>
          </c:tx>
          <c:spPr>
            <a:solidFill>
              <a:srgbClr val="00B05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4-7F00-42BA-8B1D-B9590D2AFB95}"/>
                </c:ext>
              </c:extLst>
            </c:dLbl>
            <c:dLbl>
              <c:idx val="14"/>
              <c:layout>
                <c:manualLayout>
                  <c:x val="6.4136825227151259E-3"/>
                  <c:y val="2.11789622308506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00-42BA-8B1D-B9590D2AFB95}"/>
                </c:ext>
              </c:extLst>
            </c:dLbl>
            <c:dLbl>
              <c:idx val="16"/>
              <c:layout>
                <c:manualLayout>
                  <c:x val="9.1168091168091162E-3"/>
                  <c:y val="1.997503121098626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00-42BA-8B1D-B9590D2AFB95}"/>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2">
                  <c:v>CIKEUSAL</c:v>
                </c:pt>
                <c:pt idx="3">
                  <c:v>DAHU</c:v>
                </c:pt>
                <c:pt idx="4">
                  <c:v>KATULISAN </c:v>
                </c:pt>
                <c:pt idx="5">
                  <c:v>SUKAMAJU</c:v>
                </c:pt>
                <c:pt idx="6">
                  <c:v>CILAYANG </c:v>
                </c:pt>
                <c:pt idx="7">
                  <c:v>SUKAMENAK</c:v>
                </c:pt>
                <c:pt idx="8">
                  <c:v>CIMAUNG </c:v>
                </c:pt>
                <c:pt idx="9">
                  <c:v>PANYABRANGAN </c:v>
                </c:pt>
                <c:pt idx="10">
                  <c:v>GANDAYASA</c:v>
                </c:pt>
                <c:pt idx="11">
                  <c:v>BANTAR PANJANG </c:v>
                </c:pt>
                <c:pt idx="12">
                  <c:v>SUKARATU </c:v>
                </c:pt>
                <c:pt idx="13">
                  <c:v>HARUNDANG </c:v>
                </c:pt>
                <c:pt idx="14">
                  <c:v>SUKARAME</c:v>
                </c:pt>
                <c:pt idx="15">
                  <c:v>PANOSOGAN </c:v>
                </c:pt>
                <c:pt idx="16">
                  <c:v>MONGPOK</c:v>
                </c:pt>
                <c:pt idx="17">
                  <c:v>SUKARAJA </c:v>
                </c:pt>
                <c:pt idx="18">
                  <c:v>CILAYANG GUHA</c:v>
                </c:pt>
              </c:strCache>
            </c:strRef>
          </c:cat>
          <c:val>
            <c:numRef>
              <c:f>Sheet1!$C$2:$C$20</c:f>
              <c:numCache>
                <c:formatCode>General</c:formatCode>
                <c:ptCount val="19"/>
                <c:pt idx="1">
                  <c:v>0</c:v>
                </c:pt>
                <c:pt idx="2">
                  <c:v>87</c:v>
                </c:pt>
                <c:pt idx="3">
                  <c:v>63</c:v>
                </c:pt>
                <c:pt idx="4">
                  <c:v>55</c:v>
                </c:pt>
                <c:pt idx="5">
                  <c:v>5</c:v>
                </c:pt>
                <c:pt idx="6">
                  <c:v>22</c:v>
                </c:pt>
                <c:pt idx="7">
                  <c:v>52</c:v>
                </c:pt>
                <c:pt idx="8">
                  <c:v>98</c:v>
                </c:pt>
                <c:pt idx="9">
                  <c:v>195</c:v>
                </c:pt>
                <c:pt idx="10">
                  <c:v>46</c:v>
                </c:pt>
                <c:pt idx="11">
                  <c:v>152</c:v>
                </c:pt>
                <c:pt idx="12">
                  <c:v>22</c:v>
                </c:pt>
                <c:pt idx="13">
                  <c:v>84</c:v>
                </c:pt>
                <c:pt idx="14">
                  <c:v>12</c:v>
                </c:pt>
                <c:pt idx="15">
                  <c:v>68</c:v>
                </c:pt>
                <c:pt idx="16">
                  <c:v>254</c:v>
                </c:pt>
                <c:pt idx="17">
                  <c:v>99</c:v>
                </c:pt>
                <c:pt idx="18">
                  <c:v>21</c:v>
                </c:pt>
              </c:numCache>
            </c:numRef>
          </c:val>
          <c:extLst>
            <c:ext xmlns:c16="http://schemas.microsoft.com/office/drawing/2014/chart" uri="{C3380CC4-5D6E-409C-BE32-E72D297353CC}">
              <c16:uniqueId val="{00000007-7F00-42BA-8B1D-B9590D2AFB95}"/>
            </c:ext>
          </c:extLst>
        </c:ser>
        <c:dLbls>
          <c:dLblPos val="outEnd"/>
          <c:showLegendKey val="0"/>
          <c:showVal val="1"/>
          <c:showCatName val="0"/>
          <c:showSerName val="0"/>
          <c:showPercent val="0"/>
          <c:showBubbleSize val="0"/>
        </c:dLbls>
        <c:gapWidth val="219"/>
        <c:overlap val="-27"/>
        <c:axId val="342636768"/>
        <c:axId val="342540744"/>
      </c:barChart>
      <c:catAx>
        <c:axId val="34263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42540744"/>
        <c:crosses val="autoZero"/>
        <c:auto val="1"/>
        <c:lblAlgn val="ctr"/>
        <c:lblOffset val="100"/>
        <c:noMultiLvlLbl val="0"/>
      </c:catAx>
      <c:valAx>
        <c:axId val="342540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42636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3175" cap="flat" cmpd="sng" algn="ctr">
      <a:solidFill>
        <a:schemeClr val="dk1"/>
      </a:solidFill>
      <a:prstDash val="solid"/>
      <a:round/>
    </a:ln>
    <a:effectLst/>
  </c:spPr>
  <c:txPr>
    <a:bodyPr/>
    <a:lstStyle/>
    <a:p>
      <a:pPr>
        <a:defRPr sz="100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in Microsoft PowerPoint]Sheet1'!$B$1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PowerPoint]Sheet1'!$A$2:$A$4</c:f>
              <c:strCache>
                <c:ptCount val="3"/>
                <c:pt idx="0">
                  <c:v>Stunting</c:v>
                </c:pt>
                <c:pt idx="1">
                  <c:v>Gizi Kurang</c:v>
                </c:pt>
                <c:pt idx="2">
                  <c:v>Gizi Buruk</c:v>
                </c:pt>
              </c:strCache>
            </c:strRef>
          </c:cat>
          <c:val>
            <c:numRef>
              <c:f>'[Chart in Microsoft PowerPoint]Sheet1'!$B$2:$B$4</c:f>
              <c:numCache>
                <c:formatCode>0.00%</c:formatCode>
                <c:ptCount val="3"/>
                <c:pt idx="0" formatCode="0%">
                  <c:v>0.55000000000000004</c:v>
                </c:pt>
                <c:pt idx="1">
                  <c:v>9.0399999999999994E-2</c:v>
                </c:pt>
                <c:pt idx="2" formatCode="General">
                  <c:v>0.63</c:v>
                </c:pt>
              </c:numCache>
            </c:numRef>
          </c:val>
          <c:extLst>
            <c:ext xmlns:c16="http://schemas.microsoft.com/office/drawing/2014/chart" uri="{C3380CC4-5D6E-409C-BE32-E72D297353CC}">
              <c16:uniqueId val="{00000000-31A5-450C-ACEE-AAC5F0EFB9B9}"/>
            </c:ext>
          </c:extLst>
        </c:ser>
        <c:ser>
          <c:idx val="1"/>
          <c:order val="1"/>
          <c:tx>
            <c:strRef>
              <c:f>'[Chart in Microsoft PowerPoint]Sheet1'!$C$1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PowerPoint]Sheet1'!$A$2:$A$4</c:f>
              <c:strCache>
                <c:ptCount val="3"/>
                <c:pt idx="0">
                  <c:v>Stunting</c:v>
                </c:pt>
                <c:pt idx="1">
                  <c:v>Gizi Kurang</c:v>
                </c:pt>
                <c:pt idx="2">
                  <c:v>Gizi Buruk</c:v>
                </c:pt>
              </c:strCache>
            </c:strRef>
          </c:cat>
          <c:val>
            <c:numRef>
              <c:f>'[Chart in Microsoft PowerPoint]Sheet1'!$C$2:$C$4</c:f>
              <c:numCache>
                <c:formatCode>0.00%</c:formatCode>
                <c:ptCount val="3"/>
                <c:pt idx="0">
                  <c:v>0.39700000000000002</c:v>
                </c:pt>
                <c:pt idx="1">
                  <c:v>2.3E-2</c:v>
                </c:pt>
                <c:pt idx="2">
                  <c:v>5.0700000000000002E-2</c:v>
                </c:pt>
              </c:numCache>
            </c:numRef>
          </c:val>
          <c:extLst>
            <c:ext xmlns:c16="http://schemas.microsoft.com/office/drawing/2014/chart" uri="{C3380CC4-5D6E-409C-BE32-E72D297353CC}">
              <c16:uniqueId val="{00000001-31A5-450C-ACEE-AAC5F0EFB9B9}"/>
            </c:ext>
          </c:extLst>
        </c:ser>
        <c:ser>
          <c:idx val="2"/>
          <c:order val="2"/>
          <c:tx>
            <c:strRef>
              <c:f>'[Chart in Microsoft PowerPoint]Sheet1'!$D$1</c:f>
              <c:strCache>
                <c:ptCount val="1"/>
                <c:pt idx="0">
                  <c:v>2022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PowerPoint]Sheet1'!$A$2:$A$4</c:f>
              <c:strCache>
                <c:ptCount val="3"/>
                <c:pt idx="0">
                  <c:v>Stunting</c:v>
                </c:pt>
                <c:pt idx="1">
                  <c:v>Gizi Kurang</c:v>
                </c:pt>
                <c:pt idx="2">
                  <c:v>Gizi Buruk</c:v>
                </c:pt>
              </c:strCache>
            </c:strRef>
          </c:cat>
          <c:val>
            <c:numRef>
              <c:f>'[Chart in Microsoft PowerPoint]Sheet1'!$D$2:$D$4</c:f>
              <c:numCache>
                <c:formatCode>0.00%</c:formatCode>
                <c:ptCount val="3"/>
                <c:pt idx="0">
                  <c:v>0.17100000000000001</c:v>
                </c:pt>
                <c:pt idx="1">
                  <c:v>6.3E-3</c:v>
                </c:pt>
                <c:pt idx="2">
                  <c:v>2E-3</c:v>
                </c:pt>
              </c:numCache>
            </c:numRef>
          </c:val>
          <c:extLst>
            <c:ext xmlns:c16="http://schemas.microsoft.com/office/drawing/2014/chart" uri="{C3380CC4-5D6E-409C-BE32-E72D297353CC}">
              <c16:uniqueId val="{00000002-31A5-450C-ACEE-AAC5F0EFB9B9}"/>
            </c:ext>
          </c:extLst>
        </c:ser>
        <c:dLbls>
          <c:showLegendKey val="0"/>
          <c:showVal val="0"/>
          <c:showCatName val="0"/>
          <c:showSerName val="0"/>
          <c:showPercent val="0"/>
          <c:showBubbleSize val="0"/>
        </c:dLbls>
        <c:gapWidth val="219"/>
        <c:overlap val="-27"/>
        <c:axId val="479672168"/>
        <c:axId val="479678648"/>
      </c:barChart>
      <c:lineChart>
        <c:grouping val="standard"/>
        <c:varyColors val="0"/>
        <c:ser>
          <c:idx val="3"/>
          <c:order val="3"/>
          <c:tx>
            <c:strRef>
              <c:f>'[Chart in Microsoft PowerPoint]Sheet1'!$E$1</c:f>
              <c:strCache>
                <c:ptCount val="1"/>
                <c:pt idx="0">
                  <c:v>2023 FEB</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PowerPoint]Sheet1'!$A$2:$A$4</c:f>
              <c:strCache>
                <c:ptCount val="3"/>
                <c:pt idx="0">
                  <c:v>Stunting</c:v>
                </c:pt>
                <c:pt idx="1">
                  <c:v>Gizi Kurang</c:v>
                </c:pt>
                <c:pt idx="2">
                  <c:v>Gizi Buruk</c:v>
                </c:pt>
              </c:strCache>
            </c:strRef>
          </c:cat>
          <c:val>
            <c:numRef>
              <c:f>'[Chart in Microsoft PowerPoint]Sheet1'!$E$2:$E$4</c:f>
              <c:numCache>
                <c:formatCode>0.00%</c:formatCode>
                <c:ptCount val="3"/>
                <c:pt idx="0">
                  <c:v>0.154</c:v>
                </c:pt>
                <c:pt idx="1">
                  <c:v>7.9000000000000008E-3</c:v>
                </c:pt>
                <c:pt idx="2">
                  <c:v>2E-3</c:v>
                </c:pt>
              </c:numCache>
            </c:numRef>
          </c:val>
          <c:smooth val="0"/>
          <c:extLst>
            <c:ext xmlns:c16="http://schemas.microsoft.com/office/drawing/2014/chart" uri="{C3380CC4-5D6E-409C-BE32-E72D297353CC}">
              <c16:uniqueId val="{00000003-31A5-450C-ACEE-AAC5F0EFB9B9}"/>
            </c:ext>
          </c:extLst>
        </c:ser>
        <c:dLbls>
          <c:showLegendKey val="0"/>
          <c:showVal val="0"/>
          <c:showCatName val="0"/>
          <c:showSerName val="0"/>
          <c:showPercent val="0"/>
          <c:showBubbleSize val="0"/>
        </c:dLbls>
        <c:marker val="1"/>
        <c:smooth val="0"/>
        <c:axId val="479672168"/>
        <c:axId val="479678648"/>
      </c:lineChart>
      <c:catAx>
        <c:axId val="479672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479678648"/>
        <c:crosses val="autoZero"/>
        <c:auto val="1"/>
        <c:lblAlgn val="ctr"/>
        <c:lblOffset val="100"/>
        <c:noMultiLvlLbl val="0"/>
      </c:catAx>
      <c:valAx>
        <c:axId val="4796786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479672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3175" cap="flat" cmpd="sng" algn="ctr">
      <a:solidFill>
        <a:schemeClr val="dk1"/>
      </a:solidFill>
      <a:prstDash val="solid"/>
      <a:round/>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0C3494-4227-4648-8046-52E606F74040}" type="doc">
      <dgm:prSet loTypeId="urn:microsoft.com/office/officeart/2005/8/layout/cycle1" loCatId="cycle" qsTypeId="urn:microsoft.com/office/officeart/2005/8/quickstyle/simple3" qsCatId="simple" csTypeId="urn:microsoft.com/office/officeart/2005/8/colors/accent0_1" csCatId="mainScheme" phldr="1"/>
      <dgm:spPr/>
      <dgm:t>
        <a:bodyPr/>
        <a:lstStyle/>
        <a:p>
          <a:endParaRPr lang="en-ID"/>
        </a:p>
      </dgm:t>
    </dgm:pt>
    <dgm:pt modelId="{D94CF4D1-0947-42E3-AE3B-0502A0DA143E}">
      <dgm:prSet phldrT="[Text]" custT="1">
        <dgm:style>
          <a:lnRef idx="2">
            <a:schemeClr val="dk1"/>
          </a:lnRef>
          <a:fillRef idx="1">
            <a:schemeClr val="lt1"/>
          </a:fillRef>
          <a:effectRef idx="0">
            <a:schemeClr val="dk1"/>
          </a:effectRef>
          <a:fontRef idx="minor">
            <a:schemeClr val="dk1"/>
          </a:fontRef>
        </dgm:style>
      </dgm:prSet>
      <dgm:spPr/>
      <dgm:t>
        <a:bodyPr/>
        <a:lstStyle/>
        <a:p>
          <a:pPr>
            <a:lnSpc>
              <a:spcPct val="100000"/>
            </a:lnSpc>
            <a:spcBef>
              <a:spcPts val="0"/>
            </a:spcBef>
            <a:spcAft>
              <a:spcPts val="0"/>
            </a:spcAft>
          </a:pPr>
          <a:r>
            <a:rPr lang="en-ID" sz="1000">
              <a:latin typeface="Times New Roman" panose="02020603050405020304" pitchFamily="18" charset="0"/>
              <a:cs typeface="Times New Roman" panose="02020603050405020304" pitchFamily="18" charset="0"/>
            </a:rPr>
            <a:t>Seketariat Kampung KB</a:t>
          </a:r>
        </a:p>
      </dgm:t>
    </dgm:pt>
    <dgm:pt modelId="{A8A1E4F6-AA90-43DE-A18B-F2C84E4636E7}" type="parTrans" cxnId="{80FD1E4C-CBC1-416E-AD95-5C16F34ABDBF}">
      <dgm:prSet/>
      <dgm:spPr/>
      <dgm:t>
        <a:bodyPr/>
        <a:lstStyle/>
        <a:p>
          <a:pPr>
            <a:lnSpc>
              <a:spcPct val="100000"/>
            </a:lnSpc>
            <a:spcBef>
              <a:spcPts val="0"/>
            </a:spcBef>
            <a:spcAft>
              <a:spcPts val="0"/>
            </a:spcAft>
          </a:pPr>
          <a:endParaRPr lang="en-ID" sz="1000">
            <a:latin typeface="Times New Roman" panose="02020603050405020304" pitchFamily="18" charset="0"/>
            <a:cs typeface="Times New Roman" panose="02020603050405020304" pitchFamily="18" charset="0"/>
          </a:endParaRPr>
        </a:p>
      </dgm:t>
    </dgm:pt>
    <dgm:pt modelId="{7E13DE63-BD1B-48EC-B11F-6F77F2D2CA67}" type="sibTrans" cxnId="{80FD1E4C-CBC1-416E-AD95-5C16F34ABDBF}">
      <dgm:prSet>
        <dgm:style>
          <a:lnRef idx="2">
            <a:schemeClr val="dk1"/>
          </a:lnRef>
          <a:fillRef idx="1">
            <a:schemeClr val="lt1"/>
          </a:fillRef>
          <a:effectRef idx="0">
            <a:schemeClr val="dk1"/>
          </a:effectRef>
          <a:fontRef idx="minor">
            <a:schemeClr val="dk1"/>
          </a:fontRef>
        </dgm:style>
      </dgm:prSet>
      <dgm:spPr>
        <a:ln w="3175"/>
      </dgm:spPr>
      <dgm:t>
        <a:bodyPr/>
        <a:lstStyle/>
        <a:p>
          <a:pPr>
            <a:lnSpc>
              <a:spcPct val="100000"/>
            </a:lnSpc>
            <a:spcBef>
              <a:spcPts val="0"/>
            </a:spcBef>
            <a:spcAft>
              <a:spcPts val="0"/>
            </a:spcAft>
          </a:pPr>
          <a:endParaRPr lang="en-ID" sz="1000">
            <a:latin typeface="Times New Roman" panose="02020603050405020304" pitchFamily="18" charset="0"/>
            <a:cs typeface="Times New Roman" panose="02020603050405020304" pitchFamily="18" charset="0"/>
          </a:endParaRPr>
        </a:p>
      </dgm:t>
    </dgm:pt>
    <dgm:pt modelId="{2422E7FE-851D-411F-8B1A-E0E6605F612D}">
      <dgm:prSet phldrT="[Text]" custT="1">
        <dgm:style>
          <a:lnRef idx="2">
            <a:schemeClr val="dk1"/>
          </a:lnRef>
          <a:fillRef idx="1">
            <a:schemeClr val="lt1"/>
          </a:fillRef>
          <a:effectRef idx="0">
            <a:schemeClr val="dk1"/>
          </a:effectRef>
          <a:fontRef idx="minor">
            <a:schemeClr val="dk1"/>
          </a:fontRef>
        </dgm:style>
      </dgm:prSet>
      <dgm:spPr/>
      <dgm:t>
        <a:bodyPr/>
        <a:lstStyle/>
        <a:p>
          <a:pPr>
            <a:lnSpc>
              <a:spcPct val="100000"/>
            </a:lnSpc>
            <a:spcBef>
              <a:spcPts val="0"/>
            </a:spcBef>
            <a:spcAft>
              <a:spcPts val="0"/>
            </a:spcAft>
          </a:pPr>
          <a:r>
            <a:rPr lang="en-ID" sz="1000">
              <a:latin typeface="Times New Roman" panose="02020603050405020304" pitchFamily="18" charset="0"/>
              <a:cs typeface="Times New Roman" panose="02020603050405020304" pitchFamily="18" charset="0"/>
            </a:rPr>
            <a:t>Kelompok Kerja</a:t>
          </a:r>
        </a:p>
      </dgm:t>
    </dgm:pt>
    <dgm:pt modelId="{9147DBA3-D6B5-45BA-8D89-D2D1CBA18AA6}" type="parTrans" cxnId="{ECF0FB62-5FF6-426B-9356-CC889B4ADDF0}">
      <dgm:prSet/>
      <dgm:spPr/>
      <dgm:t>
        <a:bodyPr/>
        <a:lstStyle/>
        <a:p>
          <a:pPr>
            <a:lnSpc>
              <a:spcPct val="100000"/>
            </a:lnSpc>
            <a:spcBef>
              <a:spcPts val="0"/>
            </a:spcBef>
            <a:spcAft>
              <a:spcPts val="0"/>
            </a:spcAft>
          </a:pPr>
          <a:endParaRPr lang="en-ID" sz="1000">
            <a:latin typeface="Times New Roman" panose="02020603050405020304" pitchFamily="18" charset="0"/>
            <a:cs typeface="Times New Roman" panose="02020603050405020304" pitchFamily="18" charset="0"/>
          </a:endParaRPr>
        </a:p>
      </dgm:t>
    </dgm:pt>
    <dgm:pt modelId="{E154A35C-0584-4143-960A-48F08E5E3B09}" type="sibTrans" cxnId="{ECF0FB62-5FF6-426B-9356-CC889B4ADDF0}">
      <dgm:prSet>
        <dgm:style>
          <a:lnRef idx="2">
            <a:schemeClr val="dk1"/>
          </a:lnRef>
          <a:fillRef idx="1">
            <a:schemeClr val="lt1"/>
          </a:fillRef>
          <a:effectRef idx="0">
            <a:schemeClr val="dk1"/>
          </a:effectRef>
          <a:fontRef idx="minor">
            <a:schemeClr val="dk1"/>
          </a:fontRef>
        </dgm:style>
      </dgm:prSet>
      <dgm:spPr>
        <a:ln w="3175"/>
      </dgm:spPr>
      <dgm:t>
        <a:bodyPr/>
        <a:lstStyle/>
        <a:p>
          <a:pPr>
            <a:lnSpc>
              <a:spcPct val="100000"/>
            </a:lnSpc>
            <a:spcBef>
              <a:spcPts val="0"/>
            </a:spcBef>
            <a:spcAft>
              <a:spcPts val="0"/>
            </a:spcAft>
          </a:pPr>
          <a:endParaRPr lang="en-ID" sz="1000">
            <a:latin typeface="Times New Roman" panose="02020603050405020304" pitchFamily="18" charset="0"/>
            <a:cs typeface="Times New Roman" panose="02020603050405020304" pitchFamily="18" charset="0"/>
          </a:endParaRPr>
        </a:p>
      </dgm:t>
    </dgm:pt>
    <dgm:pt modelId="{08FDA4C6-50FA-48DB-9B6A-BC792C8C69AE}">
      <dgm:prSet phldrT="[Text]" custT="1">
        <dgm:style>
          <a:lnRef idx="2">
            <a:schemeClr val="dk1"/>
          </a:lnRef>
          <a:fillRef idx="1">
            <a:schemeClr val="lt1"/>
          </a:fillRef>
          <a:effectRef idx="0">
            <a:schemeClr val="dk1"/>
          </a:effectRef>
          <a:fontRef idx="minor">
            <a:schemeClr val="dk1"/>
          </a:fontRef>
        </dgm:style>
      </dgm:prSet>
      <dgm:spPr/>
      <dgm:t>
        <a:bodyPr/>
        <a:lstStyle/>
        <a:p>
          <a:pPr>
            <a:lnSpc>
              <a:spcPct val="100000"/>
            </a:lnSpc>
            <a:spcBef>
              <a:spcPts val="0"/>
            </a:spcBef>
            <a:spcAft>
              <a:spcPts val="0"/>
            </a:spcAft>
          </a:pPr>
          <a:r>
            <a:rPr lang="en-ID" sz="1000">
              <a:latin typeface="Times New Roman" panose="02020603050405020304" pitchFamily="18" charset="0"/>
              <a:cs typeface="Times New Roman" panose="02020603050405020304" pitchFamily="18" charset="0"/>
            </a:rPr>
            <a:t>Rencana Kerja Masyarakat</a:t>
          </a:r>
        </a:p>
      </dgm:t>
    </dgm:pt>
    <dgm:pt modelId="{00F68307-9B75-426C-BD10-26CFAE50CCCD}" type="parTrans" cxnId="{A78E6CA2-B167-4E8E-AF0E-4E0BC788BE0E}">
      <dgm:prSet/>
      <dgm:spPr/>
      <dgm:t>
        <a:bodyPr/>
        <a:lstStyle/>
        <a:p>
          <a:pPr>
            <a:lnSpc>
              <a:spcPct val="100000"/>
            </a:lnSpc>
            <a:spcBef>
              <a:spcPts val="0"/>
            </a:spcBef>
            <a:spcAft>
              <a:spcPts val="0"/>
            </a:spcAft>
          </a:pPr>
          <a:endParaRPr lang="en-ID" sz="1000">
            <a:latin typeface="Times New Roman" panose="02020603050405020304" pitchFamily="18" charset="0"/>
            <a:cs typeface="Times New Roman" panose="02020603050405020304" pitchFamily="18" charset="0"/>
          </a:endParaRPr>
        </a:p>
      </dgm:t>
    </dgm:pt>
    <dgm:pt modelId="{B93C7408-55F8-4B64-90A5-94B50C5D13C4}" type="sibTrans" cxnId="{A78E6CA2-B167-4E8E-AF0E-4E0BC788BE0E}">
      <dgm:prSet>
        <dgm:style>
          <a:lnRef idx="2">
            <a:schemeClr val="dk1"/>
          </a:lnRef>
          <a:fillRef idx="1">
            <a:schemeClr val="lt1"/>
          </a:fillRef>
          <a:effectRef idx="0">
            <a:schemeClr val="dk1"/>
          </a:effectRef>
          <a:fontRef idx="minor">
            <a:schemeClr val="dk1"/>
          </a:fontRef>
        </dgm:style>
      </dgm:prSet>
      <dgm:spPr>
        <a:ln w="3175"/>
      </dgm:spPr>
      <dgm:t>
        <a:bodyPr/>
        <a:lstStyle/>
        <a:p>
          <a:pPr>
            <a:lnSpc>
              <a:spcPct val="100000"/>
            </a:lnSpc>
            <a:spcBef>
              <a:spcPts val="0"/>
            </a:spcBef>
            <a:spcAft>
              <a:spcPts val="0"/>
            </a:spcAft>
          </a:pPr>
          <a:endParaRPr lang="en-ID" sz="1000">
            <a:latin typeface="Times New Roman" panose="02020603050405020304" pitchFamily="18" charset="0"/>
            <a:cs typeface="Times New Roman" panose="02020603050405020304" pitchFamily="18" charset="0"/>
          </a:endParaRPr>
        </a:p>
      </dgm:t>
    </dgm:pt>
    <dgm:pt modelId="{A9E893CD-19BA-464C-BA8F-4D33F33945A7}">
      <dgm:prSet phldrT="[Text]" custT="1">
        <dgm:style>
          <a:lnRef idx="2">
            <a:schemeClr val="dk1"/>
          </a:lnRef>
          <a:fillRef idx="1">
            <a:schemeClr val="lt1"/>
          </a:fillRef>
          <a:effectRef idx="0">
            <a:schemeClr val="dk1"/>
          </a:effectRef>
          <a:fontRef idx="minor">
            <a:schemeClr val="dk1"/>
          </a:fontRef>
        </dgm:style>
      </dgm:prSet>
      <dgm:spPr/>
      <dgm:t>
        <a:bodyPr/>
        <a:lstStyle/>
        <a:p>
          <a:pPr>
            <a:lnSpc>
              <a:spcPct val="100000"/>
            </a:lnSpc>
            <a:spcBef>
              <a:spcPts val="0"/>
            </a:spcBef>
            <a:spcAft>
              <a:spcPts val="0"/>
            </a:spcAft>
          </a:pPr>
          <a:r>
            <a:rPr lang="en-ID" sz="1000">
              <a:latin typeface="Times New Roman" panose="02020603050405020304" pitchFamily="18" charset="0"/>
              <a:cs typeface="Times New Roman" panose="02020603050405020304" pitchFamily="18" charset="0"/>
            </a:rPr>
            <a:t>Mekanisme operasional, monev dan pencatatan</a:t>
          </a:r>
        </a:p>
        <a:p>
          <a:pPr>
            <a:lnSpc>
              <a:spcPct val="100000"/>
            </a:lnSpc>
            <a:spcBef>
              <a:spcPts val="0"/>
            </a:spcBef>
            <a:spcAft>
              <a:spcPts val="0"/>
            </a:spcAft>
          </a:pPr>
          <a:r>
            <a:rPr lang="en-ID" sz="1000">
              <a:latin typeface="Times New Roman" panose="02020603050405020304" pitchFamily="18" charset="0"/>
              <a:cs typeface="Times New Roman" panose="02020603050405020304" pitchFamily="18" charset="0"/>
            </a:rPr>
            <a:t>/pelaporan</a:t>
          </a:r>
        </a:p>
      </dgm:t>
    </dgm:pt>
    <dgm:pt modelId="{8201C573-8726-4A9C-B990-6463FECEC05E}" type="parTrans" cxnId="{02A06180-C708-4F2E-AE9A-13BC574FA502}">
      <dgm:prSet/>
      <dgm:spPr/>
      <dgm:t>
        <a:bodyPr/>
        <a:lstStyle/>
        <a:p>
          <a:pPr>
            <a:lnSpc>
              <a:spcPct val="100000"/>
            </a:lnSpc>
            <a:spcBef>
              <a:spcPts val="0"/>
            </a:spcBef>
            <a:spcAft>
              <a:spcPts val="0"/>
            </a:spcAft>
          </a:pPr>
          <a:endParaRPr lang="en-ID" sz="1000">
            <a:latin typeface="Times New Roman" panose="02020603050405020304" pitchFamily="18" charset="0"/>
            <a:cs typeface="Times New Roman" panose="02020603050405020304" pitchFamily="18" charset="0"/>
          </a:endParaRPr>
        </a:p>
      </dgm:t>
    </dgm:pt>
    <dgm:pt modelId="{9D353B9B-D4DA-49B8-A973-E1A4F6C78281}" type="sibTrans" cxnId="{02A06180-C708-4F2E-AE9A-13BC574FA502}">
      <dgm:prSet>
        <dgm:style>
          <a:lnRef idx="2">
            <a:schemeClr val="dk1"/>
          </a:lnRef>
          <a:fillRef idx="1">
            <a:schemeClr val="lt1"/>
          </a:fillRef>
          <a:effectRef idx="0">
            <a:schemeClr val="dk1"/>
          </a:effectRef>
          <a:fontRef idx="minor">
            <a:schemeClr val="dk1"/>
          </a:fontRef>
        </dgm:style>
      </dgm:prSet>
      <dgm:spPr>
        <a:ln w="3175"/>
      </dgm:spPr>
      <dgm:t>
        <a:bodyPr/>
        <a:lstStyle/>
        <a:p>
          <a:pPr>
            <a:lnSpc>
              <a:spcPct val="100000"/>
            </a:lnSpc>
            <a:spcBef>
              <a:spcPts val="0"/>
            </a:spcBef>
            <a:spcAft>
              <a:spcPts val="0"/>
            </a:spcAft>
          </a:pPr>
          <a:endParaRPr lang="en-ID" sz="1000">
            <a:latin typeface="Times New Roman" panose="02020603050405020304" pitchFamily="18" charset="0"/>
            <a:cs typeface="Times New Roman" panose="02020603050405020304" pitchFamily="18" charset="0"/>
          </a:endParaRPr>
        </a:p>
      </dgm:t>
    </dgm:pt>
    <dgm:pt modelId="{E5044AD7-45DF-4C26-AB29-1168A75C3BC3}">
      <dgm:prSet phldrT="[Text]" custT="1">
        <dgm:style>
          <a:lnRef idx="2">
            <a:schemeClr val="dk1"/>
          </a:lnRef>
          <a:fillRef idx="1">
            <a:schemeClr val="lt1"/>
          </a:fillRef>
          <a:effectRef idx="0">
            <a:schemeClr val="dk1"/>
          </a:effectRef>
          <a:fontRef idx="minor">
            <a:schemeClr val="dk1"/>
          </a:fontRef>
        </dgm:style>
      </dgm:prSet>
      <dgm:spPr/>
      <dgm:t>
        <a:bodyPr/>
        <a:lstStyle/>
        <a:p>
          <a:pPr>
            <a:lnSpc>
              <a:spcPct val="100000"/>
            </a:lnSpc>
            <a:spcBef>
              <a:spcPts val="0"/>
            </a:spcBef>
            <a:spcAft>
              <a:spcPts val="0"/>
            </a:spcAft>
          </a:pPr>
          <a:r>
            <a:rPr lang="en-ID" sz="1000">
              <a:latin typeface="Times New Roman" panose="02020603050405020304" pitchFamily="18" charset="0"/>
              <a:cs typeface="Times New Roman" panose="02020603050405020304" pitchFamily="18" charset="0"/>
            </a:rPr>
            <a:t>Kepemilikan Rumah dataku Kampung KB</a:t>
          </a:r>
        </a:p>
      </dgm:t>
    </dgm:pt>
    <dgm:pt modelId="{99224BF5-FA6B-44B8-B599-0F09FB2FB7AE}" type="parTrans" cxnId="{877C1C79-DED2-428F-A4B9-6EE4FCBFA1C5}">
      <dgm:prSet/>
      <dgm:spPr/>
      <dgm:t>
        <a:bodyPr/>
        <a:lstStyle/>
        <a:p>
          <a:pPr>
            <a:lnSpc>
              <a:spcPct val="100000"/>
            </a:lnSpc>
            <a:spcBef>
              <a:spcPts val="0"/>
            </a:spcBef>
            <a:spcAft>
              <a:spcPts val="0"/>
            </a:spcAft>
          </a:pPr>
          <a:endParaRPr lang="en-ID" sz="1000">
            <a:latin typeface="Times New Roman" panose="02020603050405020304" pitchFamily="18" charset="0"/>
            <a:cs typeface="Times New Roman" panose="02020603050405020304" pitchFamily="18" charset="0"/>
          </a:endParaRPr>
        </a:p>
      </dgm:t>
    </dgm:pt>
    <dgm:pt modelId="{444D701D-F5C2-4063-91E9-532301FC2C64}" type="sibTrans" cxnId="{877C1C79-DED2-428F-A4B9-6EE4FCBFA1C5}">
      <dgm:prSet>
        <dgm:style>
          <a:lnRef idx="2">
            <a:schemeClr val="dk1"/>
          </a:lnRef>
          <a:fillRef idx="1">
            <a:schemeClr val="lt1"/>
          </a:fillRef>
          <a:effectRef idx="0">
            <a:schemeClr val="dk1"/>
          </a:effectRef>
          <a:fontRef idx="minor">
            <a:schemeClr val="dk1"/>
          </a:fontRef>
        </dgm:style>
      </dgm:prSet>
      <dgm:spPr>
        <a:noFill/>
        <a:ln w="3175"/>
      </dgm:spPr>
      <dgm:t>
        <a:bodyPr/>
        <a:lstStyle/>
        <a:p>
          <a:pPr>
            <a:lnSpc>
              <a:spcPct val="100000"/>
            </a:lnSpc>
            <a:spcBef>
              <a:spcPts val="0"/>
            </a:spcBef>
            <a:spcAft>
              <a:spcPts val="0"/>
            </a:spcAft>
          </a:pPr>
          <a:endParaRPr lang="en-ID" sz="1000">
            <a:latin typeface="Times New Roman" panose="02020603050405020304" pitchFamily="18" charset="0"/>
            <a:cs typeface="Times New Roman" panose="02020603050405020304" pitchFamily="18" charset="0"/>
          </a:endParaRPr>
        </a:p>
      </dgm:t>
    </dgm:pt>
    <dgm:pt modelId="{98C30C7C-7400-4167-9CF4-FCC81FD99604}" type="pres">
      <dgm:prSet presAssocID="{D60C3494-4227-4648-8046-52E606F74040}" presName="cycle" presStyleCnt="0">
        <dgm:presLayoutVars>
          <dgm:dir/>
          <dgm:resizeHandles val="exact"/>
        </dgm:presLayoutVars>
      </dgm:prSet>
      <dgm:spPr/>
    </dgm:pt>
    <dgm:pt modelId="{F57A2775-1791-4339-AF1F-73CAD8E51648}" type="pres">
      <dgm:prSet presAssocID="{D94CF4D1-0947-42E3-AE3B-0502A0DA143E}" presName="dummy" presStyleCnt="0"/>
      <dgm:spPr/>
    </dgm:pt>
    <dgm:pt modelId="{D2E23848-16FB-44AB-8D33-EE50EE94CFA8}" type="pres">
      <dgm:prSet presAssocID="{D94CF4D1-0947-42E3-AE3B-0502A0DA143E}" presName="node" presStyleLbl="revTx" presStyleIdx="0" presStyleCnt="5">
        <dgm:presLayoutVars>
          <dgm:bulletEnabled val="1"/>
        </dgm:presLayoutVars>
      </dgm:prSet>
      <dgm:spPr/>
    </dgm:pt>
    <dgm:pt modelId="{2C7E79B5-C97C-48F4-8DDA-EE10512DCB77}" type="pres">
      <dgm:prSet presAssocID="{7E13DE63-BD1B-48EC-B11F-6F77F2D2CA67}" presName="sibTrans" presStyleLbl="node1" presStyleIdx="0" presStyleCnt="5"/>
      <dgm:spPr/>
    </dgm:pt>
    <dgm:pt modelId="{7FC881CB-A023-4B1E-963C-A6806F6A691D}" type="pres">
      <dgm:prSet presAssocID="{2422E7FE-851D-411F-8B1A-E0E6605F612D}" presName="dummy" presStyleCnt="0"/>
      <dgm:spPr/>
    </dgm:pt>
    <dgm:pt modelId="{61A96BE0-80D8-445C-96E5-8C1ABE6B9DFB}" type="pres">
      <dgm:prSet presAssocID="{2422E7FE-851D-411F-8B1A-E0E6605F612D}" presName="node" presStyleLbl="revTx" presStyleIdx="1" presStyleCnt="5" custScaleX="132865">
        <dgm:presLayoutVars>
          <dgm:bulletEnabled val="1"/>
        </dgm:presLayoutVars>
      </dgm:prSet>
      <dgm:spPr/>
    </dgm:pt>
    <dgm:pt modelId="{FA543F68-A35F-4DBC-95F7-E3642FE27783}" type="pres">
      <dgm:prSet presAssocID="{E154A35C-0584-4143-960A-48F08E5E3B09}" presName="sibTrans" presStyleLbl="node1" presStyleIdx="1" presStyleCnt="5"/>
      <dgm:spPr/>
    </dgm:pt>
    <dgm:pt modelId="{EDF2CBDF-8BB8-4848-BC53-0B272FB1F53F}" type="pres">
      <dgm:prSet presAssocID="{08FDA4C6-50FA-48DB-9B6A-BC792C8C69AE}" presName="dummy" presStyleCnt="0"/>
      <dgm:spPr/>
    </dgm:pt>
    <dgm:pt modelId="{CCA761CE-170F-4BE9-944C-200FA91F47C6}" type="pres">
      <dgm:prSet presAssocID="{08FDA4C6-50FA-48DB-9B6A-BC792C8C69AE}" presName="node" presStyleLbl="revTx" presStyleIdx="2" presStyleCnt="5" custScaleX="143161">
        <dgm:presLayoutVars>
          <dgm:bulletEnabled val="1"/>
        </dgm:presLayoutVars>
      </dgm:prSet>
      <dgm:spPr/>
    </dgm:pt>
    <dgm:pt modelId="{95FF9945-4A77-4EEE-A1F1-B92BE787C673}" type="pres">
      <dgm:prSet presAssocID="{B93C7408-55F8-4B64-90A5-94B50C5D13C4}" presName="sibTrans" presStyleLbl="node1" presStyleIdx="2" presStyleCnt="5"/>
      <dgm:spPr/>
    </dgm:pt>
    <dgm:pt modelId="{38BBFFA7-2919-42D8-884E-EF7D0B0D6B89}" type="pres">
      <dgm:prSet presAssocID="{A9E893CD-19BA-464C-BA8F-4D33F33945A7}" presName="dummy" presStyleCnt="0"/>
      <dgm:spPr/>
    </dgm:pt>
    <dgm:pt modelId="{D0C9EFA0-D532-48A6-8B07-C2841126FCAE}" type="pres">
      <dgm:prSet presAssocID="{A9E893CD-19BA-464C-BA8F-4D33F33945A7}" presName="node" presStyleLbl="revTx" presStyleIdx="3" presStyleCnt="5" custScaleX="197344" custScaleY="111135">
        <dgm:presLayoutVars>
          <dgm:bulletEnabled val="1"/>
        </dgm:presLayoutVars>
      </dgm:prSet>
      <dgm:spPr/>
    </dgm:pt>
    <dgm:pt modelId="{4E1052C3-215A-4696-B7B5-64DC36B0997E}" type="pres">
      <dgm:prSet presAssocID="{9D353B9B-D4DA-49B8-A973-E1A4F6C78281}" presName="sibTrans" presStyleLbl="node1" presStyleIdx="3" presStyleCnt="5"/>
      <dgm:spPr/>
    </dgm:pt>
    <dgm:pt modelId="{8E31EE3F-3B96-4651-9C22-D2F1FB22572B}" type="pres">
      <dgm:prSet presAssocID="{E5044AD7-45DF-4C26-AB29-1168A75C3BC3}" presName="dummy" presStyleCnt="0"/>
      <dgm:spPr/>
    </dgm:pt>
    <dgm:pt modelId="{3D0F8F3E-0739-439B-89E2-4DDB6FB72E50}" type="pres">
      <dgm:prSet presAssocID="{E5044AD7-45DF-4C26-AB29-1168A75C3BC3}" presName="node" presStyleLbl="revTx" presStyleIdx="4" presStyleCnt="5" custScaleX="141979">
        <dgm:presLayoutVars>
          <dgm:bulletEnabled val="1"/>
        </dgm:presLayoutVars>
      </dgm:prSet>
      <dgm:spPr/>
    </dgm:pt>
    <dgm:pt modelId="{F0F84161-BB4C-4550-A6AA-F7A3779A9C84}" type="pres">
      <dgm:prSet presAssocID="{444D701D-F5C2-4063-91E9-532301FC2C64}" presName="sibTrans" presStyleLbl="node1" presStyleIdx="4" presStyleCnt="5"/>
      <dgm:spPr/>
    </dgm:pt>
  </dgm:ptLst>
  <dgm:cxnLst>
    <dgm:cxn modelId="{AF84CE01-A8E6-4122-9E18-67A3787E0282}" type="presOf" srcId="{7E13DE63-BD1B-48EC-B11F-6F77F2D2CA67}" destId="{2C7E79B5-C97C-48F4-8DDA-EE10512DCB77}" srcOrd="0" destOrd="0" presId="urn:microsoft.com/office/officeart/2005/8/layout/cycle1"/>
    <dgm:cxn modelId="{5C666127-DD2F-4F51-ACFC-6A7F24AB2B1E}" type="presOf" srcId="{E5044AD7-45DF-4C26-AB29-1168A75C3BC3}" destId="{3D0F8F3E-0739-439B-89E2-4DDB6FB72E50}" srcOrd="0" destOrd="0" presId="urn:microsoft.com/office/officeart/2005/8/layout/cycle1"/>
    <dgm:cxn modelId="{E0318F2E-0A54-4594-B40D-81891F8A5CCA}" type="presOf" srcId="{D60C3494-4227-4648-8046-52E606F74040}" destId="{98C30C7C-7400-4167-9CF4-FCC81FD99604}" srcOrd="0" destOrd="0" presId="urn:microsoft.com/office/officeart/2005/8/layout/cycle1"/>
    <dgm:cxn modelId="{CC8B573C-4CEE-44C3-B2ED-9E490E5E379A}" type="presOf" srcId="{D94CF4D1-0947-42E3-AE3B-0502A0DA143E}" destId="{D2E23848-16FB-44AB-8D33-EE50EE94CFA8}" srcOrd="0" destOrd="0" presId="urn:microsoft.com/office/officeart/2005/8/layout/cycle1"/>
    <dgm:cxn modelId="{ECF0FB62-5FF6-426B-9356-CC889B4ADDF0}" srcId="{D60C3494-4227-4648-8046-52E606F74040}" destId="{2422E7FE-851D-411F-8B1A-E0E6605F612D}" srcOrd="1" destOrd="0" parTransId="{9147DBA3-D6B5-45BA-8D89-D2D1CBA18AA6}" sibTransId="{E154A35C-0584-4143-960A-48F08E5E3B09}"/>
    <dgm:cxn modelId="{80FD1E4C-CBC1-416E-AD95-5C16F34ABDBF}" srcId="{D60C3494-4227-4648-8046-52E606F74040}" destId="{D94CF4D1-0947-42E3-AE3B-0502A0DA143E}" srcOrd="0" destOrd="0" parTransId="{A8A1E4F6-AA90-43DE-A18B-F2C84E4636E7}" sibTransId="{7E13DE63-BD1B-48EC-B11F-6F77F2D2CA67}"/>
    <dgm:cxn modelId="{877C1C79-DED2-428F-A4B9-6EE4FCBFA1C5}" srcId="{D60C3494-4227-4648-8046-52E606F74040}" destId="{E5044AD7-45DF-4C26-AB29-1168A75C3BC3}" srcOrd="4" destOrd="0" parTransId="{99224BF5-FA6B-44B8-B599-0F09FB2FB7AE}" sibTransId="{444D701D-F5C2-4063-91E9-532301FC2C64}"/>
    <dgm:cxn modelId="{6B1C747B-7957-4128-9CA7-F12D848200E4}" type="presOf" srcId="{444D701D-F5C2-4063-91E9-532301FC2C64}" destId="{F0F84161-BB4C-4550-A6AA-F7A3779A9C84}" srcOrd="0" destOrd="0" presId="urn:microsoft.com/office/officeart/2005/8/layout/cycle1"/>
    <dgm:cxn modelId="{02A06180-C708-4F2E-AE9A-13BC574FA502}" srcId="{D60C3494-4227-4648-8046-52E606F74040}" destId="{A9E893CD-19BA-464C-BA8F-4D33F33945A7}" srcOrd="3" destOrd="0" parTransId="{8201C573-8726-4A9C-B990-6463FECEC05E}" sibTransId="{9D353B9B-D4DA-49B8-A973-E1A4F6C78281}"/>
    <dgm:cxn modelId="{80DD009C-8E52-49B7-A980-7276FEFBF36A}" type="presOf" srcId="{A9E893CD-19BA-464C-BA8F-4D33F33945A7}" destId="{D0C9EFA0-D532-48A6-8B07-C2841126FCAE}" srcOrd="0" destOrd="0" presId="urn:microsoft.com/office/officeart/2005/8/layout/cycle1"/>
    <dgm:cxn modelId="{78CD5FA2-D387-44BB-B0E9-79085F174B1A}" type="presOf" srcId="{E154A35C-0584-4143-960A-48F08E5E3B09}" destId="{FA543F68-A35F-4DBC-95F7-E3642FE27783}" srcOrd="0" destOrd="0" presId="urn:microsoft.com/office/officeart/2005/8/layout/cycle1"/>
    <dgm:cxn modelId="{A78E6CA2-B167-4E8E-AF0E-4E0BC788BE0E}" srcId="{D60C3494-4227-4648-8046-52E606F74040}" destId="{08FDA4C6-50FA-48DB-9B6A-BC792C8C69AE}" srcOrd="2" destOrd="0" parTransId="{00F68307-9B75-426C-BD10-26CFAE50CCCD}" sibTransId="{B93C7408-55F8-4B64-90A5-94B50C5D13C4}"/>
    <dgm:cxn modelId="{93E345BE-B41C-435D-8250-48B5A405C427}" type="presOf" srcId="{B93C7408-55F8-4B64-90A5-94B50C5D13C4}" destId="{95FF9945-4A77-4EEE-A1F1-B92BE787C673}" srcOrd="0" destOrd="0" presId="urn:microsoft.com/office/officeart/2005/8/layout/cycle1"/>
    <dgm:cxn modelId="{898D89D0-9126-45E6-A1F7-A3E45F0CADB0}" type="presOf" srcId="{2422E7FE-851D-411F-8B1A-E0E6605F612D}" destId="{61A96BE0-80D8-445C-96E5-8C1ABE6B9DFB}" srcOrd="0" destOrd="0" presId="urn:microsoft.com/office/officeart/2005/8/layout/cycle1"/>
    <dgm:cxn modelId="{6233B3D7-07F2-4FF7-B1C8-D1431742DD3C}" type="presOf" srcId="{08FDA4C6-50FA-48DB-9B6A-BC792C8C69AE}" destId="{CCA761CE-170F-4BE9-944C-200FA91F47C6}" srcOrd="0" destOrd="0" presId="urn:microsoft.com/office/officeart/2005/8/layout/cycle1"/>
    <dgm:cxn modelId="{D7E81EF3-5B26-443A-AC75-93D7F4F13221}" type="presOf" srcId="{9D353B9B-D4DA-49B8-A973-E1A4F6C78281}" destId="{4E1052C3-215A-4696-B7B5-64DC36B0997E}" srcOrd="0" destOrd="0" presId="urn:microsoft.com/office/officeart/2005/8/layout/cycle1"/>
    <dgm:cxn modelId="{DA462FCB-6DB8-46D5-A915-A6AA30EDA5E7}" type="presParOf" srcId="{98C30C7C-7400-4167-9CF4-FCC81FD99604}" destId="{F57A2775-1791-4339-AF1F-73CAD8E51648}" srcOrd="0" destOrd="0" presId="urn:microsoft.com/office/officeart/2005/8/layout/cycle1"/>
    <dgm:cxn modelId="{2BF9EF40-C7E8-49CB-9593-AF7BEF489E65}" type="presParOf" srcId="{98C30C7C-7400-4167-9CF4-FCC81FD99604}" destId="{D2E23848-16FB-44AB-8D33-EE50EE94CFA8}" srcOrd="1" destOrd="0" presId="urn:microsoft.com/office/officeart/2005/8/layout/cycle1"/>
    <dgm:cxn modelId="{6DC9B77D-5761-4D75-BBD9-66030C5CA4D8}" type="presParOf" srcId="{98C30C7C-7400-4167-9CF4-FCC81FD99604}" destId="{2C7E79B5-C97C-48F4-8DDA-EE10512DCB77}" srcOrd="2" destOrd="0" presId="urn:microsoft.com/office/officeart/2005/8/layout/cycle1"/>
    <dgm:cxn modelId="{0E570C50-040C-4855-86EE-ABAA8FCC6AE5}" type="presParOf" srcId="{98C30C7C-7400-4167-9CF4-FCC81FD99604}" destId="{7FC881CB-A023-4B1E-963C-A6806F6A691D}" srcOrd="3" destOrd="0" presId="urn:microsoft.com/office/officeart/2005/8/layout/cycle1"/>
    <dgm:cxn modelId="{D3DED853-F78A-4A4B-80BB-C84A85BC17A5}" type="presParOf" srcId="{98C30C7C-7400-4167-9CF4-FCC81FD99604}" destId="{61A96BE0-80D8-445C-96E5-8C1ABE6B9DFB}" srcOrd="4" destOrd="0" presId="urn:microsoft.com/office/officeart/2005/8/layout/cycle1"/>
    <dgm:cxn modelId="{0E19BCDB-8072-4E72-A95E-0E8AFAEBC72A}" type="presParOf" srcId="{98C30C7C-7400-4167-9CF4-FCC81FD99604}" destId="{FA543F68-A35F-4DBC-95F7-E3642FE27783}" srcOrd="5" destOrd="0" presId="urn:microsoft.com/office/officeart/2005/8/layout/cycle1"/>
    <dgm:cxn modelId="{05F5AC10-B8FC-47FD-AD9E-7D9383E1C6E3}" type="presParOf" srcId="{98C30C7C-7400-4167-9CF4-FCC81FD99604}" destId="{EDF2CBDF-8BB8-4848-BC53-0B272FB1F53F}" srcOrd="6" destOrd="0" presId="urn:microsoft.com/office/officeart/2005/8/layout/cycle1"/>
    <dgm:cxn modelId="{86E024E1-3499-4D00-9587-8EB43AB0AAC9}" type="presParOf" srcId="{98C30C7C-7400-4167-9CF4-FCC81FD99604}" destId="{CCA761CE-170F-4BE9-944C-200FA91F47C6}" srcOrd="7" destOrd="0" presId="urn:microsoft.com/office/officeart/2005/8/layout/cycle1"/>
    <dgm:cxn modelId="{981364C3-CBA6-4BF3-AF90-156336D64406}" type="presParOf" srcId="{98C30C7C-7400-4167-9CF4-FCC81FD99604}" destId="{95FF9945-4A77-4EEE-A1F1-B92BE787C673}" srcOrd="8" destOrd="0" presId="urn:microsoft.com/office/officeart/2005/8/layout/cycle1"/>
    <dgm:cxn modelId="{52175A56-F409-40DE-B6A5-D355B1258035}" type="presParOf" srcId="{98C30C7C-7400-4167-9CF4-FCC81FD99604}" destId="{38BBFFA7-2919-42D8-884E-EF7D0B0D6B89}" srcOrd="9" destOrd="0" presId="urn:microsoft.com/office/officeart/2005/8/layout/cycle1"/>
    <dgm:cxn modelId="{5A1865B6-80CA-49A2-91C8-B7D138138635}" type="presParOf" srcId="{98C30C7C-7400-4167-9CF4-FCC81FD99604}" destId="{D0C9EFA0-D532-48A6-8B07-C2841126FCAE}" srcOrd="10" destOrd="0" presId="urn:microsoft.com/office/officeart/2005/8/layout/cycle1"/>
    <dgm:cxn modelId="{F71C9C14-8E60-4D38-89C4-BBA26EA80592}" type="presParOf" srcId="{98C30C7C-7400-4167-9CF4-FCC81FD99604}" destId="{4E1052C3-215A-4696-B7B5-64DC36B0997E}" srcOrd="11" destOrd="0" presId="urn:microsoft.com/office/officeart/2005/8/layout/cycle1"/>
    <dgm:cxn modelId="{6A3716AC-7329-40F4-B5E7-235B5CD395CE}" type="presParOf" srcId="{98C30C7C-7400-4167-9CF4-FCC81FD99604}" destId="{8E31EE3F-3B96-4651-9C22-D2F1FB22572B}" srcOrd="12" destOrd="0" presId="urn:microsoft.com/office/officeart/2005/8/layout/cycle1"/>
    <dgm:cxn modelId="{D40DF340-F62F-4823-8B38-DC62EF5E9DDF}" type="presParOf" srcId="{98C30C7C-7400-4167-9CF4-FCC81FD99604}" destId="{3D0F8F3E-0739-439B-89E2-4DDB6FB72E50}" srcOrd="13" destOrd="0" presId="urn:microsoft.com/office/officeart/2005/8/layout/cycle1"/>
    <dgm:cxn modelId="{BF553D47-81FB-430F-974E-1E8069E2BC23}" type="presParOf" srcId="{98C30C7C-7400-4167-9CF4-FCC81FD99604}" destId="{F0F84161-BB4C-4550-A6AA-F7A3779A9C84}" srcOrd="14" destOrd="0" presId="urn:microsoft.com/office/officeart/2005/8/layout/cycle1"/>
  </dgm:cxnLst>
  <dgm:bg>
    <a:solidFill>
      <a:schemeClr val="bg1"/>
    </a:solidFill>
  </dgm:bg>
  <dgm:whole>
    <a:ln w="3175"/>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E23848-16FB-44AB-8D33-EE50EE94CFA8}">
      <dsp:nvSpPr>
        <dsp:cNvPr id="0" name=""/>
        <dsp:cNvSpPr/>
      </dsp:nvSpPr>
      <dsp:spPr>
        <a:xfrm>
          <a:off x="3171376" y="18370"/>
          <a:ext cx="596146" cy="5961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100000"/>
            </a:lnSpc>
            <a:spcBef>
              <a:spcPct val="0"/>
            </a:spcBef>
            <a:spcAft>
              <a:spcPts val="0"/>
            </a:spcAft>
            <a:buNone/>
          </a:pPr>
          <a:r>
            <a:rPr lang="en-ID" sz="1000" kern="1200">
              <a:latin typeface="Times New Roman" panose="02020603050405020304" pitchFamily="18" charset="0"/>
              <a:cs typeface="Times New Roman" panose="02020603050405020304" pitchFamily="18" charset="0"/>
            </a:rPr>
            <a:t>Seketariat Kampung KB</a:t>
          </a:r>
        </a:p>
      </dsp:txBody>
      <dsp:txXfrm>
        <a:off x="3171376" y="18370"/>
        <a:ext cx="596146" cy="596146"/>
      </dsp:txXfrm>
    </dsp:sp>
    <dsp:sp modelId="{2C7E79B5-C97C-48F4-8DDA-EE10512DCB77}">
      <dsp:nvSpPr>
        <dsp:cNvPr id="0" name=""/>
        <dsp:cNvSpPr/>
      </dsp:nvSpPr>
      <dsp:spPr>
        <a:xfrm>
          <a:off x="1769444" y="1174"/>
          <a:ext cx="2234594" cy="2234594"/>
        </a:xfrm>
        <a:prstGeom prst="circularArrow">
          <a:avLst>
            <a:gd name="adj1" fmla="val 5202"/>
            <a:gd name="adj2" fmla="val 336063"/>
            <a:gd name="adj3" fmla="val 21292631"/>
            <a:gd name="adj4" fmla="val 19766774"/>
            <a:gd name="adj5" fmla="val 6069"/>
          </a:avLst>
        </a:prstGeom>
        <a:solidFill>
          <a:schemeClr val="lt1"/>
        </a:solidFill>
        <a:ln w="3175" cap="flat" cmpd="sng" algn="ctr">
          <a:solidFill>
            <a:schemeClr val="dk1"/>
          </a:solidFill>
          <a:prstDash val="solid"/>
          <a:miter lim="800000"/>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sp>
    <dsp:sp modelId="{61A96BE0-80D8-445C-96E5-8C1ABE6B9DFB}">
      <dsp:nvSpPr>
        <dsp:cNvPr id="0" name=""/>
        <dsp:cNvSpPr/>
      </dsp:nvSpPr>
      <dsp:spPr>
        <a:xfrm>
          <a:off x="3433548" y="1126745"/>
          <a:ext cx="792069" cy="5961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100000"/>
            </a:lnSpc>
            <a:spcBef>
              <a:spcPct val="0"/>
            </a:spcBef>
            <a:spcAft>
              <a:spcPts val="0"/>
            </a:spcAft>
            <a:buNone/>
          </a:pPr>
          <a:r>
            <a:rPr lang="en-ID" sz="1000" kern="1200">
              <a:latin typeface="Times New Roman" panose="02020603050405020304" pitchFamily="18" charset="0"/>
              <a:cs typeface="Times New Roman" panose="02020603050405020304" pitchFamily="18" charset="0"/>
            </a:rPr>
            <a:t>Kelompok Kerja</a:t>
          </a:r>
        </a:p>
      </dsp:txBody>
      <dsp:txXfrm>
        <a:off x="3433548" y="1126745"/>
        <a:ext cx="792069" cy="596146"/>
      </dsp:txXfrm>
    </dsp:sp>
    <dsp:sp modelId="{FA543F68-A35F-4DBC-95F7-E3642FE27783}">
      <dsp:nvSpPr>
        <dsp:cNvPr id="0" name=""/>
        <dsp:cNvSpPr/>
      </dsp:nvSpPr>
      <dsp:spPr>
        <a:xfrm>
          <a:off x="1769444" y="1174"/>
          <a:ext cx="2234594" cy="2234594"/>
        </a:xfrm>
        <a:prstGeom prst="circularArrow">
          <a:avLst>
            <a:gd name="adj1" fmla="val 5202"/>
            <a:gd name="adj2" fmla="val 336063"/>
            <a:gd name="adj3" fmla="val 3534197"/>
            <a:gd name="adj4" fmla="val 2254014"/>
            <a:gd name="adj5" fmla="val 6069"/>
          </a:avLst>
        </a:prstGeom>
        <a:solidFill>
          <a:schemeClr val="lt1"/>
        </a:solidFill>
        <a:ln w="3175" cap="flat" cmpd="sng" algn="ctr">
          <a:solidFill>
            <a:schemeClr val="dk1"/>
          </a:solidFill>
          <a:prstDash val="solid"/>
          <a:miter lim="800000"/>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sp>
    <dsp:sp modelId="{CCA761CE-170F-4BE9-944C-200FA91F47C6}">
      <dsp:nvSpPr>
        <dsp:cNvPr id="0" name=""/>
        <dsp:cNvSpPr/>
      </dsp:nvSpPr>
      <dsp:spPr>
        <a:xfrm>
          <a:off x="2460017" y="1811759"/>
          <a:ext cx="853448" cy="5961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100000"/>
            </a:lnSpc>
            <a:spcBef>
              <a:spcPct val="0"/>
            </a:spcBef>
            <a:spcAft>
              <a:spcPts val="0"/>
            </a:spcAft>
            <a:buNone/>
          </a:pPr>
          <a:r>
            <a:rPr lang="en-ID" sz="1000" kern="1200">
              <a:latin typeface="Times New Roman" panose="02020603050405020304" pitchFamily="18" charset="0"/>
              <a:cs typeface="Times New Roman" panose="02020603050405020304" pitchFamily="18" charset="0"/>
            </a:rPr>
            <a:t>Rencana Kerja Masyarakat</a:t>
          </a:r>
        </a:p>
      </dsp:txBody>
      <dsp:txXfrm>
        <a:off x="2460017" y="1811759"/>
        <a:ext cx="853448" cy="596146"/>
      </dsp:txXfrm>
    </dsp:sp>
    <dsp:sp modelId="{95FF9945-4A77-4EEE-A1F1-B92BE787C673}">
      <dsp:nvSpPr>
        <dsp:cNvPr id="0" name=""/>
        <dsp:cNvSpPr/>
      </dsp:nvSpPr>
      <dsp:spPr>
        <a:xfrm>
          <a:off x="1769444" y="1174"/>
          <a:ext cx="2234594" cy="2234594"/>
        </a:xfrm>
        <a:prstGeom prst="circularArrow">
          <a:avLst>
            <a:gd name="adj1" fmla="val 5202"/>
            <a:gd name="adj2" fmla="val 336063"/>
            <a:gd name="adj3" fmla="val 8062234"/>
            <a:gd name="adj4" fmla="val 6929740"/>
            <a:gd name="adj5" fmla="val 6069"/>
          </a:avLst>
        </a:prstGeom>
        <a:solidFill>
          <a:schemeClr val="lt1"/>
        </a:solidFill>
        <a:ln w="3175" cap="flat" cmpd="sng" algn="ctr">
          <a:solidFill>
            <a:schemeClr val="dk1"/>
          </a:solidFill>
          <a:prstDash val="solid"/>
          <a:miter lim="800000"/>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sp>
    <dsp:sp modelId="{D0C9EFA0-D532-48A6-8B07-C2841126FCAE}">
      <dsp:nvSpPr>
        <dsp:cNvPr id="0" name=""/>
        <dsp:cNvSpPr/>
      </dsp:nvSpPr>
      <dsp:spPr>
        <a:xfrm>
          <a:off x="1355672" y="1093555"/>
          <a:ext cx="1176458" cy="66252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100000"/>
            </a:lnSpc>
            <a:spcBef>
              <a:spcPct val="0"/>
            </a:spcBef>
            <a:spcAft>
              <a:spcPts val="0"/>
            </a:spcAft>
            <a:buNone/>
          </a:pPr>
          <a:r>
            <a:rPr lang="en-ID" sz="1000" kern="1200">
              <a:latin typeface="Times New Roman" panose="02020603050405020304" pitchFamily="18" charset="0"/>
              <a:cs typeface="Times New Roman" panose="02020603050405020304" pitchFamily="18" charset="0"/>
            </a:rPr>
            <a:t>Mekanisme operasional, monev dan pencatatan</a:t>
          </a:r>
        </a:p>
        <a:p>
          <a:pPr marL="0" lvl="0" indent="0" algn="ctr" defTabSz="444500">
            <a:lnSpc>
              <a:spcPct val="100000"/>
            </a:lnSpc>
            <a:spcBef>
              <a:spcPct val="0"/>
            </a:spcBef>
            <a:spcAft>
              <a:spcPts val="0"/>
            </a:spcAft>
            <a:buNone/>
          </a:pPr>
          <a:r>
            <a:rPr lang="en-ID" sz="1000" kern="1200">
              <a:latin typeface="Times New Roman" panose="02020603050405020304" pitchFamily="18" charset="0"/>
              <a:cs typeface="Times New Roman" panose="02020603050405020304" pitchFamily="18" charset="0"/>
            </a:rPr>
            <a:t>/pelaporan</a:t>
          </a:r>
        </a:p>
      </dsp:txBody>
      <dsp:txXfrm>
        <a:off x="1355672" y="1093555"/>
        <a:ext cx="1176458" cy="662526"/>
      </dsp:txXfrm>
    </dsp:sp>
    <dsp:sp modelId="{4E1052C3-215A-4696-B7B5-64DC36B0997E}">
      <dsp:nvSpPr>
        <dsp:cNvPr id="0" name=""/>
        <dsp:cNvSpPr/>
      </dsp:nvSpPr>
      <dsp:spPr>
        <a:xfrm>
          <a:off x="1769444" y="1174"/>
          <a:ext cx="2234594" cy="2234594"/>
        </a:xfrm>
        <a:prstGeom prst="circularArrow">
          <a:avLst>
            <a:gd name="adj1" fmla="val 5202"/>
            <a:gd name="adj2" fmla="val 336063"/>
            <a:gd name="adj3" fmla="val 12297162"/>
            <a:gd name="adj4" fmla="val 10886410"/>
            <a:gd name="adj5" fmla="val 6069"/>
          </a:avLst>
        </a:prstGeom>
        <a:solidFill>
          <a:schemeClr val="lt1"/>
        </a:solidFill>
        <a:ln w="3175" cap="flat" cmpd="sng" algn="ctr">
          <a:solidFill>
            <a:schemeClr val="dk1"/>
          </a:solidFill>
          <a:prstDash val="solid"/>
          <a:miter lim="800000"/>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sp>
    <dsp:sp modelId="{3D0F8F3E-0739-439B-89E2-4DDB6FB72E50}">
      <dsp:nvSpPr>
        <dsp:cNvPr id="0" name=""/>
        <dsp:cNvSpPr/>
      </dsp:nvSpPr>
      <dsp:spPr>
        <a:xfrm>
          <a:off x="1880833" y="18370"/>
          <a:ext cx="846402" cy="5961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100000"/>
            </a:lnSpc>
            <a:spcBef>
              <a:spcPct val="0"/>
            </a:spcBef>
            <a:spcAft>
              <a:spcPts val="0"/>
            </a:spcAft>
            <a:buNone/>
          </a:pPr>
          <a:r>
            <a:rPr lang="en-ID" sz="1000" kern="1200">
              <a:latin typeface="Times New Roman" panose="02020603050405020304" pitchFamily="18" charset="0"/>
              <a:cs typeface="Times New Roman" panose="02020603050405020304" pitchFamily="18" charset="0"/>
            </a:rPr>
            <a:t>Kepemilikan Rumah dataku Kampung KB</a:t>
          </a:r>
        </a:p>
      </dsp:txBody>
      <dsp:txXfrm>
        <a:off x="1880833" y="18370"/>
        <a:ext cx="846402" cy="596146"/>
      </dsp:txXfrm>
    </dsp:sp>
    <dsp:sp modelId="{F0F84161-BB4C-4550-A6AA-F7A3779A9C84}">
      <dsp:nvSpPr>
        <dsp:cNvPr id="0" name=""/>
        <dsp:cNvSpPr/>
      </dsp:nvSpPr>
      <dsp:spPr>
        <a:xfrm>
          <a:off x="1769444" y="1174"/>
          <a:ext cx="2234594" cy="2234594"/>
        </a:xfrm>
        <a:prstGeom prst="circularArrow">
          <a:avLst>
            <a:gd name="adj1" fmla="val 5202"/>
            <a:gd name="adj2" fmla="val 336063"/>
            <a:gd name="adj3" fmla="val 16865055"/>
            <a:gd name="adj4" fmla="val 15644464"/>
            <a:gd name="adj5" fmla="val 6069"/>
          </a:avLst>
        </a:prstGeom>
        <a:noFill/>
        <a:ln w="3175" cap="flat" cmpd="sng" algn="ctr">
          <a:solidFill>
            <a:schemeClr val="dk1"/>
          </a:solidFill>
          <a:prstDash val="solid"/>
          <a:miter lim="800000"/>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0.81538</cdr:x>
      <cdr:y>0.13502</cdr:y>
    </cdr:from>
    <cdr:to>
      <cdr:x>0.90769</cdr:x>
      <cdr:y>0.79362</cdr:y>
    </cdr:to>
    <cdr:sp macro="" textlink="">
      <cdr:nvSpPr>
        <cdr:cNvPr id="2" name="Oval 1"/>
        <cdr:cNvSpPr/>
      </cdr:nvSpPr>
      <cdr:spPr>
        <a:xfrm xmlns:a="http://schemas.openxmlformats.org/drawingml/2006/main">
          <a:off x="4543425" y="343379"/>
          <a:ext cx="514350" cy="1674936"/>
        </a:xfrm>
        <a:prstGeom xmlns:a="http://schemas.openxmlformats.org/drawingml/2006/main" prst="ellipse">
          <a:avLst/>
        </a:prstGeom>
        <a:noFill xmlns:a="http://schemas.openxmlformats.org/drawingml/2006/main"/>
        <a:ln xmlns:a="http://schemas.openxmlformats.org/drawingml/2006/main" w="38100">
          <a:solidFill>
            <a:srgbClr val="FF0000"/>
          </a:solidFill>
          <a:prstDash val="sysDash"/>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n-US" b="0" cap="none" spc="0">
            <a:ln w="0">
              <a:solidFill>
                <a:schemeClr val="dk1"/>
              </a:solidFill>
            </a:ln>
            <a:noFill/>
            <a:effectLst>
              <a:outerShdw blurRad="38100" dist="25400" dir="5400000" algn="ctr" rotWithShape="0">
                <a:srgbClr val="6E747A">
                  <a:alpha val="43000"/>
                </a:srgbClr>
              </a:outerShdw>
            </a:effectLs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9059EA7-5684-4F6E-B608-B31F219BE486}">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1BE0A50-A807-4201-A3DD-1752695DA7F2}">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19760662-E837-4667-AE61-C1D1EA07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18</Pages>
  <Words>30104</Words>
  <Characters>171597</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37</cp:revision>
  <dcterms:created xsi:type="dcterms:W3CDTF">2023-09-03T16:11:00Z</dcterms:created>
  <dcterms:modified xsi:type="dcterms:W3CDTF">2023-09-05T17:56:00Z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014ace829835319cb65f706ab4d0e50b683c8d1a74aa142d08302eebed59a1a6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http://csl.mendeley.com/styles/497839491/ieee</vt:lpwstr>
  </property>
  <property fmtid="{D5CDD505-2E9C-101B-9397-08002B2CF9AE}" pid="16" name="Mendeley Recent Style Name 6_1">
    <vt:lpwstr>IEEE - Sururi Ahmad</vt:lpwstr>
  </property>
  <property fmtid="{D5CDD505-2E9C-101B-9397-08002B2CF9AE}" pid="17" name="Mendeley Recent Style Id 7_1">
    <vt:lpwstr>http://www.zotero.org/styles/iso690-author-date-cs</vt:lpwstr>
  </property>
  <property fmtid="{D5CDD505-2E9C-101B-9397-08002B2CF9AE}" pid="18" name="Mendeley Recent Style Name 7_1">
    <vt:lpwstr>ISO-690 (author-date, Čeština)</vt:lpwstr>
  </property>
  <property fmtid="{D5CDD505-2E9C-101B-9397-08002B2CF9AE}" pid="19" name="Mendeley Recent Style Id 8_1">
    <vt:lpwstr>http://www.zotero.org/styles/iso690-numeric-brackets-cs</vt:lpwstr>
  </property>
  <property fmtid="{D5CDD505-2E9C-101B-9397-08002B2CF9AE}" pid="20" name="Mendeley Recent Style Name 8_1">
    <vt:lpwstr>ISO-690 (numeric, brackets, Čeština)</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bdac0882-3f87-3198-b12d-2dbf256bce3c</vt:lpwstr>
  </property>
  <property fmtid="{D5CDD505-2E9C-101B-9397-08002B2CF9AE}" pid="25" name="Mendeley Citation Style_1">
    <vt:lpwstr>http://www.zotero.org/styles/chicago-author-date</vt:lpwstr>
  </property>
</Properties>
</file>