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F1058" w14:textId="77777777" w:rsidR="002407CD" w:rsidRPr="002407CD" w:rsidRDefault="002407CD" w:rsidP="002407CD">
      <w:pPr>
        <w:spacing w:after="60" w:line="240" w:lineRule="auto"/>
        <w:jc w:val="center"/>
        <w:rPr>
          <w:rFonts w:ascii="Cambria" w:eastAsia="Cambria" w:hAnsi="Cambria" w:cs="Cambria"/>
          <w:b/>
          <w:color w:val="000000"/>
          <w:sz w:val="26"/>
          <w:szCs w:val="26"/>
        </w:rPr>
      </w:pPr>
      <w:r w:rsidRPr="002407CD">
        <w:rPr>
          <w:rFonts w:ascii="Cambria" w:eastAsia="Cambria" w:hAnsi="Cambria" w:cs="Cambria"/>
          <w:b/>
          <w:color w:val="000000"/>
          <w:sz w:val="26"/>
          <w:szCs w:val="26"/>
        </w:rPr>
        <w:t xml:space="preserve">URGENSI PAYUNG HUKUM BAGI KEJAHATAN SEXTORTION   </w:t>
      </w:r>
    </w:p>
    <w:p w14:paraId="2C4807CF" w14:textId="7212D562" w:rsidR="00D97972" w:rsidRPr="002407CD" w:rsidRDefault="002407CD" w:rsidP="002407CD">
      <w:pPr>
        <w:spacing w:after="60" w:line="240" w:lineRule="auto"/>
        <w:jc w:val="center"/>
        <w:rPr>
          <w:rFonts w:ascii="Cambria" w:eastAsia="Cambria" w:hAnsi="Cambria" w:cs="Cambria"/>
          <w:b/>
          <w:color w:val="000000"/>
        </w:rPr>
      </w:pPr>
      <w:r w:rsidRPr="002407CD">
        <w:rPr>
          <w:rFonts w:ascii="Cambria" w:eastAsia="Cambria" w:hAnsi="Cambria" w:cs="Cambria"/>
          <w:b/>
          <w:color w:val="000000"/>
          <w:sz w:val="26"/>
          <w:szCs w:val="26"/>
        </w:rPr>
        <w:t>“KORUPSI YANG MELIBATKAN GENDER DAN EKPLOITASI SEKSUAL”</w:t>
      </w:r>
    </w:p>
    <w:p w14:paraId="626059B4" w14:textId="507B8795" w:rsidR="009D6767" w:rsidRPr="002407CD" w:rsidRDefault="002407CD" w:rsidP="002407CD">
      <w:pPr>
        <w:spacing w:after="0"/>
        <w:jc w:val="center"/>
        <w:rPr>
          <w:rFonts w:ascii="Cambria" w:eastAsia="Cambria" w:hAnsi="Cambria" w:cs="Cambria"/>
          <w:color w:val="000000"/>
          <w:vertAlign w:val="superscript"/>
        </w:rPr>
      </w:pPr>
      <w:r w:rsidRPr="002407CD">
        <w:rPr>
          <w:rFonts w:ascii="Cambria" w:hAnsi="Cambria"/>
        </w:rPr>
        <w:t>Matahar</w:t>
      </w:r>
      <w:r>
        <w:rPr>
          <w:rFonts w:ascii="Cambria" w:hAnsi="Cambria"/>
        </w:rPr>
        <w:t>i</w:t>
      </w:r>
      <w:r w:rsidRPr="002407CD">
        <w:rPr>
          <w:rFonts w:ascii="Cambria" w:hAnsi="Cambria"/>
        </w:rPr>
        <w:t xml:space="preserve"> Yonag</w:t>
      </w:r>
      <w:r w:rsidR="0095079F">
        <w:rPr>
          <w:rFonts w:ascii="Cambria" w:hAnsi="Cambria"/>
        </w:rPr>
        <w:t>i</w:t>
      </w:r>
      <w:r w:rsidRPr="002407CD">
        <w:rPr>
          <w:rFonts w:ascii="Cambria" w:hAnsi="Cambria"/>
        </w:rPr>
        <w:t>e</w:t>
      </w:r>
      <w:r w:rsidR="0095079F">
        <w:rPr>
          <w:rFonts w:ascii="Cambria" w:hAnsi="Cambria"/>
        </w:rPr>
        <w:t>, Elan Jelani, Utang Rosidin</w:t>
      </w:r>
    </w:p>
    <w:p w14:paraId="0B672888" w14:textId="77777777" w:rsidR="002407CD" w:rsidRPr="002407CD" w:rsidRDefault="002407CD" w:rsidP="002407CD">
      <w:pPr>
        <w:spacing w:after="0"/>
        <w:jc w:val="center"/>
        <w:rPr>
          <w:rFonts w:ascii="Cambria" w:eastAsia="Cambria" w:hAnsi="Cambria" w:cs="Cambria"/>
          <w:color w:val="000000"/>
        </w:rPr>
      </w:pPr>
      <w:r w:rsidRPr="002407CD">
        <w:rPr>
          <w:rFonts w:ascii="Cambria" w:eastAsia="Cambria" w:hAnsi="Cambria" w:cs="Cambria"/>
          <w:color w:val="000000"/>
        </w:rPr>
        <w:t>Program Studi Ilmu Hukum, Fakultas Syariah &amp; Hukum.</w:t>
      </w:r>
    </w:p>
    <w:p w14:paraId="0F8AB1B7" w14:textId="77777777" w:rsidR="002407CD" w:rsidRPr="002407CD" w:rsidRDefault="002407CD" w:rsidP="002407CD">
      <w:pPr>
        <w:spacing w:after="0"/>
        <w:jc w:val="center"/>
        <w:rPr>
          <w:rFonts w:ascii="Cambria" w:eastAsia="Cambria" w:hAnsi="Cambria" w:cs="Cambria"/>
          <w:color w:val="000000"/>
        </w:rPr>
      </w:pPr>
      <w:r w:rsidRPr="002407CD">
        <w:rPr>
          <w:rFonts w:ascii="Cambria" w:eastAsia="Cambria" w:hAnsi="Cambria" w:cs="Cambria"/>
          <w:color w:val="000000"/>
        </w:rPr>
        <w:t>UIN Sunan Gunung Djati Bandung</w:t>
      </w:r>
    </w:p>
    <w:p w14:paraId="73A3BCE0" w14:textId="16876032" w:rsidR="002407CD" w:rsidRPr="002407CD" w:rsidRDefault="0095079F" w:rsidP="002407CD">
      <w:pPr>
        <w:spacing w:after="0"/>
        <w:jc w:val="center"/>
        <w:rPr>
          <w:rFonts w:ascii="Cambria" w:eastAsia="Cambria" w:hAnsi="Cambria" w:cs="Cambria"/>
          <w:color w:val="000000"/>
        </w:rPr>
      </w:pPr>
      <w:r w:rsidRPr="0095079F">
        <w:rPr>
          <w:rFonts w:ascii="Cambria" w:hAnsi="Cambria"/>
        </w:rPr>
        <w:t>Email</w:t>
      </w:r>
      <w:r>
        <w:t xml:space="preserve">: </w:t>
      </w:r>
      <w:hyperlink r:id="rId8" w:history="1">
        <w:r w:rsidRPr="003765FD">
          <w:rPr>
            <w:rStyle w:val="Hyperlink"/>
            <w:rFonts w:ascii="Cambria" w:hAnsi="Cambria" w:cs="Calibri"/>
          </w:rPr>
          <w:t>Matahariyonagie08@gmail.com</w:t>
        </w:r>
      </w:hyperlink>
      <w:r>
        <w:rPr>
          <w:rFonts w:ascii="Cambria" w:hAnsi="Cambria"/>
          <w:color w:val="000000"/>
        </w:rPr>
        <w:t xml:space="preserve">, </w:t>
      </w:r>
      <w:hyperlink r:id="rId9" w:history="1">
        <w:r w:rsidRPr="003765FD">
          <w:rPr>
            <w:rStyle w:val="Hyperlink"/>
            <w:rFonts w:ascii="Cambria" w:hAnsi="Cambria" w:cs="Calibri"/>
          </w:rPr>
          <w:t>elanjaelani@uinsgd.ac.id</w:t>
        </w:r>
      </w:hyperlink>
      <w:r>
        <w:rPr>
          <w:rFonts w:ascii="Cambria" w:hAnsi="Cambria"/>
          <w:color w:val="000000"/>
        </w:rPr>
        <w:t xml:space="preserve">, </w:t>
      </w:r>
      <w:hyperlink r:id="rId10" w:history="1">
        <w:r w:rsidRPr="003765FD">
          <w:rPr>
            <w:rStyle w:val="Hyperlink"/>
            <w:rFonts w:ascii="Cambria" w:hAnsi="Cambria" w:cs="Calibri"/>
          </w:rPr>
          <w:t>utangrosidin@uinsgd.ac.id</w:t>
        </w:r>
      </w:hyperlink>
      <w:r>
        <w:rPr>
          <w:rFonts w:ascii="Cambria" w:hAnsi="Cambria"/>
          <w:color w:val="000000"/>
        </w:rPr>
        <w:t xml:space="preserve"> </w:t>
      </w:r>
    </w:p>
    <w:p w14:paraId="2428D198" w14:textId="4E963608" w:rsidR="00D97972" w:rsidRPr="002407CD" w:rsidRDefault="00D97972" w:rsidP="002407CD">
      <w:pPr>
        <w:spacing w:before="240" w:after="60" w:line="240" w:lineRule="auto"/>
        <w:jc w:val="center"/>
        <w:rPr>
          <w:rFonts w:ascii="Cambria" w:eastAsia="Cambria" w:hAnsi="Cambria" w:cs="Cambria"/>
          <w:b/>
          <w:color w:val="000000"/>
        </w:rPr>
      </w:pPr>
      <w:r w:rsidRPr="002407CD">
        <w:rPr>
          <w:rFonts w:ascii="Cambria" w:eastAsia="Cambria" w:hAnsi="Cambria" w:cs="Cambria"/>
          <w:b/>
          <w:color w:val="000000"/>
        </w:rPr>
        <w:t>Abstract</w:t>
      </w:r>
    </w:p>
    <w:p w14:paraId="230035DD" w14:textId="77777777" w:rsidR="002407CD"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The presence of digital technology has transformed the landscape of crime, including the emergence of sextortion phenomena involving corruption, gender, and sexual exploitation. Sextortion refers to the practice of extortion where perpetrators use sexually explicit material obtained illegally or through deception to gain financial advantage, power, or control over their victims. This crime has devastating impacts, especially on victims who often experience serious psychological trauma.</w:t>
      </w:r>
    </w:p>
    <w:p w14:paraId="5A1F1289" w14:textId="77777777" w:rsidR="002407CD"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An adequate legal framework is crucial in addressing sextortion cases. The urgency of legal provisions in this context involves the establishment and strengthening of specific and effective laws to combat sextortion. The laws should consider aspects such as victim protection, strict punishment for perpetrators, and prevention through education and public awareness.</w:t>
      </w:r>
    </w:p>
    <w:p w14:paraId="7516F4E6" w14:textId="77777777" w:rsidR="002407CD"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First and foremost, the protection of sextortion victims should be a top priority. The laws should recognize and respect the rights of victims, including privacy, security, and psychological recovery. Furthermore, the laws should provide adequate mechanisms to report crimes, offer legal assistance, and support victims throughout the judicial process.</w:t>
      </w:r>
    </w:p>
    <w:p w14:paraId="0CBE0150" w14:textId="77777777" w:rsidR="002407CD"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Secondly, stringent punishment for sextortion perpetrators should be an integral part of the legal framework. Perpetrators must face serious consequences, including appropriate prison sentences and significant fines. Strong sanctions will deter potential offenders and send a message that sextortion will not be tolerated in society.</w:t>
      </w:r>
    </w:p>
    <w:p w14:paraId="704500F3" w14:textId="77777777" w:rsidR="002407CD"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Additionally, prevention of sextortion through education and public awareness should also be a crucial component of the legal framework. Education programs involving schools, families, and community institutions should be established to enhance awareness of sextortion risks, teach safe digital skills, and encourage responsible technology use.</w:t>
      </w:r>
    </w:p>
    <w:p w14:paraId="22424E89" w14:textId="77777777" w:rsidR="002407CD"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In the context of corruption involving gender and sexual exploitation, a robust legal framework should also consider gender equality dimensions. The laws should prevent gender discrimination, recognize equal rights and protection for all individuals, and promote active participation of women in the law enforcement process.</w:t>
      </w:r>
    </w:p>
    <w:p w14:paraId="34347EA9" w14:textId="64CB92BE" w:rsidR="00D97972" w:rsidRPr="002407CD" w:rsidRDefault="002407CD" w:rsidP="00E80576">
      <w:pPr>
        <w:spacing w:after="0"/>
        <w:ind w:left="567" w:right="567" w:firstLine="720"/>
        <w:jc w:val="both"/>
        <w:rPr>
          <w:rFonts w:ascii="Cambria" w:eastAsia="Cambria" w:hAnsi="Cambria" w:cs="Cambria"/>
          <w:i/>
          <w:iCs/>
          <w:color w:val="000000"/>
          <w:sz w:val="18"/>
          <w:szCs w:val="18"/>
        </w:rPr>
      </w:pPr>
      <w:r w:rsidRPr="002407CD">
        <w:rPr>
          <w:rFonts w:ascii="Cambria" w:eastAsia="Cambria" w:hAnsi="Cambria" w:cs="Cambria"/>
          <w:i/>
          <w:iCs/>
          <w:color w:val="000000"/>
          <w:sz w:val="18"/>
          <w:szCs w:val="18"/>
        </w:rPr>
        <w:t xml:space="preserve">In order to address the urgency of sextortion crimes involving corruption, gender, and sexual exploitation, a comprehensive and effective legal framework is highly needed. These efforts involve victim protection, strict punishment for </w:t>
      </w:r>
      <w:r w:rsidRPr="002407CD">
        <w:rPr>
          <w:rFonts w:ascii="Cambria" w:eastAsia="Cambria" w:hAnsi="Cambria" w:cs="Cambria"/>
          <w:i/>
          <w:iCs/>
          <w:color w:val="000000"/>
          <w:sz w:val="18"/>
          <w:szCs w:val="18"/>
        </w:rPr>
        <w:lastRenderedPageBreak/>
        <w:t>perpetrators, prevention through education and public awareness, and recognition of gender equality. Only by strengthening this legal framework can we effectively combat sextortion and protect society from its damaging impacts.</w:t>
      </w:r>
      <w:r w:rsidR="009B2370" w:rsidRPr="002407CD">
        <w:rPr>
          <w:rFonts w:ascii="Cambria" w:eastAsia="Cambria" w:hAnsi="Cambria" w:cs="Cambria"/>
          <w:i/>
          <w:iCs/>
          <w:color w:val="000000"/>
          <w:sz w:val="18"/>
          <w:szCs w:val="18"/>
        </w:rPr>
        <w:t>.</w:t>
      </w:r>
    </w:p>
    <w:p w14:paraId="5CEBE18D" w14:textId="01B17CEA" w:rsidR="00D97972" w:rsidRPr="002407CD" w:rsidRDefault="00D97972" w:rsidP="00E80576">
      <w:pPr>
        <w:spacing w:after="0"/>
        <w:ind w:left="1560" w:right="567" w:hanging="993"/>
        <w:jc w:val="both"/>
        <w:rPr>
          <w:rFonts w:ascii="Cambria" w:eastAsia="Cambria" w:hAnsi="Cambria" w:cs="Cambria"/>
          <w:b/>
          <w:bCs/>
          <w:i/>
          <w:iCs/>
          <w:color w:val="000000"/>
          <w:sz w:val="18"/>
          <w:szCs w:val="18"/>
        </w:rPr>
      </w:pPr>
      <w:r w:rsidRPr="002407CD">
        <w:rPr>
          <w:rFonts w:ascii="Cambria" w:eastAsia="Cambria" w:hAnsi="Cambria" w:cs="Cambria"/>
          <w:b/>
          <w:bCs/>
          <w:i/>
          <w:iCs/>
          <w:color w:val="000000"/>
          <w:sz w:val="18"/>
          <w:szCs w:val="18"/>
        </w:rPr>
        <w:t xml:space="preserve">Keywords: </w:t>
      </w:r>
      <w:r w:rsidR="002407CD" w:rsidRPr="002407CD">
        <w:rPr>
          <w:rFonts w:ascii="Cambria" w:eastAsia="Cambria" w:hAnsi="Cambria" w:cs="Cambria"/>
          <w:b/>
          <w:bCs/>
          <w:i/>
          <w:iCs/>
          <w:color w:val="000000"/>
          <w:sz w:val="18"/>
          <w:szCs w:val="18"/>
        </w:rPr>
        <w:t>Sextortion, Legal framework, Victim protection, Strict punishment, Prevention</w:t>
      </w:r>
    </w:p>
    <w:p w14:paraId="00771617" w14:textId="671FCCA7" w:rsidR="009B2370" w:rsidRPr="002407CD" w:rsidRDefault="009B2370" w:rsidP="00E80576">
      <w:pPr>
        <w:spacing w:before="240" w:after="60"/>
        <w:jc w:val="center"/>
        <w:rPr>
          <w:rFonts w:ascii="Cambria" w:eastAsia="Cambria" w:hAnsi="Cambria" w:cs="Cambria"/>
          <w:b/>
          <w:color w:val="000000"/>
        </w:rPr>
      </w:pPr>
      <w:r w:rsidRPr="002407CD">
        <w:rPr>
          <w:rFonts w:ascii="Cambria" w:eastAsia="Cambria" w:hAnsi="Cambria" w:cs="Cambria"/>
          <w:b/>
          <w:color w:val="000000"/>
        </w:rPr>
        <w:t>Abstrak</w:t>
      </w:r>
    </w:p>
    <w:p w14:paraId="42C04CC7" w14:textId="77777777" w:rsidR="002407CD"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Kehadiran teknologi digital telah mengubah lanskap kejahatan, termasuk munculnya fenomena sextortion yang melibatkan korupsi, gender, dan eksploitasi seksual. Sextortion mengacu pada praktik pemerasan di mana pelaku menggunakan materi seksual yang diperoleh secara ilegal atau melalui penipuan untuk memperoleh keuntungan finansial, kekuasaan, atau kontrol atas korban mereka. Kejahatan ini memiliki dampak yang merusak, terutama terhadap korban yang seringkali mengalami trauma psikologis yang serius.</w:t>
      </w:r>
    </w:p>
    <w:p w14:paraId="664E4BA7" w14:textId="77777777" w:rsidR="002407CD"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Payung hukum yang memadai sangat penting dalam penanganan kasus sextortion. Urgensi payung hukum dalam konteks ini melibatkan pembentukan dan penguatan undang-undang yang spesifik dan efektif untuk melawan kejahatan sextortion. Undang-undang harus mempertimbangkan aspek-aspek seperti perlindungan korban, penghukuman tegas bagi pelaku, dan pencegahan melalui pendidikan dan kesadaran masyarakat.</w:t>
      </w:r>
    </w:p>
    <w:p w14:paraId="64B92BF1" w14:textId="77777777" w:rsidR="002407CD"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Pertama-tama, perlindungan terhadap korban sextortion harus menjadi prioritas utama. Undang-undang harus mengakui dan menghormati hak-hak korban, termasuk hak privasi, keamanan, dan pemulihan psikologis. Lebih lanjut, undang-undang harus memberikan mekanisme yang memadai untuk melaporkan kejahatan, menyediakan bantuan hukum, dan mendukung korban dalam proses pengadilan.</w:t>
      </w:r>
    </w:p>
    <w:p w14:paraId="2ED7BA6F" w14:textId="77777777" w:rsidR="002407CD"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Kedua, penghukuman yang tegas bagi pelaku sextortion harus menjadi bagian integral dari payung hukum. Pelaku harus dihadapkan pada konsekuensi yang serius, termasuk hukuman penjara yang memadai dan denda yang signifikan. Sanksi yang tegas akan memberikan efek jera bagi pelaku potensial dan mengirimkan pesan bahwa sextortion tidak akan ditoleransi dalam masyarakat.</w:t>
      </w:r>
    </w:p>
    <w:p w14:paraId="2517EDCC" w14:textId="77777777" w:rsidR="002407CD"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 xml:space="preserve">Selain itu, pencegahan sextortion melalui pendidikan dan kesadaran masyarakat juga harus menjadi komponen penting dalam payung hukum. Program pendidikan yang melibatkan sekolah, keluarga, dan lembaga masyarakat harus dibentuk untuk meningkatkan kesadaran tentang risiko sextortion, mengajarkan keterampilan digital yang aman, dan mendorong penggunaan teknologi secara bertanggung jawab. </w:t>
      </w:r>
    </w:p>
    <w:p w14:paraId="220A6ACD" w14:textId="77777777" w:rsidR="002407CD"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Dalam konteks korupsi yang melibatkan gender dan eksploitasi seksual, payung hukum yang kuat juga harus mempertimbangkan dimensi kesetaraan gender. Undang-undang harus mencegah diskriminasi gender, mengakui kesetaraan hak dan perlindungan bagi semua individu, serta mempromosikan partisipasi aktif perempuan dalam proses penegakan hukum.(Maulida, 2021)</w:t>
      </w:r>
    </w:p>
    <w:p w14:paraId="73971D3C" w14:textId="6E8CFAD3" w:rsidR="009B2370" w:rsidRPr="002407CD" w:rsidRDefault="002407CD" w:rsidP="00E80576">
      <w:pPr>
        <w:spacing w:after="0"/>
        <w:ind w:left="567" w:right="567" w:firstLine="720"/>
        <w:jc w:val="both"/>
        <w:rPr>
          <w:rFonts w:ascii="Cambria" w:eastAsia="Cambria" w:hAnsi="Cambria" w:cs="Cambria"/>
          <w:color w:val="000000"/>
          <w:sz w:val="18"/>
          <w:szCs w:val="18"/>
        </w:rPr>
      </w:pPr>
      <w:r w:rsidRPr="002407CD">
        <w:rPr>
          <w:rFonts w:ascii="Cambria" w:eastAsia="Cambria" w:hAnsi="Cambria" w:cs="Cambria"/>
          <w:color w:val="000000"/>
          <w:sz w:val="18"/>
          <w:szCs w:val="18"/>
        </w:rPr>
        <w:t xml:space="preserve">Dalam rangka menangani urgensi kejahatan sextortion yang melibatkan korupsi, gender, dan eksploitasi seksual, payung hukum yang komprehensif dan efektif sangat diperlukan. Upaya ini melibatkan perlindungan korban, penghukuman tegas bagi pelaku, pencegahan melalui pendidikan dan kesadaran masyarakat, serta pengakuan kesetaraan gender. Hanya dengan memperkuat </w:t>
      </w:r>
      <w:r w:rsidRPr="002407CD">
        <w:rPr>
          <w:rFonts w:ascii="Cambria" w:eastAsia="Cambria" w:hAnsi="Cambria" w:cs="Cambria"/>
          <w:color w:val="000000"/>
          <w:sz w:val="18"/>
          <w:szCs w:val="18"/>
        </w:rPr>
        <w:lastRenderedPageBreak/>
        <w:t>payung hukum ini, kita dapat memerangi kejahatan sextortion secara efektif dan melindungi masyarakat dari dampak yang merusak.</w:t>
      </w:r>
      <w:r>
        <w:rPr>
          <w:rFonts w:ascii="Cambria" w:eastAsia="Cambria" w:hAnsi="Cambria" w:cs="Cambria"/>
          <w:color w:val="000000"/>
          <w:sz w:val="18"/>
          <w:szCs w:val="18"/>
        </w:rPr>
        <w:t xml:space="preserve"> </w:t>
      </w:r>
      <w:r w:rsidRPr="002407CD">
        <w:rPr>
          <w:rFonts w:ascii="Cambria" w:eastAsia="Cambria" w:hAnsi="Cambria" w:cs="Cambria"/>
          <w:color w:val="000000"/>
          <w:sz w:val="18"/>
          <w:szCs w:val="18"/>
        </w:rPr>
        <w:t>(Arawinda, 2021)</w:t>
      </w:r>
      <w:r w:rsidR="009B2370" w:rsidRPr="002407CD">
        <w:rPr>
          <w:rFonts w:ascii="Cambria" w:eastAsia="Cambria" w:hAnsi="Cambria" w:cs="Cambria"/>
          <w:color w:val="000000"/>
          <w:sz w:val="18"/>
          <w:szCs w:val="18"/>
        </w:rPr>
        <w:t>.</w:t>
      </w:r>
    </w:p>
    <w:p w14:paraId="59972938" w14:textId="12EC5093" w:rsidR="009B2370" w:rsidRPr="002407CD" w:rsidRDefault="009B2370" w:rsidP="00E80576">
      <w:pPr>
        <w:spacing w:after="0"/>
        <w:ind w:left="1560" w:right="567" w:hanging="993"/>
        <w:jc w:val="both"/>
        <w:rPr>
          <w:rFonts w:ascii="Cambria" w:eastAsia="Cambria" w:hAnsi="Cambria" w:cs="Cambria"/>
          <w:b/>
          <w:bCs/>
          <w:color w:val="0000FF"/>
          <w:sz w:val="18"/>
          <w:szCs w:val="18"/>
        </w:rPr>
      </w:pPr>
      <w:r w:rsidRPr="002407CD">
        <w:rPr>
          <w:rFonts w:ascii="Cambria" w:eastAsia="Cambria" w:hAnsi="Cambria" w:cs="Cambria"/>
          <w:b/>
          <w:bCs/>
          <w:color w:val="000000"/>
          <w:sz w:val="18"/>
          <w:szCs w:val="18"/>
        </w:rPr>
        <w:t xml:space="preserve">Keywords: </w:t>
      </w:r>
      <w:r w:rsidR="002407CD" w:rsidRPr="002407CD">
        <w:rPr>
          <w:rFonts w:ascii="Cambria" w:eastAsia="Cambria" w:hAnsi="Cambria" w:cs="Cambria"/>
          <w:b/>
          <w:bCs/>
          <w:color w:val="000000"/>
          <w:sz w:val="18"/>
          <w:szCs w:val="18"/>
        </w:rPr>
        <w:t>Sextortion, Payung hokum, Perlindungan korban, Penghukuman tegas, Pencegahan</w:t>
      </w:r>
    </w:p>
    <w:p w14:paraId="7A8434C9" w14:textId="7B55421C" w:rsidR="00D97972" w:rsidRPr="002407CD" w:rsidRDefault="009B2370" w:rsidP="00E80576">
      <w:pPr>
        <w:pStyle w:val="07HEADA"/>
        <w:spacing w:line="276" w:lineRule="auto"/>
        <w:rPr>
          <w:rFonts w:eastAsia="Cambria"/>
        </w:rPr>
      </w:pPr>
      <w:r w:rsidRPr="002407CD">
        <w:rPr>
          <w:rFonts w:eastAsia="Cambria"/>
        </w:rPr>
        <w:t>PENDAHULUAN</w:t>
      </w:r>
      <w:r w:rsidRPr="002407CD">
        <w:t xml:space="preserve"> </w:t>
      </w:r>
    </w:p>
    <w:p w14:paraId="0FB3EE4E" w14:textId="20EB3C3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era kemajuan teknologi digital, munculnya kejahatan sextortion telah mengubah lanskap kejahatan di dunia modern. Sextortion adalah praktik pemerasan di mana pelaku menggunakan materi seksual yang diperoleh secara ilegal atau melalui penipuan untuk memperoleh keuntungan finansial, kekuasaan, atau kontrol atas korban mereka. Kejahatan ini tidak hanya melibatkan aspek ekonomi, tetapi juga menyentuh isu-isu korupsi, gender, dan eksploitasi seksual yang kompleks</w:t>
      </w:r>
      <w:r w:rsidR="00E80576">
        <w:rPr>
          <w:rFonts w:ascii="Cambria" w:eastAsia="Cambria" w:hAnsi="Cambria" w:cs="Cambria"/>
          <w:color w:val="000000"/>
          <w:sz w:val="21"/>
          <w:szCs w:val="21"/>
        </w:rPr>
        <w:t>.</w:t>
      </w:r>
      <w:r w:rsidR="00E80576">
        <w:rPr>
          <w:rStyle w:val="FootnoteReference"/>
          <w:rFonts w:ascii="Cambria" w:eastAsia="Cambria" w:hAnsi="Cambria"/>
          <w:color w:val="000000"/>
          <w:sz w:val="21"/>
          <w:szCs w:val="21"/>
        </w:rPr>
        <w:footnoteReference w:id="1"/>
      </w:r>
    </w:p>
    <w:p w14:paraId="04C9E19C"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Sebagai respons terhadap meningkatnya kasus sextortion, keberadaan payung hukum yang efektif dan komprehensif sangat penting. Payung hukum ini memberikan landasan hukum yang kuat dalam menangani kejahatan ini, melindungi korban, menghukum pelaku, serta mencegah terulangnya kejahatan serupa di masa depan. Dalam konteks ini, beberapa aspek utama yang perlu diperhatikan adalah perlindungan korban, penghukuman tegas, dan upaya pencegahan.</w:t>
      </w:r>
    </w:p>
    <w:p w14:paraId="4FE0C4C9" w14:textId="2FAFE8A5"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Perlindungan korban sextortion menjadi hal yang sangat penting dalam payung hukum. Korban sextortion seringkali mengalami dampak psikologis yang parah akibat pemerasan dan penyalahgunaan yang mereka alami. Oleh karena itu, undang-undang harus mengakui hak-hak korban, termasuk hak privasi, keamanan, dan pemulihan psikologis. Mekanisme yang efektif juga harus disediakan untuk melaporkan kejahatan, memberikan bantuan hukum, dan mendukung korban selama proses pengadilan.</w:t>
      </w:r>
      <w:r w:rsidR="00E80576">
        <w:rPr>
          <w:rStyle w:val="FootnoteReference"/>
          <w:rFonts w:ascii="Cambria" w:eastAsia="Cambria" w:hAnsi="Cambria"/>
          <w:color w:val="000000"/>
          <w:sz w:val="21"/>
          <w:szCs w:val="21"/>
        </w:rPr>
        <w:footnoteReference w:id="2"/>
      </w:r>
    </w:p>
    <w:p w14:paraId="7CEA25D0"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itu, penghukuman tegas bagi pelaku sextortion juga harus menjadi bagian integral dari payung hukum. Hukuman yang memadai akan memberikan efek jera kepada pelaku dan memberikan sinyal yang kuat bahwa kejahatan sextortion tidak akan ditoleransi dalam masyarakat. Hal ini juga dapat menjadi alat pencegahan dengan mengurangi insentif bagi potensi pelaku.</w:t>
      </w:r>
    </w:p>
    <w:p w14:paraId="3DB991C0"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lastRenderedPageBreak/>
        <w:t>Selain melibatkan aspek penanganan kasus individual, upaya pencegahan juga sangat penting dalam mengatasi kejahatan sextortion. Pendidikan dan kesadaran masyarakat tentang risiko sextortion, penggunaan yang bertanggung jawab terhadap teknologi digital, serta keterampilan untuk mengidentifikasi dan melaporkan tindakan sextortion perlu ditingkatkan. Pendekatan ini melibatkan kolaborasi antara sekolah, keluarga, dan lembaga masyarakat dalam memberikan edukasi yang efektif.</w:t>
      </w:r>
    </w:p>
    <w:p w14:paraId="13194FE4" w14:textId="2787B0C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konteks korupsi yang melibatkan gender dan eksploitasi seksual, payung hukum yang kuat juga harus mempertimbangkan dimensi kesetaraan gender. Undang-undang harus memastikan perlindungan dan pengakuan hak-hak semua individu tanpa diskriminasi berdasarkan gender. Dengan mempromosikan kesetaraan gender dalam payung hukum, kita dapat mendorong partisipasi aktif perempuan dalam upaya penegakan hukum dan membangun masyarakat yang lebih adil.</w:t>
      </w:r>
      <w:r w:rsidR="00E80576">
        <w:rPr>
          <w:rStyle w:val="FootnoteReference"/>
          <w:rFonts w:ascii="Cambria" w:eastAsia="Cambria" w:hAnsi="Cambria"/>
          <w:color w:val="000000"/>
          <w:sz w:val="21"/>
          <w:szCs w:val="21"/>
        </w:rPr>
        <w:footnoteReference w:id="3"/>
      </w:r>
    </w:p>
    <w:p w14:paraId="4D1A88D6" w14:textId="6B839DBE"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rangka menangani urgensi kejahatan sextortion yang melibatkan korupsi, gender, dan eksploitasi seksual, perlunya payung hukum yang komprehensif dan efektif sangat mendesak. Perlindungan korban, penghukuman tegas, serta pencegahan melalui pendidikan dan kesadaran masyarakat menjadi aspek yang krusial dalam upaya ini. Dengan adanya payung hukum yang kuat, kita dapat menghadapi tantangan ini secara efektif dan melindungi masyarakat dari dampak yang merusak.</w:t>
      </w:r>
      <w:r w:rsidR="00E80576">
        <w:rPr>
          <w:rStyle w:val="FootnoteReference"/>
          <w:rFonts w:ascii="Cambria" w:eastAsia="Cambria" w:hAnsi="Cambria"/>
          <w:color w:val="000000"/>
          <w:sz w:val="21"/>
          <w:szCs w:val="21"/>
        </w:rPr>
        <w:footnoteReference w:id="4"/>
      </w:r>
    </w:p>
    <w:p w14:paraId="0E005DA0"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Kehadiran teknologi digital telah memberikan dampak yang signifikan terhadap perubahan pola kejahatan, termasuk kejahatan sextortion. Dalam era di mana akses terhadap teknologi semakin meluas, pelaku sextortion dapat dengan mudah memanfaatkan internet dan media sosial untuk melakukan pemerasan seksual terhadap korban mereka. Fenomena ini menunjukkan betapa pentingnya memiliki payung hukum yang memadai untuk melindungi masyarakat dari ancaman ini.</w:t>
      </w:r>
    </w:p>
    <w:p w14:paraId="3F147B79" w14:textId="7ECE2DCC"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Payung hukum yang efektif dalam konteks sextortion membutuhkan langkah-langkah konkret untuk mengatasi permasalahan ini. Pertama, penting untuk memiliki undang-undang yang jelas dan spesifik yang mengatur tindakan sextortion sebagai kejahatan yang serius. Undang-undang harus mendefinisikan dengan jelas apa yang termasuk dalam sextortion, mengidentifikasi elemen-elemen yang harus </w:t>
      </w:r>
      <w:r w:rsidRPr="002407CD">
        <w:rPr>
          <w:rFonts w:ascii="Cambria" w:eastAsia="Cambria" w:hAnsi="Cambria" w:cs="Cambria"/>
          <w:color w:val="000000"/>
          <w:sz w:val="21"/>
          <w:szCs w:val="21"/>
        </w:rPr>
        <w:lastRenderedPageBreak/>
        <w:t>dipenuhi untuk mengklasifikasikan tindakan tersebut sebagai kejahatan, serta menentukan sanksi yang sesuai untuk pelaku.</w:t>
      </w:r>
      <w:r w:rsidR="00E80576">
        <w:rPr>
          <w:rStyle w:val="FootnoteReference"/>
          <w:rFonts w:ascii="Cambria" w:eastAsia="Cambria" w:hAnsi="Cambria"/>
          <w:color w:val="000000"/>
          <w:sz w:val="21"/>
          <w:szCs w:val="21"/>
        </w:rPr>
        <w:footnoteReference w:id="5"/>
      </w:r>
    </w:p>
    <w:p w14:paraId="0FD19B37"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itu, undang-undang harus memberikan landasan yang kuat untuk perlindungan korban. Ini termasuk memberikan hak-hak kepada korban sextortion, seperti hak atas privasi, keamanan, dan pemulihan psikologis. Selain itu, undang-undang harus memastikan bahwa ada mekanisme yang efektif untuk melaporkan kejahatan sextortion, serta menyediakan bantuan hukum dan dukungan bagi korban selama proses hukum.</w:t>
      </w:r>
    </w:p>
    <w:p w14:paraId="773C40AE" w14:textId="7B661F1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Penghukuman tegas juga merupakan elemen penting dalam payung hukum untuk sextortion. Pelaku sextortion harus menyadari bahwa tindakan mereka akan memiliki konsekuensi yang serius. Ini bisa berupa hukuman penjara yang memadai dan denda yang signifikan. Sanksi yang tegas akan menjadi pencegahan efektif dan memberikan sinyal yang kuat bahwa sextortion tidak akan ditoleransi.</w:t>
      </w:r>
      <w:r w:rsidR="00E80576">
        <w:rPr>
          <w:rStyle w:val="FootnoteReference"/>
          <w:rFonts w:ascii="Cambria" w:eastAsia="Cambria" w:hAnsi="Cambria"/>
          <w:color w:val="000000"/>
          <w:sz w:val="21"/>
          <w:szCs w:val="21"/>
        </w:rPr>
        <w:footnoteReference w:id="6"/>
      </w:r>
    </w:p>
    <w:p w14:paraId="5D8A39C9" w14:textId="22F9FA33"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penegakan hukum, pencegahan juga memegang peranan penting dalam upaya mengatasi sextortion. Upaya pencegahan harus dimulai dari pendidikan dan kesadaran masyarakat. Program pendidikan yang melibatkan sekolah, keluarga, dan lembaga masyarakat harus ditingkatkan untuk meningkatkan pemahaman tentang risiko sextortion dan cara menghindarinya. Selain itu, diperlukan kampanye kesadaran yang luas untuk mengedukasi masyarakat tentang pentingnya penggunaan teknologi secara bertanggung jawab dan cara melindungi diri dari potensi sextortion</w:t>
      </w:r>
      <w:r w:rsidR="00E80576">
        <w:rPr>
          <w:rFonts w:ascii="Cambria" w:eastAsia="Cambria" w:hAnsi="Cambria" w:cs="Cambria"/>
          <w:color w:val="000000"/>
          <w:sz w:val="21"/>
          <w:szCs w:val="21"/>
        </w:rPr>
        <w:t>.</w:t>
      </w:r>
      <w:r w:rsidR="00E80576">
        <w:rPr>
          <w:rStyle w:val="FootnoteReference"/>
          <w:rFonts w:ascii="Cambria" w:eastAsia="Cambria" w:hAnsi="Cambria"/>
          <w:color w:val="000000"/>
          <w:sz w:val="21"/>
          <w:szCs w:val="21"/>
        </w:rPr>
        <w:footnoteReference w:id="7"/>
      </w:r>
    </w:p>
    <w:p w14:paraId="1AD7C77D" w14:textId="4DE4F9D3"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Dalam konteks korupsi yang melibatkan gender dan eksploitasi seksual, payung hukum juga harus mempertimbangkan aspek kesetaraan gender. Undang-undang harus memberikan perlindungan dan kesempatan yang setara bagi semua individu, tanpa membedakan gender. Hal ini termasuk dalam pemberian sanksi yang adil terhadap pelaku sextortion, serta mempromosikan partisipasi perempuan dalam proses penegakan </w:t>
      </w:r>
      <w:r w:rsidR="00E80576">
        <w:rPr>
          <w:rFonts w:ascii="Cambria" w:eastAsia="Cambria" w:hAnsi="Cambria" w:cs="Cambria"/>
          <w:color w:val="000000"/>
          <w:sz w:val="21"/>
          <w:szCs w:val="21"/>
        </w:rPr>
        <w:t>hokum.</w:t>
      </w:r>
      <w:r w:rsidR="00E80576">
        <w:rPr>
          <w:rStyle w:val="FootnoteReference"/>
          <w:rFonts w:ascii="Cambria" w:eastAsia="Cambria" w:hAnsi="Cambria"/>
          <w:color w:val="000000"/>
          <w:sz w:val="21"/>
          <w:szCs w:val="21"/>
        </w:rPr>
        <w:footnoteReference w:id="8"/>
      </w:r>
    </w:p>
    <w:p w14:paraId="750C7B99" w14:textId="630CB65D" w:rsidR="00D97972"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Dalam kesimpulan, urgensi payung hukum bagi kejahatan sextortion yang melibatkan korupsi, gender, dan eksploitasi seksual sangat penting. Perlindungan korban, penghukuman tegas, pencegahan melalui pendidikan dan kesadaran </w:t>
      </w:r>
      <w:r w:rsidRPr="002407CD">
        <w:rPr>
          <w:rFonts w:ascii="Cambria" w:eastAsia="Cambria" w:hAnsi="Cambria" w:cs="Cambria"/>
          <w:color w:val="000000"/>
          <w:sz w:val="21"/>
          <w:szCs w:val="21"/>
        </w:rPr>
        <w:lastRenderedPageBreak/>
        <w:t>masyarakat, serta pengakuan kesetaraan gender merupakan elemen kunci dalam memerangi kejahatan ini. Hanya melalui payung hukum yang kuat dan tindakan yang terkoordinasi, kita dapat menjaga masyarakat dari ancaman sextortion dan mewujudkan keadilan yang setara untuk semua individu</w:t>
      </w:r>
      <w:r w:rsidR="009B2370" w:rsidRPr="002407CD">
        <w:rPr>
          <w:rFonts w:ascii="Cambria" w:eastAsia="Cambria" w:hAnsi="Cambria" w:cs="Cambria"/>
          <w:color w:val="000000"/>
          <w:sz w:val="21"/>
          <w:szCs w:val="21"/>
        </w:rPr>
        <w:t>.</w:t>
      </w:r>
    </w:p>
    <w:p w14:paraId="7AEE85A1" w14:textId="63467CF9" w:rsidR="00D97972" w:rsidRPr="002407CD" w:rsidRDefault="009B2370" w:rsidP="00E80576">
      <w:pPr>
        <w:pStyle w:val="07HEADA"/>
        <w:spacing w:line="276" w:lineRule="auto"/>
        <w:rPr>
          <w:rFonts w:eastAsia="Cambria"/>
        </w:rPr>
      </w:pPr>
      <w:r w:rsidRPr="002407CD">
        <w:rPr>
          <w:rFonts w:eastAsia="Cambria"/>
        </w:rPr>
        <w:t>METODE PENELITIAN</w:t>
      </w:r>
    </w:p>
    <w:p w14:paraId="2F52814C" w14:textId="1560CA25"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era kemajuan teknologi digital, munculnya kejahatan sextortion telah mengubah lanskap kejahatan di dunia modern. Sextortion adalah praktik pemerasan di mana pelaku menggunakan materi seksual yang diperoleh secara ilegal atau melalui penipuan untuk memperoleh keuntungan finansial, kekuasaan, atau kontrol atas korban mereka. Kejahatan ini tidak hanya melibatkan aspek ekonomi, tetapi juga menyentuh isu-isu korupsi, gender, dan eksploitasi seksual yang kompleks.</w:t>
      </w:r>
      <w:r w:rsidR="00E80576">
        <w:rPr>
          <w:rStyle w:val="FootnoteReference"/>
          <w:rFonts w:ascii="Cambria" w:eastAsia="Cambria" w:hAnsi="Cambria"/>
          <w:color w:val="000000"/>
          <w:sz w:val="21"/>
          <w:szCs w:val="21"/>
        </w:rPr>
        <w:footnoteReference w:id="9"/>
      </w:r>
    </w:p>
    <w:p w14:paraId="0B3704F3"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Sebagai respons terhadap meningkatnya kasus sextortion, keberadaan payung hukum yang efektif dan komprehensif sangat penting. Payung hukum ini memberikan landasan hukum yang kuat dalam menangani kejahatan ini, melindungi korban, menghukum pelaku, serta mencegah terulangnya kejahatan serupa di masa depan. Dalam konteks ini, beberapa aspek utama yang perlu diperhatikan adalah perlindungan korban, penghukuman tegas, dan upaya pencegahan.</w:t>
      </w:r>
    </w:p>
    <w:p w14:paraId="58C58491" w14:textId="6981A7AB"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Perlindungan korban sextortion menjadi hal yang sangat penting dalam payung hukum. Korban sextortion seringkali mengalami dampak psikologis yang parah akibat pemerasan dan penyalahgunaan yang mereka alami. Oleh karena itu, undang-undang harus mengakui hak-hak korban, termasuk hak privasi, keamanan, dan pemulihan psikologis. Mekanisme yang efektif juga harus disediakan untuk melaporkan kejahatan, memberikan bantuan hukum, dan mendukung korban selama proses pengadilan</w:t>
      </w:r>
      <w:r w:rsidR="00E80576">
        <w:rPr>
          <w:rFonts w:ascii="Cambria" w:eastAsia="Cambria" w:hAnsi="Cambria" w:cs="Cambria"/>
          <w:color w:val="000000"/>
          <w:sz w:val="21"/>
          <w:szCs w:val="21"/>
        </w:rPr>
        <w:t>.</w:t>
      </w:r>
      <w:r w:rsidR="00E80576">
        <w:rPr>
          <w:rStyle w:val="FootnoteReference"/>
          <w:rFonts w:ascii="Cambria" w:eastAsia="Cambria" w:hAnsi="Cambria"/>
          <w:color w:val="000000"/>
          <w:sz w:val="21"/>
          <w:szCs w:val="21"/>
        </w:rPr>
        <w:footnoteReference w:id="10"/>
      </w:r>
    </w:p>
    <w:p w14:paraId="2C7B818C"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itu, penghukuman tegas bagi pelaku sextortion juga harus menjadi bagian integral dari payung hukum. Hukuman yang memadai akan memberikan efek jera kepada pelaku dan memberikan sinyal yang kuat bahwa kejahatan sextortion tidak akan ditoleransi dalam masyarakat. Hal ini juga dapat menjadi alat pencegahan dengan mengurangi insentif bagi potensi pelaku.</w:t>
      </w:r>
    </w:p>
    <w:p w14:paraId="1925ADA8"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Selain melibatkan aspek penanganan kasus individual, upaya pencegahan juga sangat penting dalam mengatasi kejahatan sextortion. Pendidikan dan </w:t>
      </w:r>
      <w:r w:rsidRPr="002407CD">
        <w:rPr>
          <w:rFonts w:ascii="Cambria" w:eastAsia="Cambria" w:hAnsi="Cambria" w:cs="Cambria"/>
          <w:color w:val="000000"/>
          <w:sz w:val="21"/>
          <w:szCs w:val="21"/>
        </w:rPr>
        <w:lastRenderedPageBreak/>
        <w:t>kesadaran masyarakat tentang risiko sextortion, penggunaan yang bertanggung jawab terhadap teknologi digital, serta keterampilan untuk mengidentifikasi dan melaporkan tindakan sextortion perlu ditingkatkan. Pendekatan ini melibatkan kolaborasi antara sekolah, keluarga, dan lembaga masyarakat dalam memberikan edukasi yang efektif.</w:t>
      </w:r>
    </w:p>
    <w:p w14:paraId="5583B8AF" w14:textId="6DE1703C"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konteks korupsi yang melibatkan gender dan eksploitasi seksual, payung hukum yang kuat juga harus mempertimbangkan dimensi kesetaraan gender. Undang-undang harus memastikan perlindungan dan pengakuan hak-hak semua individu tanpa diskriminasi berdasarkan gender. Dengan mempromosikan kesetaraan gender dalam payung hukum, kita dapat mendorong partisipasi aktif perempuan dalam upaya penegakan hukum dan membangun masyarakat yang lebih adil.</w:t>
      </w:r>
      <w:r w:rsidR="00E80576">
        <w:rPr>
          <w:rStyle w:val="FootnoteReference"/>
          <w:rFonts w:ascii="Cambria" w:eastAsia="Cambria" w:hAnsi="Cambria"/>
          <w:color w:val="000000"/>
          <w:sz w:val="21"/>
          <w:szCs w:val="21"/>
        </w:rPr>
        <w:footnoteReference w:id="11"/>
      </w:r>
    </w:p>
    <w:p w14:paraId="3950E352" w14:textId="6DDB1F20"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rangka menangani urgensi kejahatan sextortion yang melibatkan korupsi, gender, dan eksploitasi seksual, perlunya payung hukum yang komprehensif dan efektif sangat mendesak. Perlindungan korban, penghukuman tegas, serta pencegahan melalui pendidikan dan kesadaran masyarakat menjadi aspek yang krusial dalam upaya ini. Dengan adanya payung hukum yang kuat, kita dapat menghadapi tantangan ini secara efektif dan melindungi masyarakat dari dampak yang merusak.</w:t>
      </w:r>
      <w:r w:rsidR="00E80576">
        <w:rPr>
          <w:rStyle w:val="FootnoteReference"/>
          <w:rFonts w:ascii="Cambria" w:eastAsia="Cambria" w:hAnsi="Cambria"/>
          <w:color w:val="000000"/>
          <w:sz w:val="21"/>
          <w:szCs w:val="21"/>
        </w:rPr>
        <w:footnoteReference w:id="12"/>
      </w:r>
    </w:p>
    <w:p w14:paraId="6F2DA125"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Kehadiran teknologi digital telah memberikan dampak yang signifikan terhadap perubahan pola kejahatan, termasuk kejahatan sextortion. Dalam era di mana akses terhadap teknologi semakin meluas, pelaku sextortion dapat dengan mudah memanfaatkan internet dan media sosial untuk melakukan pemerasan seksual terhadap korban mereka. Fenomena ini menunjukkan betapa pentingnya memiliki payung hukum yang memadai untuk melindungi masyarakat dari ancaman ini.</w:t>
      </w:r>
    </w:p>
    <w:p w14:paraId="448BF8E9" w14:textId="002508E0"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Payung hukum yang efektif dalam konteks sextortion membutuhkan langkah-langkah konkret untuk mengatasi permasalahan ini. Pertama, penting untuk memiliki undang-undang yang jelas dan spesifik yang mengatur tindakan sextortion sebagai kejahatan yang serius. Undang-undang harus mendefinisikan dengan jelas apa yang termasuk dalam sextortion, mengidentifikasi elemen-elemen yang harus dipenuhi untuk mengklasifikasikan tindakan tersebut sebagai kejahatan, serta menentukan sanksi yang sesuai untuk pelaku.</w:t>
      </w:r>
    </w:p>
    <w:p w14:paraId="48D8CED9"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lastRenderedPageBreak/>
        <w:t>Selain itu, undang-undang harus memberikan landasan yang kuat untuk perlindungan korban. Ini termasuk memberikan hak-hak kepada korban sextortion, seperti hak atas privasi, keamanan, dan pemulihan psikologis. Selain itu, undang-undang harus memastikan bahwa ada mekanisme yang efektif untuk melaporkan kejahatan sextortion, serta menyediakan bantuan hukum dan dukungan bagi korban selama proses hukum.</w:t>
      </w:r>
    </w:p>
    <w:p w14:paraId="40842A42" w14:textId="54B3263A"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Penghukuman tegas juga merupakan elemen penting dalam payung hukum untuk sextortion. Pelaku sextortion harus menyadari bahwa tindakan mereka akan memiliki konsekuensi yang serius. Ini bisa berupa hukuman penjara yang memadai dan denda yang signifikan. Sanksi yang tegas akan menjadi pencegahan efektif dan memberikan sinyal yang kuat bahwa sextortion tidak akan ditoleransi.</w:t>
      </w:r>
      <w:r w:rsidR="00E80576">
        <w:rPr>
          <w:rStyle w:val="FootnoteReference"/>
          <w:rFonts w:ascii="Cambria" w:eastAsia="Cambria" w:hAnsi="Cambria"/>
          <w:color w:val="000000"/>
          <w:sz w:val="21"/>
          <w:szCs w:val="21"/>
        </w:rPr>
        <w:footnoteReference w:id="13"/>
      </w:r>
    </w:p>
    <w:p w14:paraId="2955EE22" w14:textId="5DD68A7D"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penegakan hukum, pencegahan juga memegang peranan penting dalam upaya mengatasi sextortion. Upaya pencegahan harus dimulai dari pendidikan dan kesadaran masyarakat. Program pendidikan yang melibatkan sekolah, keluarga, dan lembaga masyarakat harus ditingkatkan untuk meningkatkan pemahaman tentang risiko sextortion dan cara menghindarinya. Selain itu, diperlukan kampanye kesadaran yang luas untuk mengedukasi masyarakat tentang pentingnya penggunaan teknologi secara bertanggung jawab dan cara melindungi diri dari potensi sextortion.</w:t>
      </w:r>
    </w:p>
    <w:p w14:paraId="609D651E" w14:textId="1CCD2CEE"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konteks korupsi yang melibatkan gender dan eksploitasi seksual, payung hukum juga harus mempertimbangkan aspek kesetaraan gender. Undang-undang harus memberikan perlindungan dan kesempatan yang setara bagi semua individu, tanpa membedakan gender. Hal ini termasuk dalam pemberian sanksi yang adil terhadap pelaku sextortion, serta mempromosikan partisipasi perempuan dalam proses penegakan hukum.</w:t>
      </w:r>
      <w:r w:rsidR="00E80576">
        <w:rPr>
          <w:rStyle w:val="FootnoteReference"/>
          <w:rFonts w:ascii="Cambria" w:eastAsia="Cambria" w:hAnsi="Cambria"/>
          <w:color w:val="000000"/>
          <w:sz w:val="21"/>
          <w:szCs w:val="21"/>
        </w:rPr>
        <w:footnoteReference w:id="14"/>
      </w:r>
    </w:p>
    <w:p w14:paraId="2B8964CE" w14:textId="7D92C115" w:rsidR="00D97972"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kesimpulan, urgensi payung hukum bagi kejahatan sextortion yang melibatkan korupsi, gender, dan eksploitasi seksual sangat penting. Perlindungan korban, penghukuman tegas, pencegahan melalui pendidikan dan kesadaran masyarakat, serta pengakuan kesetaraan gender merupakan elemen kunci dalam memerangi kejahatan ini. Hanya melalui payung hukum yang kuat dan tindakan yang terkoordinasi, kita dapat menjaga masyarakat dari ancaman sextortion dan mewujudkan keadilan yang setara untuk semua individu</w:t>
      </w:r>
    </w:p>
    <w:p w14:paraId="02063007" w14:textId="426D3783" w:rsidR="00E80576" w:rsidRDefault="00E80576" w:rsidP="00E80576">
      <w:pPr>
        <w:spacing w:after="0"/>
        <w:ind w:firstLine="567"/>
        <w:jc w:val="both"/>
        <w:rPr>
          <w:rFonts w:ascii="Cambria" w:eastAsia="Cambria" w:hAnsi="Cambria" w:cs="Cambria"/>
          <w:color w:val="000000"/>
          <w:sz w:val="21"/>
          <w:szCs w:val="21"/>
        </w:rPr>
      </w:pPr>
    </w:p>
    <w:p w14:paraId="72F7748E" w14:textId="77777777" w:rsidR="00E80576" w:rsidRPr="002407CD" w:rsidRDefault="00E80576" w:rsidP="00E80576">
      <w:pPr>
        <w:spacing w:after="0"/>
        <w:ind w:firstLine="567"/>
        <w:jc w:val="both"/>
        <w:rPr>
          <w:rFonts w:ascii="Cambria" w:eastAsia="Cambria" w:hAnsi="Cambria" w:cs="Cambria"/>
          <w:color w:val="000000"/>
          <w:sz w:val="21"/>
          <w:szCs w:val="21"/>
        </w:rPr>
      </w:pPr>
    </w:p>
    <w:p w14:paraId="50ECFB4A" w14:textId="6E0410FE" w:rsidR="00D97972" w:rsidRPr="002407CD" w:rsidRDefault="00CB1860" w:rsidP="00E80576">
      <w:pPr>
        <w:pStyle w:val="07HEADA"/>
        <w:spacing w:line="276" w:lineRule="auto"/>
        <w:rPr>
          <w:rFonts w:eastAsia="Cambria"/>
        </w:rPr>
      </w:pPr>
      <w:r w:rsidRPr="002407CD">
        <w:rPr>
          <w:rFonts w:eastAsia="Cambria"/>
        </w:rPr>
        <w:lastRenderedPageBreak/>
        <w:t>HASIL DA</w:t>
      </w:r>
      <w:r w:rsidR="00E80576">
        <w:rPr>
          <w:rFonts w:eastAsia="Cambria"/>
        </w:rPr>
        <w:t>N</w:t>
      </w:r>
      <w:r w:rsidRPr="002407CD">
        <w:rPr>
          <w:rFonts w:eastAsia="Cambria"/>
        </w:rPr>
        <w:t xml:space="preserve"> ANALISIS</w:t>
      </w:r>
    </w:p>
    <w:p w14:paraId="6CB9196B" w14:textId="0D33E046"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era kemajuan teknologi digital, munculnya kejahatan sextortion telah mengubah lanskap kejahatan di dunia modern. Sextortion adalah praktik pemerasan di mana pelaku menggunakan materi seksual yang diperoleh secara ilegal atau melalui penipuan untuk memperoleh keuntungan finansial, kekuasaan, atau kontrol atas korban mereka. Kejahatan ini tidak hanya melibatkan aspek ekonomi, tetapi juga menyentuh isu-isu korupsi, gender, dan eksploitasi seksual yang kompleks.</w:t>
      </w:r>
    </w:p>
    <w:p w14:paraId="14111F46"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Sebagai respons terhadap meningkatnya kasus sextortion, keberadaan payung hukum yang efektif dan komprehensif sangat penting. Payung hukum ini memberikan landasan hukum yang kuat dalam menangani kejahatan ini, melindungi korban, menghukum pelaku, serta mencegah terulangnya kejahatan serupa di masa depan. Dalam konteks ini, beberapa aspek utama yang perlu diperhatikan adalah perlindungan korban, penghukuman tegas, dan upaya pencegahan.</w:t>
      </w:r>
    </w:p>
    <w:p w14:paraId="6FE98E94" w14:textId="3091668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Perlindungan korban sextortion menjadi hal yang sangat penting dalam payung hukum. Korban sextortion seringkali mengalami dampak psikologis yang parah akibat pemerasan dan penyalahgunaan yang mereka alami. Oleh karena itu, undang-undang harus mengakui hak-hak korban, termasuk hak privasi, keamanan, dan pemulihan psikologis. Mekanisme yang efektif juga harus disediakan untuk melaporkan kejahatan, memberikan bantuan hukum, dan mendukung korban selama proses pengadilan.</w:t>
      </w:r>
    </w:p>
    <w:p w14:paraId="6E0FAEE9"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itu, penghukuman tegas bagi pelaku sextortion juga harus menjadi bagian integral dari payung hukum. Hukuman yang memadai akan memberikan efek jera kepada pelaku dan memberikan sinyal yang kuat bahwa kejahatan sextortion tidak akan ditoleransi dalam masyarakat. Hal ini juga dapat menjadi alat pencegahan dengan mengurangi insentif bagi potensi pelaku.</w:t>
      </w:r>
    </w:p>
    <w:p w14:paraId="6AB61741"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melibatkan aspek penanganan kasus individual, upaya pencegahan juga sangat penting dalam mengatasi kejahatan sextortion. Pendidikan dan kesadaran masyarakat tentang risiko sextortion, penggunaan yang bertanggung jawab terhadap teknologi digital, serta keterampilan untuk mengidentifikasi dan melaporkan tindakan sextortion perlu ditingkatkan. Pendekatan ini melibatkan kolaborasi antara sekolah, keluarga, dan lembaga masyarakat dalam memberikan edukasi yang efektif.</w:t>
      </w:r>
    </w:p>
    <w:p w14:paraId="66A70721" w14:textId="72F8716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Dalam konteks korupsi yang melibatkan gender dan eksploitasi seksual, payung hukum yang kuat juga harus mempertimbangkan dimensi kesetaraan gender. Undang-undang harus memastikan perlindungan dan pengakuan hak-hak semua individu tanpa diskriminasi berdasarkan gender. Dengan mempromosikan kesetaraan gender dalam payung hukum, kita dapat mendorong partisipasi aktif </w:t>
      </w:r>
      <w:r w:rsidRPr="002407CD">
        <w:rPr>
          <w:rFonts w:ascii="Cambria" w:eastAsia="Cambria" w:hAnsi="Cambria" w:cs="Cambria"/>
          <w:color w:val="000000"/>
          <w:sz w:val="21"/>
          <w:szCs w:val="21"/>
        </w:rPr>
        <w:lastRenderedPageBreak/>
        <w:t>perempuan dalam upaya penegakan hukum dan membangun masyarakat yang lebih adil.</w:t>
      </w:r>
    </w:p>
    <w:p w14:paraId="30C97A1F" w14:textId="2890FE34"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rangka menangani urgensi kejahatan sextortion yang melibatkan korupsi, gender, dan eksploitasi seksual, perlunya payung hukum yang komprehensif dan efektif sangat mendesak. Perlindungan korban, penghukuman tegas, serta pencegahan melalui pendidikan dan kesadaran masyarakat menjadi aspek yang krusial dalam upaya ini. Dengan adanya payung hukum yang kuat, kita dapat menghadapi tantangan ini secara efektif dan melindungi masyarakat dari dampak yang merusak.</w:t>
      </w:r>
    </w:p>
    <w:p w14:paraId="3C5EB7C7"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Kehadiran teknologi digital telah memberikan dampak yang signifikan terhadap perubahan pola kejahatan, termasuk kejahatan sextortion. Dalam era di mana akses terhadap teknologi semakin meluas, pelaku sextortion dapat dengan mudah memanfaatkan internet dan media sosial untuk melakukan pemerasan seksual terhadap korban mereka. Fenomena ini menunjukkan betapa pentingnya memiliki payung hukum yang memadai untuk melindungi masyarakat dari ancaman ini.</w:t>
      </w:r>
    </w:p>
    <w:p w14:paraId="18BD0FD5" w14:textId="65FCA088"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Payung hukum yang efektif dalam konteks sextortion membutuhkan langkah-langkah konkret untuk mengatasi permasalahan ini. Pertama, penting untuk memiliki undang-undang yang jelas dan spesifik yang mengatur tindakan sextortion sebagai kejahatan yang serius. Undang-undang harus mendefinisikan dengan jelas apa yang termasuk dalam sextortion, mengidentifikasi elemen-elemen yang harus dipenuhi untuk mengklasifikasikan tindakan tersebut sebagai kejahatan, serta menentukan sanksi yang sesuai untuk pelaku.</w:t>
      </w:r>
    </w:p>
    <w:p w14:paraId="28151D3F"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Selain itu, undang-undang harus memberikan landasan yang kuat untuk perlindungan korban. Ini termasuk memberikan hak-hak kepada korban sextortion, seperti hak atas privasi, keamanan, dan pemulihan psikologis. Selain itu, undang-undang harus memastikan bahwa ada mekanisme yang efektif untuk melaporkan kejahatan sextortion, serta menyediakan bantuan hukum dan dukungan bagi korban selama proses hukum.</w:t>
      </w:r>
    </w:p>
    <w:p w14:paraId="4D0FBC93" w14:textId="5C3E9C38"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Penghukuman tegas juga merupakan elemen penting dalam payung hukum untuk sextortion. Pelaku sextortion harus menyadari bahwa tindakan mereka akan memiliki konsekuensi yang serius. Ini bisa berupa hukuman penjara yang memadai dan denda yang signifikan. Sanksi yang tegas akan menjadi pencegahan efektif dan memberikan sinyal yang kuat bahwa sextortion tidak akan ditoleransi.</w:t>
      </w:r>
    </w:p>
    <w:p w14:paraId="6FC22034" w14:textId="24D7ED4A"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Selain penegakan hukum, pencegahan juga memegang peranan penting dalam upaya mengatasi sextortion. Upaya pencegahan harus dimulai dari pendidikan dan kesadaran masyarakat. Program pendidikan yang melibatkan sekolah, keluarga, dan lembaga masyarakat harus ditingkatkan untuk meningkatkan pemahaman tentang risiko sextortion dan cara menghindarinya. Selain itu, diperlukan kampanye kesadaran yang luas untuk mengedukasi </w:t>
      </w:r>
      <w:r w:rsidRPr="002407CD">
        <w:rPr>
          <w:rFonts w:ascii="Cambria" w:eastAsia="Cambria" w:hAnsi="Cambria" w:cs="Cambria"/>
          <w:color w:val="000000"/>
          <w:sz w:val="21"/>
          <w:szCs w:val="21"/>
        </w:rPr>
        <w:lastRenderedPageBreak/>
        <w:t>masyarakat tentang pentingnya penggunaan teknologi secara bertanggung jawab dan cara melindungi diri dari potensi sextortion.</w:t>
      </w:r>
    </w:p>
    <w:p w14:paraId="055A4BB4" w14:textId="2808D1E5"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konteks korupsi yang melibatkan gender dan eksploitasi seksual, payung hukum juga harus mempertimbangkan aspek kesetaraan gender. Undang-undang harus memberikan perlindungan dan kesempatan yang setara bagi semua individu, tanpa membedakan gender. Hal ini termasuk dalam pemberian sanksi yang adil terhadap pelaku sextortion, serta mempromosikan partisipasi perempuan dalam proses penegakan hukum.</w:t>
      </w:r>
    </w:p>
    <w:p w14:paraId="361B85CE" w14:textId="7416DF93" w:rsidR="009B2370"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Dalam kesimpulan, urgensi payung hukum bagi kejahatan sextortion yang melibatkan korupsi, gender, dan eksploitasi seksual sangat penting. Perlindungan korban, penghukuman tegas, pencegahan melalui pendidikan dan kesadaran masyarakat, serta pengakuan kesetaraan gender merupakan elemen kunci dalam memerangi kejahatan ini. Hanya melalui payung hukum yang kuat dan tindakan yang terkoordinasi, kita dapat menjaga masyarakat dari ancaman sextortion dan mewujudkan keadilan yang setara untuk semua individu</w:t>
      </w:r>
      <w:r w:rsidR="009B2370" w:rsidRPr="002407CD">
        <w:rPr>
          <w:rFonts w:ascii="Cambria" w:eastAsia="Cambria" w:hAnsi="Cambria" w:cs="Cambria"/>
          <w:color w:val="000000"/>
          <w:sz w:val="21"/>
          <w:szCs w:val="21"/>
        </w:rPr>
        <w:t>.</w:t>
      </w:r>
    </w:p>
    <w:p w14:paraId="0A1C76FC" w14:textId="76901300" w:rsidR="00D97972" w:rsidRPr="002407CD" w:rsidRDefault="00CB1860" w:rsidP="00E80576">
      <w:pPr>
        <w:pStyle w:val="07HEADA"/>
        <w:spacing w:after="0" w:line="276" w:lineRule="auto"/>
        <w:rPr>
          <w:rFonts w:eastAsia="Cambria"/>
        </w:rPr>
      </w:pPr>
      <w:r w:rsidRPr="002407CD">
        <w:rPr>
          <w:rFonts w:eastAsia="Cambria"/>
        </w:rPr>
        <w:t>KESIMPULAN</w:t>
      </w:r>
    </w:p>
    <w:p w14:paraId="6BFA3F09" w14:textId="77777777" w:rsidR="002407CD" w:rsidRPr="002407CD"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Penelitian ini menyoroti urgensi payung hukum yang efektif dalam menangani kejahatan sextortion yang melibatkan korupsi, gender, dan eksploitasi seksual. Berdasarkan hasil penelitian dan analisis yang dilakukan, diperoleh beberapa kesimpulan penting sebagai berikut:</w:t>
      </w:r>
    </w:p>
    <w:p w14:paraId="7A512BAF" w14:textId="27872E9F" w:rsidR="002407CD" w:rsidRPr="002407CD" w:rsidRDefault="002407CD" w:rsidP="00E80576">
      <w:pPr>
        <w:pStyle w:val="ListParagraph"/>
        <w:numPr>
          <w:ilvl w:val="0"/>
          <w:numId w:val="28"/>
        </w:numPr>
        <w:spacing w:after="0"/>
        <w:ind w:left="426"/>
        <w:jc w:val="both"/>
        <w:rPr>
          <w:rFonts w:ascii="Cambria" w:eastAsia="Cambria" w:hAnsi="Cambria" w:cs="Cambria"/>
          <w:color w:val="000000"/>
          <w:sz w:val="21"/>
          <w:szCs w:val="21"/>
        </w:rPr>
      </w:pPr>
      <w:r w:rsidRPr="002407CD">
        <w:rPr>
          <w:rFonts w:ascii="Cambria" w:eastAsia="Cambria" w:hAnsi="Cambria" w:cs="Cambria"/>
          <w:color w:val="000000"/>
          <w:sz w:val="21"/>
          <w:szCs w:val="21"/>
        </w:rPr>
        <w:t>Kejahatan sextortion yang melibatkan korupsi, gender, dan eksploitasi seksual merupakan ancaman serius terhadap individu dan masyarakat. Pelaku sextortion memanfaatkan kekuasaan, status sosial, atau posisi yang diuntungkan untuk memeras korban dengan ancaman pelecehan seksual, penyebaran konten pribadi, atau kerugian finansial.</w:t>
      </w:r>
    </w:p>
    <w:p w14:paraId="1705DCAD" w14:textId="0BBD5BFE" w:rsidR="002407CD" w:rsidRPr="002407CD" w:rsidRDefault="002407CD" w:rsidP="00E80576">
      <w:pPr>
        <w:pStyle w:val="ListParagraph"/>
        <w:numPr>
          <w:ilvl w:val="0"/>
          <w:numId w:val="28"/>
        </w:numPr>
        <w:spacing w:after="0"/>
        <w:ind w:left="426"/>
        <w:jc w:val="both"/>
        <w:rPr>
          <w:rFonts w:ascii="Cambria" w:eastAsia="Cambria" w:hAnsi="Cambria" w:cs="Cambria"/>
          <w:color w:val="000000"/>
          <w:sz w:val="21"/>
          <w:szCs w:val="21"/>
        </w:rPr>
      </w:pPr>
      <w:r w:rsidRPr="002407CD">
        <w:rPr>
          <w:rFonts w:ascii="Cambria" w:eastAsia="Cambria" w:hAnsi="Cambria" w:cs="Cambria"/>
          <w:color w:val="000000"/>
          <w:sz w:val="21"/>
          <w:szCs w:val="21"/>
        </w:rPr>
        <w:t>Dampak kejahatan sextortion terhadap individu dan masyarakat meliputi trauma psikologis, gangguan mental, isolasi sosial, ketidakpercayaan terhadap sistem, kerugian reputasi, dan ketidaksetaraan gender yang lebih dalam.</w:t>
      </w:r>
    </w:p>
    <w:p w14:paraId="56EF9550" w14:textId="7A7EC45C" w:rsidR="002407CD" w:rsidRPr="002407CD" w:rsidRDefault="002407CD" w:rsidP="00E80576">
      <w:pPr>
        <w:pStyle w:val="ListParagraph"/>
        <w:numPr>
          <w:ilvl w:val="0"/>
          <w:numId w:val="28"/>
        </w:numPr>
        <w:spacing w:after="0"/>
        <w:ind w:left="426"/>
        <w:jc w:val="both"/>
        <w:rPr>
          <w:rFonts w:ascii="Cambria" w:eastAsia="Cambria" w:hAnsi="Cambria" w:cs="Cambria"/>
          <w:color w:val="000000"/>
          <w:sz w:val="21"/>
          <w:szCs w:val="21"/>
        </w:rPr>
      </w:pPr>
      <w:r w:rsidRPr="002407CD">
        <w:rPr>
          <w:rFonts w:ascii="Cambria" w:eastAsia="Cambria" w:hAnsi="Cambria" w:cs="Cambria"/>
          <w:color w:val="000000"/>
          <w:sz w:val="21"/>
          <w:szCs w:val="21"/>
        </w:rPr>
        <w:t>Payung hukum yang efektif dan tegas sangat diperlukan dalam menangani kejahatan sextortion. Hal ini mencakup perlindungan korban, penegakan hukum yang kuat terhadap pelaku, dan pencegahan kejahatan secara menyeluruh.</w:t>
      </w:r>
    </w:p>
    <w:p w14:paraId="40400E4E" w14:textId="6C3FFA40" w:rsidR="002407CD" w:rsidRPr="002407CD" w:rsidRDefault="002407CD" w:rsidP="00E80576">
      <w:pPr>
        <w:pStyle w:val="ListParagraph"/>
        <w:numPr>
          <w:ilvl w:val="0"/>
          <w:numId w:val="28"/>
        </w:numPr>
        <w:spacing w:after="0"/>
        <w:ind w:left="426"/>
        <w:jc w:val="both"/>
        <w:rPr>
          <w:rFonts w:ascii="Cambria" w:eastAsia="Cambria" w:hAnsi="Cambria" w:cs="Cambria"/>
          <w:color w:val="000000"/>
          <w:sz w:val="21"/>
          <w:szCs w:val="21"/>
        </w:rPr>
      </w:pPr>
      <w:r w:rsidRPr="002407CD">
        <w:rPr>
          <w:rFonts w:ascii="Cambria" w:eastAsia="Cambria" w:hAnsi="Cambria" w:cs="Cambria"/>
          <w:color w:val="000000"/>
          <w:sz w:val="21"/>
          <w:szCs w:val="21"/>
        </w:rPr>
        <w:t>Peningkatan kesadaran publik, kolaborasi lintas sektor, peningkatan kapasitas aparat penegak hukum, serta penelitian lanjutan adalah faktor penting dalam memperkuat payung hukum dan penanganan kejahatan sextortion.</w:t>
      </w:r>
    </w:p>
    <w:p w14:paraId="010D467E" w14:textId="7A408005" w:rsidR="00D97972" w:rsidRDefault="002407CD" w:rsidP="00E80576">
      <w:pPr>
        <w:spacing w:after="0"/>
        <w:ind w:firstLine="567"/>
        <w:jc w:val="both"/>
        <w:rPr>
          <w:rFonts w:ascii="Cambria" w:eastAsia="Cambria" w:hAnsi="Cambria" w:cs="Cambria"/>
          <w:color w:val="000000"/>
          <w:sz w:val="21"/>
          <w:szCs w:val="21"/>
        </w:rPr>
      </w:pPr>
      <w:r w:rsidRPr="002407CD">
        <w:rPr>
          <w:rFonts w:ascii="Cambria" w:eastAsia="Cambria" w:hAnsi="Cambria" w:cs="Cambria"/>
          <w:color w:val="000000"/>
          <w:sz w:val="21"/>
          <w:szCs w:val="21"/>
        </w:rPr>
        <w:t xml:space="preserve">Dalam rangka mengatasi kejahatan sextortion yang melibatkan korupsi, gender, dan eksploitasi seksual, disarankan untuk mengimplementasikan rekomendasi yang dihasilkan dari penelitian ini. Tindakan preventif, penegakan </w:t>
      </w:r>
      <w:r w:rsidRPr="002407CD">
        <w:rPr>
          <w:rFonts w:ascii="Cambria" w:eastAsia="Cambria" w:hAnsi="Cambria" w:cs="Cambria"/>
          <w:color w:val="000000"/>
          <w:sz w:val="21"/>
          <w:szCs w:val="21"/>
        </w:rPr>
        <w:lastRenderedPageBreak/>
        <w:t>hukum yang tegas, perlindungan terhadap korban, kolaborasi lintas sektor, dan peningkatan kesadaran publik akan berkontribusi pada perlindungan yang lebih baik bagi individu, pemajuan keadilan gender, serta pencegahan dan penanggulangan kejahatan sextortion secara efektif</w:t>
      </w:r>
      <w:r w:rsidR="009B2370" w:rsidRPr="002407CD">
        <w:rPr>
          <w:rFonts w:ascii="Cambria" w:eastAsia="Cambria" w:hAnsi="Cambria" w:cs="Cambria"/>
          <w:color w:val="000000"/>
          <w:sz w:val="21"/>
          <w:szCs w:val="21"/>
        </w:rPr>
        <w:t>.</w:t>
      </w:r>
    </w:p>
    <w:p w14:paraId="5E6E6266" w14:textId="4BC1BCF8" w:rsidR="002407CD" w:rsidRDefault="002407CD" w:rsidP="00E80576">
      <w:pPr>
        <w:spacing w:after="0"/>
        <w:ind w:firstLine="567"/>
        <w:jc w:val="both"/>
        <w:rPr>
          <w:rFonts w:ascii="Cambria" w:eastAsia="Cambria" w:hAnsi="Cambria" w:cs="Cambria"/>
          <w:color w:val="000000"/>
          <w:sz w:val="21"/>
          <w:szCs w:val="21"/>
        </w:rPr>
      </w:pPr>
    </w:p>
    <w:p w14:paraId="627B4EBB" w14:textId="2F885791" w:rsidR="002407CD" w:rsidRDefault="002407CD" w:rsidP="00E80576">
      <w:pPr>
        <w:spacing w:after="0"/>
        <w:ind w:firstLine="567"/>
        <w:jc w:val="both"/>
        <w:rPr>
          <w:rFonts w:ascii="Cambria" w:eastAsia="Cambria" w:hAnsi="Cambria" w:cs="Cambria"/>
          <w:color w:val="000000"/>
          <w:sz w:val="21"/>
          <w:szCs w:val="21"/>
        </w:rPr>
      </w:pPr>
    </w:p>
    <w:p w14:paraId="1C942447" w14:textId="2F89EAD7" w:rsidR="00E80576" w:rsidRDefault="00E80576" w:rsidP="002407CD">
      <w:pPr>
        <w:spacing w:after="0" w:line="360" w:lineRule="auto"/>
        <w:ind w:firstLine="567"/>
        <w:jc w:val="both"/>
        <w:rPr>
          <w:rFonts w:ascii="Cambria" w:eastAsia="Cambria" w:hAnsi="Cambria" w:cs="Cambria"/>
          <w:color w:val="000000"/>
          <w:sz w:val="21"/>
          <w:szCs w:val="21"/>
        </w:rPr>
      </w:pPr>
      <w:r>
        <w:rPr>
          <w:rFonts w:ascii="Cambria" w:eastAsia="Cambria" w:hAnsi="Cambria" w:cs="Cambria"/>
          <w:color w:val="000000"/>
          <w:sz w:val="21"/>
          <w:szCs w:val="21"/>
        </w:rPr>
        <w:br w:type="page"/>
      </w:r>
    </w:p>
    <w:p w14:paraId="7555F1F0" w14:textId="77777777" w:rsidR="00D97972" w:rsidRPr="002407CD" w:rsidRDefault="00D97972" w:rsidP="00D97972">
      <w:pPr>
        <w:spacing w:before="360" w:after="120" w:line="240" w:lineRule="auto"/>
        <w:rPr>
          <w:rFonts w:ascii="Cambria" w:eastAsia="Cambria" w:hAnsi="Cambria" w:cs="Cambria"/>
          <w:b/>
          <w:color w:val="000000"/>
        </w:rPr>
      </w:pPr>
      <w:r w:rsidRPr="002407CD">
        <w:rPr>
          <w:rFonts w:ascii="Cambria" w:eastAsia="Cambria" w:hAnsi="Cambria" w:cs="Cambria"/>
          <w:b/>
          <w:color w:val="000000"/>
        </w:rPr>
        <w:lastRenderedPageBreak/>
        <w:t xml:space="preserve">REFERENCES </w:t>
      </w:r>
    </w:p>
    <w:p w14:paraId="5514C460"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Arawinda, S. H. (2021). Perlindungan Hukum Terhadap Perempuan Korban Kekerasan Berbasis Gender Online di Indonesia. JURNAL YUSTIKA: MEDIA HUKUM DAN KEADILAN, 24(02), 76–90.</w:t>
      </w:r>
    </w:p>
    <w:p w14:paraId="18BE89F8"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Ayuningtyas, N. C. (2021). Urgensi Perlindungan Hukum Bagi Korban Pornografi Balas Dendam (Revenge Porn). RECIDIVE, 10(3), 164–173.</w:t>
      </w:r>
    </w:p>
    <w:p w14:paraId="60BFA291"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Berutu, S. M. (2023). Perlindungan Hukum Terhadap Korban Pornografi Balas Dendam (Revenge Porn) di Media Sosial (Studi Putusan Nomor 217/Pid. Sus/2021/Pn Dmk.). Universitas Kristen Indonesia.</w:t>
      </w:r>
    </w:p>
    <w:p w14:paraId="32CC8CB6"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Febriani, E. V., &amp; Wibowo, A. (2022). UPAYA PERLINDUNGAN HUKUM OLEH KOMNAS PEREMPUAN TERHADAP KORBAN KEJAHATAN SEKSTORSI DI DUNIA MAYA. Jurnal Hukum Adigama, 5(1), 279–303.</w:t>
      </w:r>
    </w:p>
    <w:p w14:paraId="6C3EFB81"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Maulida, F. R. (2021). Kebijakan Terhadap Rancangan Undang-Undang Tentang Penghapusan Kekerasan Seksual Di Indonesia: Urgensi Dan Dinamika. Fakultas Syariah dan Hukum Universitas Islam Negeri Syarif Hidayatullah Jakarta.</w:t>
      </w:r>
    </w:p>
    <w:p w14:paraId="47437874"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Perangin-Angin, I. I. P., Rahayu, R., &amp; Dwiwarno, N. (2019). Kewajiban Dan Tanggungjawab Negara Memberikan Perlindungan Hukum Terhadap Perempuan Korban Revenge Porn Di Indonesia. Diponegoro Law Journal, 8(1), 457–483.</w:t>
      </w:r>
    </w:p>
    <w:p w14:paraId="0270C5E6"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Purandari, T. (2019). Pertanggungjawaban Hukum Pelaku Eksploitasi Seksual Pada Anak Melalui Internet. Media Iuris, 2(2), 233–258.</w:t>
      </w:r>
    </w:p>
    <w:p w14:paraId="3B64AE2B"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Runtu, E. A. (2021). Penegakan Hukum Dalam Memberikan Perlindungan Terhadap Perempuan Korban Ancaman Kejahatan (Revenge Porn) Yang Terjadi Di Sosial Media. Lex Privatum, 9(11).</w:t>
      </w:r>
    </w:p>
    <w:p w14:paraId="207A8882"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Syauket, A., Saimima, I. D. S., Simarmata, R. P., Aidy, W. R., Zainab, N., Prayitno, R. B., &amp; Cabui, C. E. (2022). Sextortion (Fenomena Pemerasan Seksual di Lingkungan Pendidikan). Jurnal Kajian Ilmiah, 22(3), 219–230.</w:t>
      </w:r>
    </w:p>
    <w:p w14:paraId="17D3A863" w14:textId="77777777" w:rsidR="002407CD" w:rsidRPr="002407CD" w:rsidRDefault="002407CD" w:rsidP="00E80576">
      <w:pPr>
        <w:spacing w:after="0"/>
        <w:ind w:left="720" w:hanging="720"/>
        <w:jc w:val="both"/>
        <w:rPr>
          <w:rFonts w:ascii="Cambria" w:eastAsia="Cambria" w:hAnsi="Cambria" w:cs="Cambria"/>
          <w:color w:val="000000"/>
          <w:sz w:val="21"/>
          <w:szCs w:val="21"/>
        </w:rPr>
      </w:pPr>
      <w:r w:rsidRPr="002407CD">
        <w:rPr>
          <w:rFonts w:ascii="Cambria" w:eastAsia="Cambria" w:hAnsi="Cambria" w:cs="Cambria"/>
          <w:color w:val="000000"/>
          <w:sz w:val="21"/>
          <w:szCs w:val="21"/>
        </w:rPr>
        <w:t>Yuliani, F. (2020). KAJIAN YURIDIS VIKTIMOLOGIS TINDAK PIDANA PEMERASAN MELALUI PEMBUATAN DAN PENYEBARAN PRODUK PORNOGRAFI DIHUBUNGKAN DENGAN KONSEP PROVOCATIVE VICTIMS. FAKULTAS HUKUM UNIVERSITAS PASUNDAN.</w:t>
      </w:r>
    </w:p>
    <w:p w14:paraId="68910D93" w14:textId="77777777" w:rsidR="00B4287A" w:rsidRPr="002407CD" w:rsidRDefault="00B4287A" w:rsidP="00E80576">
      <w:pPr>
        <w:spacing w:after="0"/>
        <w:ind w:left="720" w:hanging="720"/>
        <w:jc w:val="both"/>
        <w:rPr>
          <w:rFonts w:ascii="Cambria" w:eastAsia="Cambria" w:hAnsi="Cambria" w:cs="Cambria"/>
          <w:color w:val="000000"/>
          <w:sz w:val="21"/>
          <w:szCs w:val="21"/>
        </w:rPr>
      </w:pPr>
    </w:p>
    <w:sectPr w:rsidR="00B4287A" w:rsidRPr="002407CD" w:rsidSect="007B37BB">
      <w:headerReference w:type="even" r:id="rId11"/>
      <w:headerReference w:type="default" r:id="rId12"/>
      <w:footerReference w:type="even" r:id="rId13"/>
      <w:footerReference w:type="default" r:id="rId14"/>
      <w:headerReference w:type="first" r:id="rId15"/>
      <w:footerReference w:type="first" r:id="rId16"/>
      <w:type w:val="continuous"/>
      <w:pgSz w:w="10319" w:h="14578" w:code="139"/>
      <w:pgMar w:top="1440" w:right="1440" w:bottom="1440" w:left="1440" w:header="680" w:footer="680" w:gutter="0"/>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CB369" w14:textId="77777777" w:rsidR="00DD49DB" w:rsidRDefault="00DD49DB" w:rsidP="004B1FA9">
      <w:pPr>
        <w:spacing w:after="0" w:line="240" w:lineRule="auto"/>
      </w:pPr>
      <w:r>
        <w:separator/>
      </w:r>
    </w:p>
  </w:endnote>
  <w:endnote w:type="continuationSeparator" w:id="0">
    <w:p w14:paraId="7D26B754" w14:textId="77777777" w:rsidR="00DD49DB" w:rsidRDefault="00DD49DB"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Arabic">
    <w:altName w:val="Times New Roman"/>
    <w:charset w:val="00"/>
    <w:family w:val="roman"/>
    <w:pitch w:val="variable"/>
    <w:sig w:usb0="00000003" w:usb1="00000000" w:usb2="00000000" w:usb3="00000000" w:csb0="00000001" w:csb1="00000000"/>
  </w:font>
  <w:font w:name="Caladea">
    <w:altName w:val="Calibri"/>
    <w:charset w:val="00"/>
    <w:family w:val="auto"/>
    <w:pitch w:val="variable"/>
  </w:font>
  <w:font w:name="Van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8963" w14:textId="77777777" w:rsidR="006B21A6" w:rsidRPr="007B37BB" w:rsidRDefault="006B21A6" w:rsidP="00677579">
    <w:pPr>
      <w:pStyle w:val="Footer"/>
      <w:framePr w:wrap="auto" w:vAnchor="text" w:hAnchor="margin" w:xAlign="outside" w:y="1"/>
      <w:spacing w:before="120" w:after="0" w:line="240" w:lineRule="auto"/>
      <w:rPr>
        <w:rStyle w:val="PageNumber"/>
        <w:rFonts w:ascii="Cambria" w:hAnsi="Cambria"/>
      </w:rPr>
    </w:pPr>
    <w:r w:rsidRPr="007B37BB">
      <w:rPr>
        <w:rStyle w:val="PageNumber"/>
        <w:rFonts w:ascii="Cambria" w:hAnsi="Cambria"/>
      </w:rPr>
      <w:fldChar w:fldCharType="begin"/>
    </w:r>
    <w:r w:rsidRPr="007B37BB">
      <w:rPr>
        <w:rStyle w:val="PageNumber"/>
        <w:rFonts w:ascii="Cambria" w:hAnsi="Cambria"/>
      </w:rPr>
      <w:instrText xml:space="preserve">PAGE  </w:instrText>
    </w:r>
    <w:r w:rsidRPr="007B37BB">
      <w:rPr>
        <w:rStyle w:val="PageNumber"/>
        <w:rFonts w:ascii="Cambria" w:hAnsi="Cambria"/>
      </w:rPr>
      <w:fldChar w:fldCharType="separate"/>
    </w:r>
    <w:r w:rsidR="00995538">
      <w:rPr>
        <w:rStyle w:val="PageNumber"/>
        <w:rFonts w:ascii="Cambria" w:hAnsi="Cambria"/>
        <w:noProof/>
      </w:rPr>
      <w:t>4</w:t>
    </w:r>
    <w:r w:rsidRPr="007B37BB">
      <w:rPr>
        <w:rStyle w:val="PageNumber"/>
        <w:rFonts w:ascii="Cambria" w:hAnsi="Cambria"/>
      </w:rPr>
      <w:fldChar w:fldCharType="end"/>
    </w:r>
    <w:r w:rsidRPr="007B37BB">
      <w:rPr>
        <w:rStyle w:val="PageNumber"/>
        <w:rFonts w:ascii="Cambria" w:hAnsi="Cambria"/>
      </w:rPr>
      <w:t xml:space="preserve"> │</w:t>
    </w:r>
  </w:p>
  <w:p w14:paraId="504F6BBD" w14:textId="77777777" w:rsidR="006B21A6" w:rsidRPr="007B37BB" w:rsidRDefault="0071290A" w:rsidP="007B37BB">
    <w:pPr>
      <w:pStyle w:val="Footer"/>
      <w:pBdr>
        <w:top w:val="single" w:sz="8" w:space="6" w:color="auto"/>
      </w:pBdr>
      <w:spacing w:after="0" w:line="240" w:lineRule="auto"/>
      <w:ind w:left="720"/>
      <w:jc w:val="right"/>
      <w:rPr>
        <w:rFonts w:ascii="Cambria" w:hAnsi="Cambria" w:cs="Vani"/>
        <w:spacing w:val="-6"/>
        <w:sz w:val="20"/>
        <w:szCs w:val="20"/>
        <w:lang w:val="id-ID"/>
      </w:rPr>
    </w:pPr>
    <w:r w:rsidRPr="007B37BB">
      <w:rPr>
        <w:rFonts w:ascii="Cambria" w:hAnsi="Cambria" w:cs="Vani"/>
        <w:spacing w:val="-6"/>
        <w:sz w:val="20"/>
        <w:szCs w:val="20"/>
      </w:rPr>
      <w:tab/>
      <w:t xml:space="preserve">  </w:t>
    </w:r>
    <w:r w:rsidR="007B37BB" w:rsidRPr="007B37BB">
      <w:rPr>
        <w:rFonts w:ascii="Cambria" w:hAnsi="Cambria" w:cs="Vani"/>
        <w:spacing w:val="-6"/>
        <w:sz w:val="20"/>
        <w:szCs w:val="20"/>
      </w:rPr>
      <w:t>P-</w:t>
    </w:r>
    <w:r w:rsidR="00525046" w:rsidRPr="007B37BB">
      <w:rPr>
        <w:rFonts w:ascii="Cambria" w:hAnsi="Cambria" w:cs="Vani"/>
        <w:spacing w:val="-6"/>
        <w:sz w:val="20"/>
        <w:szCs w:val="20"/>
      </w:rPr>
      <w:t xml:space="preserve">ISSN </w:t>
    </w:r>
    <w:r w:rsidR="007B37BB" w:rsidRPr="007B37BB">
      <w:rPr>
        <w:rFonts w:ascii="Cambria" w:hAnsi="Cambria" w:cs="Vani"/>
        <w:spacing w:val="-6"/>
        <w:sz w:val="20"/>
        <w:szCs w:val="20"/>
      </w:rPr>
      <w:t>(</w:t>
    </w:r>
    <w:r w:rsidR="007B37BB" w:rsidRPr="007B37BB">
      <w:rPr>
        <w:rStyle w:val="Strong"/>
        <w:rFonts w:ascii="Cambria" w:hAnsi="Cambria"/>
        <w:b w:val="0"/>
        <w:bCs w:val="0"/>
        <w:color w:val="000000"/>
        <w:sz w:val="20"/>
        <w:szCs w:val="20"/>
        <w:shd w:val="clear" w:color="auto" w:fill="FFFFFF"/>
      </w:rPr>
      <w:t>2085-1154)</w:t>
    </w:r>
    <w:r w:rsidR="00525046" w:rsidRPr="007B37BB">
      <w:rPr>
        <w:rFonts w:ascii="Cambria" w:hAnsi="Cambria" w:cs="Vani"/>
        <w:spacing w:val="-6"/>
        <w:sz w:val="20"/>
        <w:szCs w:val="20"/>
        <w:lang w:val="id-ID"/>
      </w:rPr>
      <w:t xml:space="preserve"> </w:t>
    </w:r>
    <w:r w:rsidR="007B37BB" w:rsidRPr="007B37BB">
      <w:rPr>
        <w:rFonts w:ascii="Cambria" w:hAnsi="Cambria" w:cs="Vani"/>
        <w:spacing w:val="-6"/>
        <w:sz w:val="20"/>
        <w:szCs w:val="20"/>
      </w:rPr>
      <w:t>E-ISSN (2798-7663)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4BD9" w14:textId="77777777" w:rsidR="006B21A6" w:rsidRPr="007B37BB" w:rsidRDefault="006B21A6" w:rsidP="00171CFA">
    <w:pPr>
      <w:pStyle w:val="Footer"/>
      <w:framePr w:wrap="auto" w:vAnchor="text" w:hAnchor="margin" w:xAlign="outside" w:y="1"/>
      <w:spacing w:before="120" w:after="0" w:line="240" w:lineRule="auto"/>
      <w:rPr>
        <w:rStyle w:val="PageNumber"/>
        <w:rFonts w:ascii="Cambria" w:hAnsi="Cambria"/>
      </w:rPr>
    </w:pPr>
    <w:r w:rsidRPr="007B37BB">
      <w:rPr>
        <w:rStyle w:val="PageNumber"/>
        <w:rFonts w:ascii="Cambria" w:hAnsi="Cambria"/>
      </w:rPr>
      <w:t xml:space="preserve">│ </w:t>
    </w:r>
    <w:r w:rsidRPr="007B37BB">
      <w:rPr>
        <w:rStyle w:val="PageNumber"/>
        <w:rFonts w:ascii="Cambria" w:hAnsi="Cambria"/>
      </w:rPr>
      <w:fldChar w:fldCharType="begin"/>
    </w:r>
    <w:r w:rsidRPr="007B37BB">
      <w:rPr>
        <w:rStyle w:val="PageNumber"/>
        <w:rFonts w:ascii="Cambria" w:hAnsi="Cambria"/>
      </w:rPr>
      <w:instrText xml:space="preserve">PAGE  </w:instrText>
    </w:r>
    <w:r w:rsidRPr="007B37BB">
      <w:rPr>
        <w:rStyle w:val="PageNumber"/>
        <w:rFonts w:ascii="Cambria" w:hAnsi="Cambria"/>
      </w:rPr>
      <w:fldChar w:fldCharType="separate"/>
    </w:r>
    <w:r w:rsidR="00995538">
      <w:rPr>
        <w:rStyle w:val="PageNumber"/>
        <w:rFonts w:ascii="Cambria" w:hAnsi="Cambria"/>
        <w:noProof/>
      </w:rPr>
      <w:t>3</w:t>
    </w:r>
    <w:r w:rsidRPr="007B37BB">
      <w:rPr>
        <w:rStyle w:val="PageNumber"/>
        <w:rFonts w:ascii="Cambria" w:hAnsi="Cambria"/>
      </w:rPr>
      <w:fldChar w:fldCharType="end"/>
    </w:r>
  </w:p>
  <w:p w14:paraId="59B38B16" w14:textId="77777777" w:rsidR="006B21A6" w:rsidRPr="007B37BB" w:rsidRDefault="007B37BB" w:rsidP="007B37BB">
    <w:pPr>
      <w:pStyle w:val="Footer"/>
      <w:pBdr>
        <w:top w:val="single" w:sz="8" w:space="6" w:color="auto"/>
      </w:pBdr>
      <w:spacing w:after="0" w:line="240" w:lineRule="auto"/>
      <w:rPr>
        <w:rFonts w:ascii="Cambria" w:hAnsi="Cambria" w:cs="Vani"/>
        <w:spacing w:val="-6"/>
        <w:sz w:val="20"/>
        <w:szCs w:val="20"/>
      </w:rPr>
    </w:pPr>
    <w:r w:rsidRPr="007B37BB">
      <w:rPr>
        <w:rFonts w:ascii="Cambria" w:hAnsi="Cambria" w:cs="Vani"/>
        <w:spacing w:val="-6"/>
        <w:sz w:val="20"/>
        <w:szCs w:val="20"/>
      </w:rPr>
      <w:t>P-ISSN (</w:t>
    </w:r>
    <w:r w:rsidRPr="007B37BB">
      <w:rPr>
        <w:rStyle w:val="Strong"/>
        <w:rFonts w:ascii="Cambria" w:hAnsi="Cambria"/>
        <w:b w:val="0"/>
        <w:bCs w:val="0"/>
        <w:color w:val="000000"/>
        <w:sz w:val="20"/>
        <w:szCs w:val="20"/>
        <w:shd w:val="clear" w:color="auto" w:fill="FFFFFF"/>
      </w:rPr>
      <w:t>2085-1154)</w:t>
    </w:r>
    <w:r w:rsidRPr="007B37BB">
      <w:rPr>
        <w:rFonts w:ascii="Cambria" w:hAnsi="Cambria" w:cs="Vani"/>
        <w:spacing w:val="-6"/>
        <w:sz w:val="20"/>
        <w:szCs w:val="20"/>
        <w:lang w:val="id-ID"/>
      </w:rPr>
      <w:t xml:space="preserve"> </w:t>
    </w:r>
    <w:r w:rsidRPr="007B37BB">
      <w:rPr>
        <w:rFonts w:ascii="Cambria" w:hAnsi="Cambria" w:cs="Vani"/>
        <w:spacing w:val="-6"/>
        <w:sz w:val="20"/>
        <w:szCs w:val="20"/>
      </w:rPr>
      <w:t>E-ISSN (2798-7663)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AB96" w14:textId="77777777" w:rsidR="00720572" w:rsidRPr="00645715" w:rsidRDefault="00720572" w:rsidP="00116759">
    <w:pPr>
      <w:pStyle w:val="BodyText"/>
      <w:spacing w:before="20"/>
      <w:ind w:left="20"/>
      <w:jc w:val="center"/>
      <w:rPr>
        <w:rFonts w:ascii="Cambria" w:hAnsi="Cambria" w:cs="Open Sans"/>
        <w:b/>
        <w:bCs/>
        <w:color w:val="333333"/>
        <w:sz w:val="18"/>
        <w:szCs w:val="18"/>
        <w:shd w:val="clear" w:color="auto" w:fill="FFFFFF"/>
        <w:lang w:val="en-US"/>
      </w:rPr>
    </w:pPr>
    <w:r w:rsidRPr="00645715">
      <w:rPr>
        <w:rFonts w:ascii="Cambria" w:hAnsi="Cambria" w:cs="Vani"/>
        <w:spacing w:val="-6"/>
        <w:sz w:val="18"/>
        <w:szCs w:val="18"/>
      </w:rPr>
      <w:t xml:space="preserve">* </w:t>
    </w:r>
    <w:r w:rsidRPr="00645715">
      <w:rPr>
        <w:rFonts w:ascii="Cambria" w:hAnsi="Cambria" w:cs="Open Sans"/>
        <w:color w:val="333333"/>
        <w:sz w:val="18"/>
        <w:szCs w:val="18"/>
        <w:shd w:val="clear" w:color="auto" w:fill="FFFFFF"/>
      </w:rPr>
      <w:t>Copyright (c) 20</w:t>
    </w:r>
    <w:r w:rsidRPr="00645715">
      <w:rPr>
        <w:rFonts w:ascii="Cambria" w:hAnsi="Cambria" w:cs="Open Sans"/>
        <w:color w:val="333333"/>
        <w:sz w:val="18"/>
        <w:szCs w:val="18"/>
        <w:shd w:val="clear" w:color="auto" w:fill="FFFFFF"/>
        <w:lang w:val="en-US"/>
      </w:rPr>
      <w:t>20</w:t>
    </w:r>
    <w:r w:rsidR="003903EB" w:rsidRPr="00645715">
      <w:rPr>
        <w:rFonts w:ascii="Cambria" w:hAnsi="Cambria" w:cs="Open Sans"/>
        <w:color w:val="333333"/>
        <w:sz w:val="18"/>
        <w:szCs w:val="18"/>
        <w:shd w:val="clear" w:color="auto" w:fill="FFFFFF"/>
        <w:lang w:val="en-US"/>
      </w:rPr>
      <w:t xml:space="preserve"> </w:t>
    </w:r>
    <w:r w:rsidR="00645715">
      <w:rPr>
        <w:rFonts w:ascii="Cambria" w:hAnsi="Cambria"/>
        <w:b/>
        <w:bCs/>
        <w:sz w:val="18"/>
        <w:szCs w:val="18"/>
        <w:lang w:val="en-US"/>
      </w:rPr>
      <w:t>Name</w:t>
    </w:r>
  </w:p>
  <w:p w14:paraId="6FD76FBB" w14:textId="77777777" w:rsidR="00965301" w:rsidRPr="00645715" w:rsidRDefault="00720572" w:rsidP="00116759">
    <w:pPr>
      <w:pStyle w:val="FootnoteText"/>
      <w:jc w:val="center"/>
      <w:rPr>
        <w:rFonts w:ascii="Cambria" w:hAnsi="Cambria" w:cs="Open Sans"/>
        <w:color w:val="333333"/>
        <w:sz w:val="18"/>
        <w:szCs w:val="18"/>
        <w:shd w:val="clear" w:color="auto" w:fill="FFFFFF"/>
      </w:rPr>
    </w:pPr>
    <w:r w:rsidRPr="00645715">
      <w:rPr>
        <w:rFonts w:ascii="Cambria" w:hAnsi="Cambria" w:cs="Open Sans"/>
        <w:color w:val="333333"/>
        <w:sz w:val="16"/>
        <w:szCs w:val="16"/>
        <w:shd w:val="clear" w:color="auto" w:fill="FFFFFF"/>
      </w:rPr>
      <w:t>This work is licensed under a </w:t>
    </w:r>
    <w:hyperlink r:id="rId1" w:history="1">
      <w:r w:rsidRPr="00645715">
        <w:rPr>
          <w:rStyle w:val="Hyperlink"/>
          <w:rFonts w:ascii="Cambria" w:hAnsi="Cambria" w:cs="Open Sans"/>
          <w:color w:val="0D355E"/>
          <w:sz w:val="16"/>
          <w:szCs w:val="16"/>
          <w:shd w:val="clear" w:color="auto" w:fill="FFFFFF"/>
        </w:rPr>
        <w:t>Creative Commons Attribution-ShareAlike 4.0 International License</w:t>
      </w:r>
    </w:hyperlink>
    <w:r w:rsidRPr="00645715">
      <w:rPr>
        <w:rFonts w:ascii="Cambria" w:hAnsi="Cambria" w:cs="Open Sans"/>
        <w:color w:val="333333"/>
        <w:sz w:val="16"/>
        <w:szCs w:val="16"/>
        <w:shd w:val="clear" w:color="auto" w:fill="FFFFFF"/>
      </w:rPr>
      <w:t>.</w:t>
    </w:r>
  </w:p>
  <w:p w14:paraId="36E65BC2" w14:textId="77777777" w:rsidR="006B21A6" w:rsidRPr="009E3BFE" w:rsidRDefault="00307F16" w:rsidP="00116759">
    <w:pPr>
      <w:pStyle w:val="FootnoteText"/>
      <w:spacing w:before="120"/>
      <w:jc w:val="center"/>
    </w:pPr>
    <w:r w:rsidRPr="00645715">
      <w:rPr>
        <w:rFonts w:ascii="Cambria" w:hAnsi="Cambria"/>
        <w:sz w:val="18"/>
        <w:szCs w:val="18"/>
      </w:rPr>
      <w:t>Received</w:t>
    </w:r>
    <w:r w:rsidR="00965301" w:rsidRPr="00645715">
      <w:rPr>
        <w:rFonts w:ascii="Cambria" w:hAnsi="Cambria"/>
        <w:sz w:val="18"/>
        <w:szCs w:val="18"/>
      </w:rPr>
      <w:t xml:space="preserve">: </w:t>
    </w:r>
    <w:r w:rsidR="00E8624E" w:rsidRPr="00645715">
      <w:rPr>
        <w:rFonts w:ascii="Cambria" w:hAnsi="Cambria"/>
        <w:sz w:val="18"/>
        <w:szCs w:val="18"/>
      </w:rPr>
      <w:t>7 April 2020</w:t>
    </w:r>
    <w:r w:rsidR="005B1781" w:rsidRPr="00645715">
      <w:rPr>
        <w:rFonts w:ascii="Cambria" w:hAnsi="Cambria"/>
        <w:sz w:val="18"/>
        <w:szCs w:val="18"/>
      </w:rPr>
      <w:t xml:space="preserve">; </w:t>
    </w:r>
    <w:r w:rsidRPr="00645715">
      <w:rPr>
        <w:rFonts w:ascii="Cambria" w:hAnsi="Cambria"/>
        <w:sz w:val="18"/>
        <w:szCs w:val="18"/>
      </w:rPr>
      <w:t>Revised</w:t>
    </w:r>
    <w:r w:rsidR="005B1781" w:rsidRPr="00645715">
      <w:rPr>
        <w:rFonts w:ascii="Cambria" w:hAnsi="Cambria"/>
        <w:sz w:val="18"/>
        <w:szCs w:val="18"/>
      </w:rPr>
      <w:t xml:space="preserve">: </w:t>
    </w:r>
    <w:r w:rsidR="00E8624E" w:rsidRPr="00645715">
      <w:rPr>
        <w:rFonts w:ascii="Cambria" w:hAnsi="Cambria"/>
        <w:sz w:val="18"/>
        <w:szCs w:val="18"/>
      </w:rPr>
      <w:t>26 April 2020</w:t>
    </w:r>
    <w:r w:rsidR="005B1781" w:rsidRPr="00645715">
      <w:rPr>
        <w:rFonts w:ascii="Cambria" w:hAnsi="Cambria"/>
        <w:sz w:val="18"/>
        <w:szCs w:val="18"/>
      </w:rPr>
      <w:t xml:space="preserve">; </w:t>
    </w:r>
    <w:r w:rsidRPr="00645715">
      <w:rPr>
        <w:rFonts w:ascii="Cambria" w:hAnsi="Cambria"/>
        <w:sz w:val="18"/>
        <w:szCs w:val="18"/>
      </w:rPr>
      <w:t>Accepted</w:t>
    </w:r>
    <w:r w:rsidR="00E8624E" w:rsidRPr="00645715">
      <w:rPr>
        <w:rFonts w:ascii="Cambria" w:hAnsi="Cambria"/>
        <w:sz w:val="18"/>
        <w:szCs w:val="18"/>
      </w:rPr>
      <w:t>:</w:t>
    </w:r>
    <w:r w:rsidR="005B1781" w:rsidRPr="00645715">
      <w:rPr>
        <w:rFonts w:ascii="Cambria" w:hAnsi="Cambria"/>
        <w:sz w:val="18"/>
        <w:szCs w:val="18"/>
      </w:rPr>
      <w:t xml:space="preserve"> </w:t>
    </w:r>
    <w:r w:rsidR="00E8624E" w:rsidRPr="00645715">
      <w:rPr>
        <w:rFonts w:ascii="Cambria" w:hAnsi="Cambria"/>
        <w:sz w:val="18"/>
        <w:szCs w:val="18"/>
      </w:rPr>
      <w:t>29 April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F40F" w14:textId="77777777" w:rsidR="00DD49DB" w:rsidRDefault="00DD49DB" w:rsidP="004B1FA9">
      <w:pPr>
        <w:spacing w:after="0" w:line="240" w:lineRule="auto"/>
      </w:pPr>
      <w:r>
        <w:separator/>
      </w:r>
    </w:p>
  </w:footnote>
  <w:footnote w:type="continuationSeparator" w:id="0">
    <w:p w14:paraId="2C01AB5D" w14:textId="77777777" w:rsidR="00DD49DB" w:rsidRDefault="00DD49DB" w:rsidP="004B1FA9">
      <w:pPr>
        <w:spacing w:after="0" w:line="240" w:lineRule="auto"/>
      </w:pPr>
      <w:r>
        <w:continuationSeparator/>
      </w:r>
    </w:p>
  </w:footnote>
  <w:footnote w:id="1">
    <w:p w14:paraId="7B71D3A2" w14:textId="2D653320" w:rsidR="00E80576" w:rsidRPr="00E80576" w:rsidRDefault="00E80576">
      <w:pPr>
        <w:pStyle w:val="FootnoteText"/>
        <w:rPr>
          <w:lang w:val="en-US"/>
        </w:rPr>
      </w:pPr>
      <w:r>
        <w:rPr>
          <w:rStyle w:val="FootnoteReference"/>
        </w:rPr>
        <w:footnoteRef/>
      </w:r>
      <w:r>
        <w:t xml:space="preserve"> </w:t>
      </w:r>
      <w:r w:rsidRPr="00E80576">
        <w:t>Syauket, A., Saimima, I. D. S., Simarmata, R. P., Aidy, W. R., Zainab, N., Prayitno, R. B., &amp; Cabui, C. E. (2022). Sextortion (Fenomena Pemerasan Seksual di Lingkungan Pendidikan). Jurnal Kajian Ilmiah, 22(3), 219–230.</w:t>
      </w:r>
    </w:p>
  </w:footnote>
  <w:footnote w:id="2">
    <w:p w14:paraId="0A7CBF50" w14:textId="39A7100A" w:rsidR="00E80576" w:rsidRPr="00E80576" w:rsidRDefault="00E80576">
      <w:pPr>
        <w:pStyle w:val="FootnoteText"/>
        <w:rPr>
          <w:lang w:val="en-US"/>
        </w:rPr>
      </w:pPr>
      <w:r>
        <w:rPr>
          <w:rStyle w:val="FootnoteReference"/>
        </w:rPr>
        <w:footnoteRef/>
      </w:r>
      <w:r>
        <w:t xml:space="preserve"> </w:t>
      </w:r>
      <w:r w:rsidRPr="00E80576">
        <w:t>Febriani, E. V., &amp; Wibowo, A. (2022). UPAYA PERLINDUNGAN HUKUM OLEH KOMNAS PEREMPUAN TERHADAP KORBAN KEJAHATAN SEKSTORSI DI DUNIA MAYA. Jurnal Hukum Adigama, 5(1), 279–303</w:t>
      </w:r>
      <w:r>
        <w:t>.</w:t>
      </w:r>
    </w:p>
  </w:footnote>
  <w:footnote w:id="3">
    <w:p w14:paraId="1B958116" w14:textId="62A62A13" w:rsidR="00E80576" w:rsidRPr="00E80576" w:rsidRDefault="00E80576">
      <w:pPr>
        <w:pStyle w:val="FootnoteText"/>
        <w:rPr>
          <w:lang w:val="en-US"/>
        </w:rPr>
      </w:pPr>
      <w:r>
        <w:rPr>
          <w:rStyle w:val="FootnoteReference"/>
        </w:rPr>
        <w:footnoteRef/>
      </w:r>
      <w:r>
        <w:t xml:space="preserve"> </w:t>
      </w:r>
      <w:r w:rsidRPr="00E80576">
        <w:t>Berutu, S. M. (2023). Perlindungan Hukum Terhadap Korban Pornografi Balas Dendam (Revenge Porn) di Media Sosial (Studi Putusan Nomor 217/Pid. Sus/2021/Pn Dmk.). Universitas Kristen Indonesia</w:t>
      </w:r>
    </w:p>
  </w:footnote>
  <w:footnote w:id="4">
    <w:p w14:paraId="5AED70DC" w14:textId="17C38F3B" w:rsidR="00E80576" w:rsidRPr="00E80576" w:rsidRDefault="00E80576">
      <w:pPr>
        <w:pStyle w:val="FootnoteText"/>
        <w:rPr>
          <w:lang w:val="en-US"/>
        </w:rPr>
      </w:pPr>
      <w:r>
        <w:rPr>
          <w:rStyle w:val="FootnoteReference"/>
        </w:rPr>
        <w:footnoteRef/>
      </w:r>
      <w:r>
        <w:t xml:space="preserve"> </w:t>
      </w:r>
      <w:r w:rsidRPr="00E80576">
        <w:t>Yuliani, F. (2020). KAJIAN YURIDIS VIKTIMOLOGIS TINDAK PIDANA PEMERASAN MELALUI PEMBUATAN DAN PENYEBARAN PRODUK PORNOGRAFI DIHUBUNGKAN DENGAN KONSEP PROVOCATIVE VICTIMS. FAKULTAS HUKUM UNIVERSITAS PASUNDAN</w:t>
      </w:r>
    </w:p>
  </w:footnote>
  <w:footnote w:id="5">
    <w:p w14:paraId="46BFF44E" w14:textId="6F3966D5" w:rsidR="00E80576" w:rsidRPr="00E80576" w:rsidRDefault="00E80576">
      <w:pPr>
        <w:pStyle w:val="FootnoteText"/>
        <w:rPr>
          <w:lang w:val="en-US"/>
        </w:rPr>
      </w:pPr>
      <w:r>
        <w:rPr>
          <w:rStyle w:val="FootnoteReference"/>
        </w:rPr>
        <w:footnoteRef/>
      </w:r>
      <w:r>
        <w:t xml:space="preserve"> </w:t>
      </w:r>
      <w:r w:rsidRPr="00E80576">
        <w:t>Perangin-Angin, I. I. P., Rahayu, R., &amp; Dwiwarno, N. (2019). Kewajiban Dan Tanggungjawab Negara Memberikan Perlindungan Hukum Terhadap Perempuan Korban Revenge Porn Di Indonesia. Diponegoro Law Journal, 8(1), 457–483</w:t>
      </w:r>
    </w:p>
  </w:footnote>
  <w:footnote w:id="6">
    <w:p w14:paraId="17C3B0B1" w14:textId="7A7EA4AE" w:rsidR="00E80576" w:rsidRPr="00E80576" w:rsidRDefault="00E80576">
      <w:pPr>
        <w:pStyle w:val="FootnoteText"/>
        <w:rPr>
          <w:lang w:val="en-US"/>
        </w:rPr>
      </w:pPr>
      <w:r>
        <w:rPr>
          <w:rStyle w:val="FootnoteReference"/>
        </w:rPr>
        <w:footnoteRef/>
      </w:r>
      <w:r>
        <w:t xml:space="preserve"> </w:t>
      </w:r>
      <w:r w:rsidRPr="00E80576">
        <w:t>Ayuningtyas, N. C. (2021). Urgensi Perlindungan Hukum Bagi Korban Pornografi Balas Dendam (Revenge Porn). RECIDIVE, 10(3), 164–173.</w:t>
      </w:r>
    </w:p>
  </w:footnote>
  <w:footnote w:id="7">
    <w:p w14:paraId="6B003311" w14:textId="692270AC" w:rsidR="00E80576" w:rsidRPr="00E80576" w:rsidRDefault="00E80576">
      <w:pPr>
        <w:pStyle w:val="FootnoteText"/>
        <w:rPr>
          <w:lang w:val="en-US"/>
        </w:rPr>
      </w:pPr>
      <w:r>
        <w:rPr>
          <w:rStyle w:val="FootnoteReference"/>
        </w:rPr>
        <w:footnoteRef/>
      </w:r>
      <w:r>
        <w:t xml:space="preserve"> </w:t>
      </w:r>
      <w:r w:rsidRPr="00E80576">
        <w:t>Runtu, E. A. (2021). Penegakan Hukum Dalam Memberikan Perlindungan Terhadap Perempuan Korban Ancaman Kejahatan (Revenge Porn) Yang Terjadi Di Sosial Media. Lex Privatum, 9(11).</w:t>
      </w:r>
    </w:p>
  </w:footnote>
  <w:footnote w:id="8">
    <w:p w14:paraId="6450FE93" w14:textId="46E6B0FD" w:rsidR="00E80576" w:rsidRPr="00E80576" w:rsidRDefault="00E80576">
      <w:pPr>
        <w:pStyle w:val="FootnoteText"/>
        <w:rPr>
          <w:lang w:val="en-US"/>
        </w:rPr>
      </w:pPr>
      <w:r>
        <w:rPr>
          <w:rStyle w:val="FootnoteReference"/>
        </w:rPr>
        <w:footnoteRef/>
      </w:r>
      <w:r>
        <w:t xml:space="preserve"> </w:t>
      </w:r>
      <w:r w:rsidRPr="00E80576">
        <w:t>Purandari, T. (2019). Pertanggungjawaban Hukum Pelaku Eksploitasi Seksual Pada Anak Melalui Internet. Media Iuris, 2(2), 233–258.</w:t>
      </w:r>
    </w:p>
  </w:footnote>
  <w:footnote w:id="9">
    <w:p w14:paraId="3D379D2C" w14:textId="0E01DB1F" w:rsidR="00E80576" w:rsidRPr="00E80576" w:rsidRDefault="00E80576">
      <w:pPr>
        <w:pStyle w:val="FootnoteText"/>
        <w:rPr>
          <w:lang w:val="en-US"/>
        </w:rPr>
      </w:pPr>
      <w:r>
        <w:rPr>
          <w:rStyle w:val="FootnoteReference"/>
        </w:rPr>
        <w:footnoteRef/>
      </w:r>
      <w:r>
        <w:t xml:space="preserve"> </w:t>
      </w:r>
      <w:r w:rsidRPr="00E80576">
        <w:t>Syauket, A., Saimima, I. D. S., Simarmata, R. P., Aidy, W. R., Zainab, N., Prayitno, R. B., &amp; Cabui, C. E. (2022). Sextortion (Fenomena Pemerasan Seksual di Lingkungan Pendidikan). Jurnal Kajian Ilmiah, 22(3), 219–230.</w:t>
      </w:r>
    </w:p>
  </w:footnote>
  <w:footnote w:id="10">
    <w:p w14:paraId="2E0A2D47" w14:textId="7EF00B8D" w:rsidR="00E80576" w:rsidRPr="00E80576" w:rsidRDefault="00E80576">
      <w:pPr>
        <w:pStyle w:val="FootnoteText"/>
        <w:rPr>
          <w:lang w:val="en-US"/>
        </w:rPr>
      </w:pPr>
      <w:r>
        <w:rPr>
          <w:rStyle w:val="FootnoteReference"/>
        </w:rPr>
        <w:footnoteRef/>
      </w:r>
      <w:r>
        <w:t xml:space="preserve"> </w:t>
      </w:r>
      <w:r w:rsidRPr="00E80576">
        <w:t>Febriani, E. V., &amp; Wibowo, A. (2022). UPAYA PERLINDUNGAN HUKUM OLEH KOMNAS PEREMPUAN TERHADAP KORBAN KEJAHATAN SEKSTORSI DI DUNIA MAYA. Jurnal Hukum Adigama, 5(1), 279–303.</w:t>
      </w:r>
    </w:p>
  </w:footnote>
  <w:footnote w:id="11">
    <w:p w14:paraId="7C9BAB99" w14:textId="18BEDA7B" w:rsidR="00E80576" w:rsidRPr="00E80576" w:rsidRDefault="00E80576">
      <w:pPr>
        <w:pStyle w:val="FootnoteText"/>
        <w:rPr>
          <w:lang w:val="en-US"/>
        </w:rPr>
      </w:pPr>
      <w:r>
        <w:rPr>
          <w:rStyle w:val="FootnoteReference"/>
        </w:rPr>
        <w:footnoteRef/>
      </w:r>
      <w:r>
        <w:t xml:space="preserve"> </w:t>
      </w:r>
      <w:r w:rsidRPr="00E80576">
        <w:t>Berutu, S. M. (2023). Perlindungan Hukum Terhadap Korban Pornografi Balas Dendam (Revenge Porn) di Media Sosial (Studi Putusan Nomor 217/Pid. Sus/2021/Pn Dmk.). Universitas Kristen Indonesia.</w:t>
      </w:r>
    </w:p>
  </w:footnote>
  <w:footnote w:id="12">
    <w:p w14:paraId="0A461068" w14:textId="335C5FA8" w:rsidR="00E80576" w:rsidRPr="00E80576" w:rsidRDefault="00E80576">
      <w:pPr>
        <w:pStyle w:val="FootnoteText"/>
        <w:rPr>
          <w:lang w:val="en-US"/>
        </w:rPr>
      </w:pPr>
      <w:r>
        <w:rPr>
          <w:rStyle w:val="FootnoteReference"/>
        </w:rPr>
        <w:footnoteRef/>
      </w:r>
      <w:r>
        <w:t xml:space="preserve"> </w:t>
      </w:r>
      <w:r w:rsidRPr="00E80576">
        <w:t>Yuliani, F. (2020). KAJIAN YURIDIS VIKTIMOLOGIS TINDAK PIDANA PEMERASAN MELALUI PEMBUATAN DAN PENYEBARAN PRODUK PORNOGRAFI DIHUBUNGKAN DENGAN KONSEP PROVOCATIVE VICTIMS. FAKULTAS HUKUM UNIVERSITAS PASUNDAN.</w:t>
      </w:r>
    </w:p>
  </w:footnote>
  <w:footnote w:id="13">
    <w:p w14:paraId="77CE632C" w14:textId="39C8F8F8" w:rsidR="00E80576" w:rsidRPr="00E80576" w:rsidRDefault="00E80576">
      <w:pPr>
        <w:pStyle w:val="FootnoteText"/>
        <w:rPr>
          <w:lang w:val="en-US"/>
        </w:rPr>
      </w:pPr>
      <w:r>
        <w:rPr>
          <w:rStyle w:val="FootnoteReference"/>
        </w:rPr>
        <w:footnoteRef/>
      </w:r>
      <w:r>
        <w:t xml:space="preserve"> </w:t>
      </w:r>
      <w:r w:rsidRPr="00E80576">
        <w:t>Ayuningtyas, N. C. (2021). Urgensi Perlindungan Hukum Bagi Korban Pornografi Balas Dendam (Revenge Porn). RECIDIVE, 10(3), 164–173.</w:t>
      </w:r>
    </w:p>
  </w:footnote>
  <w:footnote w:id="14">
    <w:p w14:paraId="06415C0A" w14:textId="0CE30DBD" w:rsidR="00E80576" w:rsidRPr="00E80576" w:rsidRDefault="00E80576">
      <w:pPr>
        <w:pStyle w:val="FootnoteText"/>
        <w:rPr>
          <w:lang w:val="en-US"/>
        </w:rPr>
      </w:pPr>
      <w:r>
        <w:rPr>
          <w:rStyle w:val="FootnoteReference"/>
        </w:rPr>
        <w:footnoteRef/>
      </w:r>
      <w:r>
        <w:t xml:space="preserve"> </w:t>
      </w:r>
      <w:r w:rsidRPr="00E80576">
        <w:t>Purandari, T. (2019). Pertanggungjawaban Hukum Pelaku Eksploitasi Seksual Pada Anak Melalui Internet. Media Iuris, 2(2), 233–258.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3FD55" w14:textId="77777777" w:rsidR="003B3811" w:rsidRPr="00645715" w:rsidRDefault="00645715" w:rsidP="00645715">
    <w:pPr>
      <w:pStyle w:val="Header"/>
      <w:jc w:val="center"/>
      <w:rPr>
        <w:rFonts w:ascii="Cambria" w:hAnsi="Cambria"/>
        <w:b/>
        <w:bCs/>
        <w:spacing w:val="-6"/>
        <w:sz w:val="20"/>
        <w:szCs w:val="20"/>
        <w:lang w:val="en-ID"/>
      </w:rPr>
    </w:pPr>
    <w:r w:rsidRPr="00645715">
      <w:rPr>
        <w:rFonts w:ascii="Cambria" w:hAnsi="Cambria"/>
        <w:b/>
        <w:bCs/>
        <w:spacing w:val="-6"/>
        <w:sz w:val="20"/>
        <w:szCs w:val="20"/>
        <w:lang w:val="en-ID"/>
      </w:rPr>
      <w:t>Varia Hukum: Jurnal Forum Studi Hukum dan Kemasyarakatan</w:t>
    </w:r>
    <w:r w:rsidR="009A168B">
      <w:rPr>
        <w:rFonts w:ascii="Cambria" w:hAnsi="Cambria"/>
        <w:b/>
        <w:bCs/>
        <w:spacing w:val="-6"/>
        <w:sz w:val="20"/>
        <w:szCs w:val="20"/>
        <w:lang w:val="en-ID"/>
      </w:rPr>
      <w:t xml:space="preserve">, </w:t>
    </w:r>
    <w:r w:rsidR="003B3811" w:rsidRPr="003903EB">
      <w:rPr>
        <w:rFonts w:ascii="Cambria" w:hAnsi="Cambria"/>
        <w:b/>
        <w:bCs/>
        <w:spacing w:val="-6"/>
        <w:sz w:val="20"/>
        <w:szCs w:val="20"/>
        <w:lang w:val="en-ID"/>
      </w:rPr>
      <w:t xml:space="preserve">Vol. </w:t>
    </w:r>
    <w:r w:rsidR="00E8624E">
      <w:rPr>
        <w:rFonts w:ascii="Cambria" w:hAnsi="Cambria"/>
        <w:b/>
        <w:bCs/>
        <w:spacing w:val="-6"/>
        <w:sz w:val="20"/>
        <w:szCs w:val="20"/>
        <w:lang w:val="en-ID"/>
      </w:rPr>
      <w:t>2</w:t>
    </w:r>
    <w:r w:rsidR="003B3811"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003B3811"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733A67F6" w14:textId="77777777" w:rsidR="003B3811" w:rsidRPr="003903EB" w:rsidRDefault="00645715" w:rsidP="003B3811">
    <w:pPr>
      <w:pStyle w:val="Header"/>
      <w:pBdr>
        <w:bottom w:val="single" w:sz="8" w:space="6" w:color="auto"/>
      </w:pBdr>
      <w:jc w:val="center"/>
      <w:rPr>
        <w:rFonts w:ascii="Cambria" w:hAnsi="Cambria"/>
        <w:noProof/>
        <w:sz w:val="20"/>
        <w:szCs w:val="20"/>
      </w:rPr>
    </w:pPr>
    <w:r>
      <w:rPr>
        <w:rFonts w:ascii="Cambria" w:hAnsi="Cambria"/>
        <w:sz w:val="20"/>
        <w:szCs w:val="20"/>
      </w:rPr>
      <w:t>Tittle</w:t>
    </w:r>
  </w:p>
  <w:p w14:paraId="22B35084" w14:textId="77777777" w:rsidR="006B21A6" w:rsidRPr="003903EB" w:rsidRDefault="00645715" w:rsidP="00DD4FC5">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09CA" w14:textId="77777777" w:rsidR="003903EB" w:rsidRPr="003903EB" w:rsidRDefault="00645715" w:rsidP="003903EB">
    <w:pPr>
      <w:pStyle w:val="Header"/>
      <w:jc w:val="center"/>
      <w:rPr>
        <w:rFonts w:ascii="Cambria" w:hAnsi="Cambria"/>
        <w:b/>
        <w:bCs/>
        <w:spacing w:val="-6"/>
        <w:sz w:val="20"/>
        <w:szCs w:val="20"/>
        <w:lang w:val="id-ID"/>
      </w:rPr>
    </w:pPr>
    <w:r w:rsidRPr="00645715">
      <w:rPr>
        <w:rFonts w:ascii="Cambria" w:hAnsi="Cambria"/>
        <w:b/>
        <w:bCs/>
        <w:spacing w:val="-6"/>
        <w:sz w:val="20"/>
        <w:szCs w:val="20"/>
        <w:lang w:val="en-ID"/>
      </w:rPr>
      <w:t>Varia Hukum: Jurnal Forum Studi Hukum dan Kemasyarakatan</w:t>
    </w:r>
    <w:r>
      <w:rPr>
        <w:rFonts w:ascii="Cambria" w:hAnsi="Cambria"/>
        <w:b/>
        <w:bCs/>
        <w:spacing w:val="-6"/>
        <w:sz w:val="20"/>
        <w:szCs w:val="20"/>
        <w:lang w:val="en-ID"/>
      </w:rPr>
      <w:t xml:space="preserve"> </w:t>
    </w:r>
    <w:r w:rsidR="003903EB" w:rsidRPr="003903EB">
      <w:rPr>
        <w:rFonts w:ascii="Cambria" w:hAnsi="Cambria"/>
        <w:b/>
        <w:bCs/>
        <w:spacing w:val="-6"/>
        <w:sz w:val="20"/>
        <w:szCs w:val="20"/>
        <w:lang w:val="en-ID"/>
      </w:rPr>
      <w:t xml:space="preserve">Vol. </w:t>
    </w:r>
    <w:r w:rsidR="00E8624E">
      <w:rPr>
        <w:rFonts w:ascii="Cambria" w:hAnsi="Cambria"/>
        <w:b/>
        <w:bCs/>
        <w:spacing w:val="-6"/>
        <w:sz w:val="20"/>
        <w:szCs w:val="20"/>
        <w:lang w:val="en-ID"/>
      </w:rPr>
      <w:t>2</w:t>
    </w:r>
    <w:r w:rsidR="003903EB"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003903EB"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089555D7" w14:textId="77777777" w:rsidR="003903EB" w:rsidRPr="003903EB" w:rsidRDefault="00645715" w:rsidP="003903EB">
    <w:pPr>
      <w:pStyle w:val="Header"/>
      <w:pBdr>
        <w:bottom w:val="single" w:sz="8" w:space="6" w:color="auto"/>
      </w:pBdr>
      <w:jc w:val="center"/>
      <w:rPr>
        <w:rFonts w:ascii="Cambria" w:hAnsi="Cambria"/>
        <w:noProof/>
        <w:sz w:val="20"/>
        <w:szCs w:val="20"/>
      </w:rPr>
    </w:pPr>
    <w:r>
      <w:rPr>
        <w:rFonts w:ascii="Cambria" w:hAnsi="Cambria"/>
        <w:sz w:val="20"/>
        <w:szCs w:val="20"/>
      </w:rPr>
      <w:t>Tittle</w:t>
    </w:r>
  </w:p>
  <w:p w14:paraId="640AC935" w14:textId="77777777" w:rsidR="003903EB" w:rsidRPr="003903EB" w:rsidRDefault="00645715" w:rsidP="003903EB">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Name</w:t>
    </w:r>
  </w:p>
  <w:p w14:paraId="0CD5E7A0" w14:textId="77777777" w:rsidR="006B21A6" w:rsidRPr="00FD584C" w:rsidRDefault="006B21A6" w:rsidP="00FD58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C00A" w14:textId="77777777" w:rsidR="006B21A6" w:rsidRPr="00645715" w:rsidRDefault="006B21A6" w:rsidP="00645715">
    <w:pPr>
      <w:pStyle w:val="Header"/>
      <w:tabs>
        <w:tab w:val="right" w:pos="9072"/>
      </w:tabs>
      <w:rPr>
        <w:rFonts w:ascii="Cambria" w:hAnsi="Cambria"/>
        <w:b/>
        <w:bCs/>
        <w:iCs/>
        <w:noProof/>
        <w:spacing w:val="-6"/>
        <w:sz w:val="20"/>
        <w:szCs w:val="20"/>
        <w:lang w:val="en-AU"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645715" w:rsidRPr="00645715">
      <w:rPr>
        <w:rFonts w:ascii="Cambria" w:hAnsi="Cambria" w:cs="Vani"/>
        <w:spacing w:val="-6"/>
        <w:sz w:val="20"/>
        <w:szCs w:val="20"/>
        <w:lang w:val="id-ID"/>
      </w:rPr>
      <w:t>https://journ</w:t>
    </w:r>
    <w:r w:rsidR="00645715">
      <w:rPr>
        <w:rFonts w:ascii="Cambria" w:hAnsi="Cambria" w:cs="Vani"/>
        <w:spacing w:val="-6"/>
        <w:sz w:val="20"/>
        <w:szCs w:val="20"/>
        <w:lang w:val="id-ID"/>
      </w:rPr>
      <w:t>al.uinsgd.ac.id/index.php/varia</w:t>
    </w:r>
  </w:p>
  <w:p w14:paraId="3CB3FDAD" w14:textId="77777777" w:rsidR="006B21A6" w:rsidRPr="00E8624E" w:rsidRDefault="00645715" w:rsidP="009A168B">
    <w:pPr>
      <w:pStyle w:val="Header"/>
      <w:tabs>
        <w:tab w:val="clear" w:pos="4680"/>
        <w:tab w:val="clear" w:pos="9360"/>
      </w:tabs>
      <w:rPr>
        <w:rFonts w:ascii="Cambria" w:hAnsi="Cambria"/>
        <w:b/>
        <w:spacing w:val="-6"/>
        <w:sz w:val="20"/>
        <w:szCs w:val="20"/>
        <w:lang w:val="en-ID"/>
      </w:rPr>
    </w:pPr>
    <w:r>
      <w:rPr>
        <w:rFonts w:ascii="Cambria" w:hAnsi="Cambria"/>
        <w:b/>
        <w:spacing w:val="-6"/>
        <w:sz w:val="20"/>
        <w:szCs w:val="20"/>
        <w:lang w:val="en-ID"/>
      </w:rPr>
      <w:t>Varia Hukum: Jurnal Forum Studi Hukum dan Kemasyarakatan</w:t>
    </w:r>
    <w:r w:rsidR="00B4287A" w:rsidRPr="00B4287A">
      <w:rPr>
        <w:rFonts w:ascii="Cambria" w:hAnsi="Cambria"/>
        <w:b/>
        <w:spacing w:val="-6"/>
        <w:sz w:val="20"/>
        <w:szCs w:val="20"/>
        <w:lang w:val="en-ID"/>
      </w:rPr>
      <w:t>,</w:t>
    </w:r>
    <w:r w:rsidR="009A168B">
      <w:rPr>
        <w:rFonts w:ascii="Cambria" w:hAnsi="Cambria"/>
        <w:b/>
        <w:spacing w:val="-6"/>
        <w:sz w:val="20"/>
        <w:szCs w:val="20"/>
        <w:lang w:val="en-ID"/>
      </w:rPr>
      <w:t xml:space="preserve"> </w:t>
    </w:r>
    <w:r w:rsidR="00B4287A">
      <w:rPr>
        <w:rFonts w:ascii="Cambria" w:hAnsi="Cambria"/>
        <w:b/>
        <w:spacing w:val="-6"/>
        <w:sz w:val="20"/>
        <w:szCs w:val="20"/>
        <w:lang w:val="en-ID"/>
      </w:rPr>
      <w:t>V</w:t>
    </w:r>
    <w:r w:rsidR="00525046" w:rsidRPr="00E8624E">
      <w:rPr>
        <w:rFonts w:ascii="Cambria" w:hAnsi="Cambria"/>
        <w:b/>
        <w:spacing w:val="-6"/>
        <w:sz w:val="20"/>
        <w:szCs w:val="20"/>
        <w:lang w:val="en-ID"/>
      </w:rPr>
      <w:t xml:space="preserve">ol. </w:t>
    </w:r>
    <w:r w:rsidR="00E8624E" w:rsidRPr="00E8624E">
      <w:rPr>
        <w:rFonts w:ascii="Cambria" w:hAnsi="Cambria"/>
        <w:b/>
        <w:spacing w:val="-6"/>
        <w:sz w:val="20"/>
        <w:szCs w:val="20"/>
        <w:lang w:val="en-ID"/>
      </w:rPr>
      <w:t>2</w:t>
    </w:r>
    <w:r w:rsidR="00525046" w:rsidRPr="00E8624E">
      <w:rPr>
        <w:rFonts w:ascii="Cambria" w:hAnsi="Cambria"/>
        <w:b/>
        <w:spacing w:val="-6"/>
        <w:sz w:val="20"/>
        <w:szCs w:val="20"/>
        <w:lang w:val="en-ID"/>
      </w:rPr>
      <w:t xml:space="preserve"> No. 1: </w:t>
    </w:r>
    <w:r>
      <w:rPr>
        <w:rFonts w:ascii="Cambria" w:hAnsi="Cambria"/>
        <w:b/>
        <w:spacing w:val="-6"/>
        <w:sz w:val="20"/>
        <w:szCs w:val="20"/>
        <w:lang w:val="en-ID"/>
      </w:rPr>
      <w:t>1</w:t>
    </w:r>
    <w:r w:rsidR="00525046" w:rsidRPr="00E8624E">
      <w:rPr>
        <w:rFonts w:ascii="Cambria" w:hAnsi="Cambria"/>
        <w:b/>
        <w:spacing w:val="-6"/>
        <w:sz w:val="20"/>
        <w:szCs w:val="20"/>
        <w:lang w:val="en-ID"/>
      </w:rPr>
      <w:t>-</w:t>
    </w:r>
    <w:r>
      <w:rPr>
        <w:rFonts w:ascii="Cambria" w:hAnsi="Cambria"/>
        <w:b/>
        <w:spacing w:val="-6"/>
        <w:sz w:val="20"/>
        <w:szCs w:val="20"/>
        <w:lang w:val="en-ID"/>
      </w:rPr>
      <w:t>20</w:t>
    </w:r>
  </w:p>
  <w:p w14:paraId="6017989B" w14:textId="77777777" w:rsidR="00030C06" w:rsidRPr="00995538" w:rsidRDefault="00995538" w:rsidP="00995538">
    <w:pPr>
      <w:pStyle w:val="Header"/>
      <w:tabs>
        <w:tab w:val="clear" w:pos="4680"/>
        <w:tab w:val="clear" w:pos="9360"/>
      </w:tabs>
      <w:rPr>
        <w:rFonts w:ascii="Cambria" w:hAnsi="Cambria" w:cs="Vani"/>
        <w:spacing w:val="-6"/>
        <w:sz w:val="20"/>
        <w:szCs w:val="20"/>
        <w:lang w:val="en-AU"/>
      </w:rPr>
    </w:pPr>
    <w:r>
      <w:rPr>
        <w:rFonts w:ascii="Cambria" w:hAnsi="Cambria" w:cs="Vani"/>
        <w:spacing w:val="-6"/>
        <w:sz w:val="20"/>
        <w:szCs w:val="20"/>
        <w:lang w:val="en-AU"/>
      </w:rPr>
      <w:t xml:space="preserve">DOI: </w:t>
    </w:r>
    <w:r w:rsidRPr="00995538">
      <w:rPr>
        <w:rFonts w:ascii="Cambria" w:hAnsi="Cambria" w:cs="Vani"/>
        <w:spacing w:val="-6"/>
        <w:sz w:val="20"/>
        <w:szCs w:val="20"/>
        <w:lang w:val="en-AU"/>
      </w:rPr>
      <w:t>10.15575/vh.v4i1.</w:t>
    </w:r>
    <w:r>
      <w:rPr>
        <w:rFonts w:ascii="Cambria" w:hAnsi="Cambria" w:cs="Vani"/>
        <w:spacing w:val="-6"/>
        <w:sz w:val="20"/>
        <w:szCs w:val="20"/>
        <w:lang w:val="en-AU"/>
      </w:rPr>
      <w:t>XXXX</w:t>
    </w:r>
  </w:p>
  <w:p w14:paraId="04466C72"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6" w15:restartNumberingAfterBreak="0">
    <w:nsid w:val="0B6852C0"/>
    <w:multiLevelType w:val="multilevel"/>
    <w:tmpl w:val="9A9CC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C1310"/>
    <w:multiLevelType w:val="hybridMultilevel"/>
    <w:tmpl w:val="24C29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58BA"/>
    <w:multiLevelType w:val="multilevel"/>
    <w:tmpl w:val="3A8A1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B7644"/>
    <w:multiLevelType w:val="multilevel"/>
    <w:tmpl w:val="D16CD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2DAB40D4"/>
    <w:multiLevelType w:val="multilevel"/>
    <w:tmpl w:val="6952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D884B4D"/>
    <w:multiLevelType w:val="multilevel"/>
    <w:tmpl w:val="367E0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238101154">
    <w:abstractNumId w:val="27"/>
  </w:num>
  <w:num w:numId="2" w16cid:durableId="1366901478">
    <w:abstractNumId w:val="24"/>
  </w:num>
  <w:num w:numId="3" w16cid:durableId="838498796">
    <w:abstractNumId w:val="22"/>
  </w:num>
  <w:num w:numId="4" w16cid:durableId="644044595">
    <w:abstractNumId w:val="11"/>
  </w:num>
  <w:num w:numId="5" w16cid:durableId="2026177060">
    <w:abstractNumId w:val="16"/>
  </w:num>
  <w:num w:numId="6" w16cid:durableId="1578901096">
    <w:abstractNumId w:val="15"/>
  </w:num>
  <w:num w:numId="7" w16cid:durableId="654840577">
    <w:abstractNumId w:val="19"/>
  </w:num>
  <w:num w:numId="8" w16cid:durableId="1948076036">
    <w:abstractNumId w:val="25"/>
  </w:num>
  <w:num w:numId="9" w16cid:durableId="2066365970">
    <w:abstractNumId w:val="5"/>
  </w:num>
  <w:num w:numId="10" w16cid:durableId="1582181922">
    <w:abstractNumId w:val="0"/>
  </w:num>
  <w:num w:numId="11" w16cid:durableId="361711343">
    <w:abstractNumId w:val="1"/>
  </w:num>
  <w:num w:numId="12" w16cid:durableId="793521931">
    <w:abstractNumId w:val="2"/>
  </w:num>
  <w:num w:numId="13" w16cid:durableId="2117942110">
    <w:abstractNumId w:val="3"/>
  </w:num>
  <w:num w:numId="14" w16cid:durableId="1904486717">
    <w:abstractNumId w:val="23"/>
  </w:num>
  <w:num w:numId="15" w16cid:durableId="2115175483">
    <w:abstractNumId w:val="18"/>
  </w:num>
  <w:num w:numId="16" w16cid:durableId="636953003">
    <w:abstractNumId w:val="7"/>
  </w:num>
  <w:num w:numId="17" w16cid:durableId="546141561">
    <w:abstractNumId w:val="20"/>
  </w:num>
  <w:num w:numId="18" w16cid:durableId="1079711787">
    <w:abstractNumId w:val="21"/>
  </w:num>
  <w:num w:numId="19" w16cid:durableId="833834995">
    <w:abstractNumId w:val="17"/>
  </w:num>
  <w:num w:numId="20" w16cid:durableId="1990748480">
    <w:abstractNumId w:val="4"/>
  </w:num>
  <w:num w:numId="21" w16cid:durableId="772478987">
    <w:abstractNumId w:val="14"/>
  </w:num>
  <w:num w:numId="22" w16cid:durableId="667372160">
    <w:abstractNumId w:val="13"/>
  </w:num>
  <w:num w:numId="23" w16cid:durableId="964503181">
    <w:abstractNumId w:val="26"/>
  </w:num>
  <w:num w:numId="24" w16cid:durableId="2078476633">
    <w:abstractNumId w:val="10"/>
  </w:num>
  <w:num w:numId="25" w16cid:durableId="2106263687">
    <w:abstractNumId w:val="6"/>
  </w:num>
  <w:num w:numId="26" w16cid:durableId="1621719640">
    <w:abstractNumId w:val="9"/>
  </w:num>
  <w:num w:numId="27" w16cid:durableId="891387532">
    <w:abstractNumId w:val="12"/>
  </w:num>
  <w:num w:numId="28" w16cid:durableId="15330663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doNotHyphenateCaps/>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E0NrAwMzKwNLSwMDBT0lEKTi0uzszPAykwMq0FAEWIBJYtAAAA"/>
  </w:docVars>
  <w:rsids>
    <w:rsidRoot w:val="00385E18"/>
    <w:rsid w:val="00003EFC"/>
    <w:rsid w:val="00004041"/>
    <w:rsid w:val="00007C04"/>
    <w:rsid w:val="0001070A"/>
    <w:rsid w:val="000149F0"/>
    <w:rsid w:val="00016A0E"/>
    <w:rsid w:val="00030199"/>
    <w:rsid w:val="00030C06"/>
    <w:rsid w:val="000427A8"/>
    <w:rsid w:val="00045D09"/>
    <w:rsid w:val="000460A9"/>
    <w:rsid w:val="00054E7E"/>
    <w:rsid w:val="000563A5"/>
    <w:rsid w:val="00060524"/>
    <w:rsid w:val="00077ADC"/>
    <w:rsid w:val="000820BE"/>
    <w:rsid w:val="00090916"/>
    <w:rsid w:val="000936B1"/>
    <w:rsid w:val="00096F2F"/>
    <w:rsid w:val="000A2471"/>
    <w:rsid w:val="000B35C9"/>
    <w:rsid w:val="000B6842"/>
    <w:rsid w:val="000C4737"/>
    <w:rsid w:val="000C490E"/>
    <w:rsid w:val="000C7DB2"/>
    <w:rsid w:val="000D0086"/>
    <w:rsid w:val="000D04EE"/>
    <w:rsid w:val="000D09AD"/>
    <w:rsid w:val="000D7AAF"/>
    <w:rsid w:val="000E087E"/>
    <w:rsid w:val="000E0C01"/>
    <w:rsid w:val="000E3439"/>
    <w:rsid w:val="000E705B"/>
    <w:rsid w:val="000F2009"/>
    <w:rsid w:val="000F7119"/>
    <w:rsid w:val="00116759"/>
    <w:rsid w:val="001237B3"/>
    <w:rsid w:val="00124367"/>
    <w:rsid w:val="0012548E"/>
    <w:rsid w:val="001266D7"/>
    <w:rsid w:val="00126F30"/>
    <w:rsid w:val="001317C3"/>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3B30"/>
    <w:rsid w:val="00190E1D"/>
    <w:rsid w:val="001948B1"/>
    <w:rsid w:val="00196377"/>
    <w:rsid w:val="001A01B7"/>
    <w:rsid w:val="001A71FC"/>
    <w:rsid w:val="001A79E0"/>
    <w:rsid w:val="001C435A"/>
    <w:rsid w:val="001C4999"/>
    <w:rsid w:val="001D1402"/>
    <w:rsid w:val="001D3B6E"/>
    <w:rsid w:val="001D6A5C"/>
    <w:rsid w:val="001E2F73"/>
    <w:rsid w:val="001E594D"/>
    <w:rsid w:val="00203E37"/>
    <w:rsid w:val="002106A1"/>
    <w:rsid w:val="0023204F"/>
    <w:rsid w:val="00234868"/>
    <w:rsid w:val="0023542B"/>
    <w:rsid w:val="00235F56"/>
    <w:rsid w:val="00237379"/>
    <w:rsid w:val="002407CD"/>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2F7A"/>
    <w:rsid w:val="0031424E"/>
    <w:rsid w:val="0031551C"/>
    <w:rsid w:val="00315F4D"/>
    <w:rsid w:val="003211DA"/>
    <w:rsid w:val="0032490C"/>
    <w:rsid w:val="00325BCD"/>
    <w:rsid w:val="0033149F"/>
    <w:rsid w:val="00333C27"/>
    <w:rsid w:val="0035292F"/>
    <w:rsid w:val="00355364"/>
    <w:rsid w:val="00360AD5"/>
    <w:rsid w:val="0036770C"/>
    <w:rsid w:val="003679F4"/>
    <w:rsid w:val="00371100"/>
    <w:rsid w:val="00373BBA"/>
    <w:rsid w:val="00374FCB"/>
    <w:rsid w:val="0037723B"/>
    <w:rsid w:val="00381449"/>
    <w:rsid w:val="00385E18"/>
    <w:rsid w:val="003903EB"/>
    <w:rsid w:val="00395DBA"/>
    <w:rsid w:val="0039745C"/>
    <w:rsid w:val="003A7646"/>
    <w:rsid w:val="003B3811"/>
    <w:rsid w:val="003B45D7"/>
    <w:rsid w:val="003B6090"/>
    <w:rsid w:val="003C0982"/>
    <w:rsid w:val="003C5510"/>
    <w:rsid w:val="003C7B51"/>
    <w:rsid w:val="003C7F21"/>
    <w:rsid w:val="003D6607"/>
    <w:rsid w:val="003E1EAB"/>
    <w:rsid w:val="003E413F"/>
    <w:rsid w:val="003E694F"/>
    <w:rsid w:val="003E73E9"/>
    <w:rsid w:val="003F130E"/>
    <w:rsid w:val="003F4897"/>
    <w:rsid w:val="004007FB"/>
    <w:rsid w:val="00402ACD"/>
    <w:rsid w:val="004062B8"/>
    <w:rsid w:val="00406EA4"/>
    <w:rsid w:val="00411AAA"/>
    <w:rsid w:val="0041640B"/>
    <w:rsid w:val="00424C00"/>
    <w:rsid w:val="00427904"/>
    <w:rsid w:val="004430D1"/>
    <w:rsid w:val="0045217B"/>
    <w:rsid w:val="00464665"/>
    <w:rsid w:val="004660FC"/>
    <w:rsid w:val="004753BA"/>
    <w:rsid w:val="00482CA1"/>
    <w:rsid w:val="00483F95"/>
    <w:rsid w:val="00494F57"/>
    <w:rsid w:val="00496E43"/>
    <w:rsid w:val="004A1E0A"/>
    <w:rsid w:val="004A5212"/>
    <w:rsid w:val="004B1FA9"/>
    <w:rsid w:val="004B490A"/>
    <w:rsid w:val="004B4C43"/>
    <w:rsid w:val="004C5A2B"/>
    <w:rsid w:val="004C5ED9"/>
    <w:rsid w:val="004C741F"/>
    <w:rsid w:val="004D16E0"/>
    <w:rsid w:val="004D2251"/>
    <w:rsid w:val="004E6C92"/>
    <w:rsid w:val="004E766F"/>
    <w:rsid w:val="0050147D"/>
    <w:rsid w:val="0050641F"/>
    <w:rsid w:val="0050761F"/>
    <w:rsid w:val="00515C38"/>
    <w:rsid w:val="00517F27"/>
    <w:rsid w:val="0052034B"/>
    <w:rsid w:val="00525046"/>
    <w:rsid w:val="0052527E"/>
    <w:rsid w:val="00534BA0"/>
    <w:rsid w:val="00540B92"/>
    <w:rsid w:val="00545FB9"/>
    <w:rsid w:val="00557C4E"/>
    <w:rsid w:val="005628D1"/>
    <w:rsid w:val="005819FA"/>
    <w:rsid w:val="00586752"/>
    <w:rsid w:val="00593135"/>
    <w:rsid w:val="00594789"/>
    <w:rsid w:val="005A2E92"/>
    <w:rsid w:val="005A4F12"/>
    <w:rsid w:val="005B1781"/>
    <w:rsid w:val="005B25E4"/>
    <w:rsid w:val="005B4BD8"/>
    <w:rsid w:val="005C0F3C"/>
    <w:rsid w:val="005D72B0"/>
    <w:rsid w:val="005D7A63"/>
    <w:rsid w:val="005E5B16"/>
    <w:rsid w:val="005E6ECF"/>
    <w:rsid w:val="00623DF6"/>
    <w:rsid w:val="006406D3"/>
    <w:rsid w:val="00643626"/>
    <w:rsid w:val="006453E8"/>
    <w:rsid w:val="00645715"/>
    <w:rsid w:val="00656E1A"/>
    <w:rsid w:val="00661CE3"/>
    <w:rsid w:val="00670572"/>
    <w:rsid w:val="006719FA"/>
    <w:rsid w:val="00676060"/>
    <w:rsid w:val="00677579"/>
    <w:rsid w:val="006834DD"/>
    <w:rsid w:val="00683D3C"/>
    <w:rsid w:val="0068668D"/>
    <w:rsid w:val="00696E14"/>
    <w:rsid w:val="006A4B0E"/>
    <w:rsid w:val="006A7064"/>
    <w:rsid w:val="006B21A6"/>
    <w:rsid w:val="006B4DED"/>
    <w:rsid w:val="006B785B"/>
    <w:rsid w:val="006C308F"/>
    <w:rsid w:val="006D51BC"/>
    <w:rsid w:val="006D745D"/>
    <w:rsid w:val="006D7EA3"/>
    <w:rsid w:val="006E0FA5"/>
    <w:rsid w:val="006E7FE6"/>
    <w:rsid w:val="006F0E07"/>
    <w:rsid w:val="006F5781"/>
    <w:rsid w:val="00700A58"/>
    <w:rsid w:val="0071290A"/>
    <w:rsid w:val="00716AEC"/>
    <w:rsid w:val="00717076"/>
    <w:rsid w:val="00720572"/>
    <w:rsid w:val="00723A4A"/>
    <w:rsid w:val="00723BD0"/>
    <w:rsid w:val="00724A8F"/>
    <w:rsid w:val="00734AFD"/>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22EF"/>
    <w:rsid w:val="007B37BB"/>
    <w:rsid w:val="007C3E40"/>
    <w:rsid w:val="007D62A5"/>
    <w:rsid w:val="007E0E37"/>
    <w:rsid w:val="007F269A"/>
    <w:rsid w:val="007F475A"/>
    <w:rsid w:val="007F73CE"/>
    <w:rsid w:val="008076DE"/>
    <w:rsid w:val="0081028F"/>
    <w:rsid w:val="0081688E"/>
    <w:rsid w:val="00817475"/>
    <w:rsid w:val="00820AE3"/>
    <w:rsid w:val="00832CF4"/>
    <w:rsid w:val="00833D90"/>
    <w:rsid w:val="00843345"/>
    <w:rsid w:val="0084530E"/>
    <w:rsid w:val="0088638B"/>
    <w:rsid w:val="00887A1A"/>
    <w:rsid w:val="00892ADA"/>
    <w:rsid w:val="008956B4"/>
    <w:rsid w:val="00895FF6"/>
    <w:rsid w:val="008B160E"/>
    <w:rsid w:val="008C1A34"/>
    <w:rsid w:val="008C3240"/>
    <w:rsid w:val="008C76A6"/>
    <w:rsid w:val="008D05AB"/>
    <w:rsid w:val="008D670F"/>
    <w:rsid w:val="008D6A86"/>
    <w:rsid w:val="008D6AC3"/>
    <w:rsid w:val="008E01A4"/>
    <w:rsid w:val="008E41B6"/>
    <w:rsid w:val="008E71DB"/>
    <w:rsid w:val="008F500A"/>
    <w:rsid w:val="009029F5"/>
    <w:rsid w:val="00911B26"/>
    <w:rsid w:val="00920632"/>
    <w:rsid w:val="00921372"/>
    <w:rsid w:val="00924975"/>
    <w:rsid w:val="009317AE"/>
    <w:rsid w:val="009372F5"/>
    <w:rsid w:val="0095079F"/>
    <w:rsid w:val="009515EF"/>
    <w:rsid w:val="009556AB"/>
    <w:rsid w:val="00956216"/>
    <w:rsid w:val="00965301"/>
    <w:rsid w:val="0097086C"/>
    <w:rsid w:val="009720DD"/>
    <w:rsid w:val="00982091"/>
    <w:rsid w:val="0099182B"/>
    <w:rsid w:val="00995538"/>
    <w:rsid w:val="0099574B"/>
    <w:rsid w:val="00995F93"/>
    <w:rsid w:val="009A168B"/>
    <w:rsid w:val="009A2D72"/>
    <w:rsid w:val="009A3C07"/>
    <w:rsid w:val="009A6B10"/>
    <w:rsid w:val="009B2370"/>
    <w:rsid w:val="009B3704"/>
    <w:rsid w:val="009B4CD7"/>
    <w:rsid w:val="009C195C"/>
    <w:rsid w:val="009C7CB7"/>
    <w:rsid w:val="009D1238"/>
    <w:rsid w:val="009D2374"/>
    <w:rsid w:val="009D6767"/>
    <w:rsid w:val="009E3BFE"/>
    <w:rsid w:val="009E4A6D"/>
    <w:rsid w:val="009E59AB"/>
    <w:rsid w:val="009E5E32"/>
    <w:rsid w:val="009E791C"/>
    <w:rsid w:val="009F751D"/>
    <w:rsid w:val="009F7C3C"/>
    <w:rsid w:val="00A01DEF"/>
    <w:rsid w:val="00A02B2E"/>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62F0B"/>
    <w:rsid w:val="00A6390F"/>
    <w:rsid w:val="00A670DD"/>
    <w:rsid w:val="00A72245"/>
    <w:rsid w:val="00A84F99"/>
    <w:rsid w:val="00A9002F"/>
    <w:rsid w:val="00AA1AA5"/>
    <w:rsid w:val="00AB0464"/>
    <w:rsid w:val="00AB4345"/>
    <w:rsid w:val="00AB4AE5"/>
    <w:rsid w:val="00AC2B41"/>
    <w:rsid w:val="00AC7965"/>
    <w:rsid w:val="00AD2155"/>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287A"/>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5A16"/>
    <w:rsid w:val="00BC26D1"/>
    <w:rsid w:val="00BD0C29"/>
    <w:rsid w:val="00BD2438"/>
    <w:rsid w:val="00BD524D"/>
    <w:rsid w:val="00BD6016"/>
    <w:rsid w:val="00BE373C"/>
    <w:rsid w:val="00BE681A"/>
    <w:rsid w:val="00BF2F12"/>
    <w:rsid w:val="00BF57D5"/>
    <w:rsid w:val="00C015CF"/>
    <w:rsid w:val="00C15847"/>
    <w:rsid w:val="00C209B0"/>
    <w:rsid w:val="00C21360"/>
    <w:rsid w:val="00C258A3"/>
    <w:rsid w:val="00C30F3D"/>
    <w:rsid w:val="00C33C3B"/>
    <w:rsid w:val="00C42C4A"/>
    <w:rsid w:val="00C464D2"/>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860"/>
    <w:rsid w:val="00CB1FAE"/>
    <w:rsid w:val="00CB56EA"/>
    <w:rsid w:val="00CC0142"/>
    <w:rsid w:val="00CC3143"/>
    <w:rsid w:val="00CC6593"/>
    <w:rsid w:val="00CD3E2C"/>
    <w:rsid w:val="00CD6491"/>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1785"/>
    <w:rsid w:val="00D62950"/>
    <w:rsid w:val="00D8159C"/>
    <w:rsid w:val="00D83DFE"/>
    <w:rsid w:val="00D90C27"/>
    <w:rsid w:val="00D97972"/>
    <w:rsid w:val="00DA1046"/>
    <w:rsid w:val="00DC1577"/>
    <w:rsid w:val="00DC5C3D"/>
    <w:rsid w:val="00DC6548"/>
    <w:rsid w:val="00DD49DB"/>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77A9B"/>
    <w:rsid w:val="00E8004C"/>
    <w:rsid w:val="00E80576"/>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75E38"/>
    <w:rsid w:val="00F8107A"/>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2A2FD0"/>
  <w15:docId w15:val="{044A7659-8BFF-4E87-8B49-5D4D0F17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70"/>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customStyle="1" w:styleId="UnresolvedMention2">
    <w:name w:val="Unresolved Mention2"/>
    <w:basedOn w:val="DefaultParagraphFont"/>
    <w:uiPriority w:val="99"/>
    <w:semiHidden/>
    <w:unhideWhenUsed/>
    <w:rsid w:val="00B4287A"/>
    <w:rPr>
      <w:color w:val="605E5C"/>
      <w:shd w:val="clear" w:color="auto" w:fill="E1DFDD"/>
    </w:rPr>
  </w:style>
  <w:style w:type="character" w:styleId="UnresolvedMention">
    <w:name w:val="Unresolved Mention"/>
    <w:basedOn w:val="DefaultParagraphFont"/>
    <w:uiPriority w:val="99"/>
    <w:semiHidden/>
    <w:unhideWhenUsed/>
    <w:rsid w:val="0024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687">
      <w:bodyDiv w:val="1"/>
      <w:marLeft w:val="0"/>
      <w:marRight w:val="0"/>
      <w:marTop w:val="0"/>
      <w:marBottom w:val="0"/>
      <w:divBdr>
        <w:top w:val="none" w:sz="0" w:space="0" w:color="auto"/>
        <w:left w:val="none" w:sz="0" w:space="0" w:color="auto"/>
        <w:bottom w:val="none" w:sz="0" w:space="0" w:color="auto"/>
        <w:right w:val="none" w:sz="0" w:space="0" w:color="auto"/>
      </w:divBdr>
    </w:div>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443305564">
      <w:bodyDiv w:val="1"/>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 w:id="795104321">
      <w:bodyDiv w:val="1"/>
      <w:marLeft w:val="0"/>
      <w:marRight w:val="0"/>
      <w:marTop w:val="0"/>
      <w:marBottom w:val="0"/>
      <w:divBdr>
        <w:top w:val="none" w:sz="0" w:space="0" w:color="auto"/>
        <w:left w:val="none" w:sz="0" w:space="0" w:color="auto"/>
        <w:bottom w:val="none" w:sz="0" w:space="0" w:color="auto"/>
        <w:right w:val="none" w:sz="0" w:space="0" w:color="auto"/>
      </w:divBdr>
    </w:div>
    <w:div w:id="891429514">
      <w:bodyDiv w:val="1"/>
      <w:marLeft w:val="0"/>
      <w:marRight w:val="0"/>
      <w:marTop w:val="0"/>
      <w:marBottom w:val="0"/>
      <w:divBdr>
        <w:top w:val="none" w:sz="0" w:space="0" w:color="auto"/>
        <w:left w:val="none" w:sz="0" w:space="0" w:color="auto"/>
        <w:bottom w:val="none" w:sz="0" w:space="0" w:color="auto"/>
        <w:right w:val="none" w:sz="0" w:space="0" w:color="auto"/>
      </w:divBdr>
    </w:div>
    <w:div w:id="1250582075">
      <w:bodyDiv w:val="1"/>
      <w:marLeft w:val="0"/>
      <w:marRight w:val="0"/>
      <w:marTop w:val="0"/>
      <w:marBottom w:val="0"/>
      <w:divBdr>
        <w:top w:val="none" w:sz="0" w:space="0" w:color="auto"/>
        <w:left w:val="none" w:sz="0" w:space="0" w:color="auto"/>
        <w:bottom w:val="none" w:sz="0" w:space="0" w:color="auto"/>
        <w:right w:val="none" w:sz="0" w:space="0" w:color="auto"/>
      </w:divBdr>
    </w:div>
    <w:div w:id="143197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ahariyonagie08@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utangrosidin@uinsgd.ac.id" TargetMode="External"/><Relationship Id="rId4" Type="http://schemas.openxmlformats.org/officeDocument/2006/relationships/settings" Target="settings.xml"/><Relationship Id="rId9" Type="http://schemas.openxmlformats.org/officeDocument/2006/relationships/hyperlink" Target="mailto:elanjaelani@uinsgd.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VARIA%20HUKUM_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5B8DA63-7834-4AD3-9D9F-63DAFD18D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VARIA HUKUM_1 (1).dotx</Template>
  <TotalTime>6</TotalTime>
  <Pages>13</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Hewlett-Packard Company</Company>
  <LinksUpToDate>false</LinksUpToDate>
  <CharactersWithSpaces>28763</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creator>HP</dc:creator>
  <cp:lastModifiedBy>matahari yonagie</cp:lastModifiedBy>
  <cp:revision>2</cp:revision>
  <cp:lastPrinted>2020-04-30T04:32:00Z</cp:lastPrinted>
  <dcterms:created xsi:type="dcterms:W3CDTF">2023-06-19T14:38:00Z</dcterms:created>
  <dcterms:modified xsi:type="dcterms:W3CDTF">2023-06-19T14:38:00Z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2ba05f4b-f84c-3435-86ab-8a502bdd1f19</vt:lpwstr>
  </property>
  <property fmtid="{D5CDD505-2E9C-101B-9397-08002B2CF9AE}" pid="24" name="Mendeley Citation Style_1">
    <vt:lpwstr>http://www.zotero.org/styles/chicago-fullnote-bibliography</vt:lpwstr>
  </property>
</Properties>
</file>