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F1058" w14:textId="77777777" w:rsidR="002407CD" w:rsidRPr="002407CD" w:rsidRDefault="002407CD" w:rsidP="002407CD">
      <w:pPr>
        <w:spacing w:after="60" w:line="240" w:lineRule="auto"/>
        <w:jc w:val="center"/>
        <w:rPr>
          <w:rFonts w:ascii="Cambria" w:eastAsia="Cambria" w:hAnsi="Cambria" w:cs="Cambria"/>
          <w:b/>
          <w:color w:val="000000"/>
          <w:sz w:val="26"/>
          <w:szCs w:val="26"/>
        </w:rPr>
      </w:pPr>
      <w:r w:rsidRPr="002407CD">
        <w:rPr>
          <w:rFonts w:ascii="Cambria" w:eastAsia="Cambria" w:hAnsi="Cambria" w:cs="Cambria"/>
          <w:b/>
          <w:color w:val="000000"/>
          <w:sz w:val="26"/>
          <w:szCs w:val="26"/>
        </w:rPr>
        <w:t xml:space="preserve">URGENSI PAYUNG HUKUM BAGI KEJAHATAN SEXTORTION   </w:t>
      </w:r>
    </w:p>
    <w:p w14:paraId="2C4807CF" w14:textId="7212D562" w:rsidR="00D97972" w:rsidRPr="002407CD" w:rsidRDefault="002407CD" w:rsidP="002407CD">
      <w:pPr>
        <w:spacing w:after="60" w:line="240" w:lineRule="auto"/>
        <w:jc w:val="center"/>
        <w:rPr>
          <w:rFonts w:ascii="Cambria" w:eastAsia="Cambria" w:hAnsi="Cambria" w:cs="Cambria"/>
          <w:b/>
          <w:color w:val="000000"/>
        </w:rPr>
      </w:pPr>
      <w:r w:rsidRPr="002407CD">
        <w:rPr>
          <w:rFonts w:ascii="Cambria" w:eastAsia="Cambria" w:hAnsi="Cambria" w:cs="Cambria"/>
          <w:b/>
          <w:color w:val="000000"/>
          <w:sz w:val="26"/>
          <w:szCs w:val="26"/>
        </w:rPr>
        <w:t>“KORUPSI YANG MELIBATKAN GENDER DAN EKPLOITASI SEKSUAL”</w:t>
      </w:r>
    </w:p>
    <w:p w14:paraId="626059B4" w14:textId="507B8795" w:rsidR="009D6767" w:rsidRPr="002407CD" w:rsidRDefault="002407CD" w:rsidP="002407CD">
      <w:pPr>
        <w:spacing w:after="0"/>
        <w:jc w:val="center"/>
        <w:rPr>
          <w:rFonts w:ascii="Cambria" w:eastAsia="Cambria" w:hAnsi="Cambria" w:cs="Cambria"/>
          <w:color w:val="000000"/>
          <w:vertAlign w:val="superscript"/>
        </w:rPr>
      </w:pPr>
      <w:r w:rsidRPr="002407CD">
        <w:rPr>
          <w:rFonts w:ascii="Cambria" w:hAnsi="Cambria"/>
        </w:rPr>
        <w:t>Matahar</w:t>
      </w:r>
      <w:r>
        <w:rPr>
          <w:rFonts w:ascii="Cambria" w:hAnsi="Cambria"/>
        </w:rPr>
        <w:t>i</w:t>
      </w:r>
      <w:r w:rsidRPr="002407CD">
        <w:rPr>
          <w:rFonts w:ascii="Cambria" w:hAnsi="Cambria"/>
        </w:rPr>
        <w:t xml:space="preserve"> Yonag</w:t>
      </w:r>
      <w:r w:rsidR="0095079F">
        <w:rPr>
          <w:rFonts w:ascii="Cambria" w:hAnsi="Cambria"/>
        </w:rPr>
        <w:t>i</w:t>
      </w:r>
      <w:r w:rsidRPr="002407CD">
        <w:rPr>
          <w:rFonts w:ascii="Cambria" w:hAnsi="Cambria"/>
        </w:rPr>
        <w:t>e</w:t>
      </w:r>
      <w:r w:rsidR="0095079F">
        <w:rPr>
          <w:rFonts w:ascii="Cambria" w:hAnsi="Cambria"/>
        </w:rPr>
        <w:t>, Elan Jelani, Utang Rosidin</w:t>
      </w:r>
    </w:p>
    <w:p w14:paraId="0B672888" w14:textId="77777777" w:rsidR="002407CD" w:rsidRPr="002407CD" w:rsidRDefault="002407CD" w:rsidP="002407CD">
      <w:pPr>
        <w:spacing w:after="0"/>
        <w:jc w:val="center"/>
        <w:rPr>
          <w:rFonts w:ascii="Cambria" w:eastAsia="Cambria" w:hAnsi="Cambria" w:cs="Cambria"/>
          <w:color w:val="000000"/>
        </w:rPr>
      </w:pPr>
      <w:r w:rsidRPr="002407CD">
        <w:rPr>
          <w:rFonts w:ascii="Cambria" w:eastAsia="Cambria" w:hAnsi="Cambria" w:cs="Cambria"/>
          <w:color w:val="000000"/>
        </w:rPr>
        <w:t>Program Studi Ilmu Hukum, Fakultas Syariah &amp; Hukum.</w:t>
      </w:r>
    </w:p>
    <w:p w14:paraId="0F8AB1B7" w14:textId="77777777" w:rsidR="002407CD" w:rsidRPr="002407CD" w:rsidRDefault="002407CD" w:rsidP="002407CD">
      <w:pPr>
        <w:spacing w:after="0"/>
        <w:jc w:val="center"/>
        <w:rPr>
          <w:rFonts w:ascii="Cambria" w:eastAsia="Cambria" w:hAnsi="Cambria" w:cs="Cambria"/>
          <w:color w:val="000000"/>
        </w:rPr>
      </w:pPr>
      <w:r w:rsidRPr="002407CD">
        <w:rPr>
          <w:rFonts w:ascii="Cambria" w:eastAsia="Cambria" w:hAnsi="Cambria" w:cs="Cambria"/>
          <w:color w:val="000000"/>
        </w:rPr>
        <w:t>UIN Sunan Gunung Djati Bandung</w:t>
      </w:r>
    </w:p>
    <w:p w14:paraId="73A3BCE0" w14:textId="16876032" w:rsidR="002407CD" w:rsidRPr="002407CD" w:rsidRDefault="0095079F" w:rsidP="002407CD">
      <w:pPr>
        <w:spacing w:after="0"/>
        <w:jc w:val="center"/>
        <w:rPr>
          <w:rFonts w:ascii="Cambria" w:eastAsia="Cambria" w:hAnsi="Cambria" w:cs="Cambria"/>
          <w:color w:val="000000"/>
        </w:rPr>
      </w:pPr>
      <w:r w:rsidRPr="0095079F">
        <w:rPr>
          <w:rFonts w:ascii="Cambria" w:hAnsi="Cambria"/>
        </w:rPr>
        <w:t>Email</w:t>
      </w:r>
      <w:r>
        <w:t xml:space="preserve">: </w:t>
      </w:r>
      <w:hyperlink r:id="rId8" w:history="1">
        <w:r w:rsidRPr="003765FD">
          <w:rPr>
            <w:rStyle w:val="Hyperlink"/>
            <w:rFonts w:ascii="Cambria" w:hAnsi="Cambria" w:cs="Calibri"/>
          </w:rPr>
          <w:t>Matahariyonagie08@gmail.com</w:t>
        </w:r>
      </w:hyperlink>
      <w:r>
        <w:rPr>
          <w:rFonts w:ascii="Cambria" w:hAnsi="Cambria"/>
          <w:color w:val="000000"/>
        </w:rPr>
        <w:t xml:space="preserve">, </w:t>
      </w:r>
      <w:hyperlink r:id="rId9" w:history="1">
        <w:r w:rsidRPr="003765FD">
          <w:rPr>
            <w:rStyle w:val="Hyperlink"/>
            <w:rFonts w:ascii="Cambria" w:hAnsi="Cambria" w:cs="Calibri"/>
          </w:rPr>
          <w:t>elanjaelani@uinsgd.ac.id</w:t>
        </w:r>
      </w:hyperlink>
      <w:r>
        <w:rPr>
          <w:rFonts w:ascii="Cambria" w:hAnsi="Cambria"/>
          <w:color w:val="000000"/>
        </w:rPr>
        <w:t xml:space="preserve">, </w:t>
      </w:r>
      <w:hyperlink r:id="rId10" w:history="1">
        <w:r w:rsidRPr="003765FD">
          <w:rPr>
            <w:rStyle w:val="Hyperlink"/>
            <w:rFonts w:ascii="Cambria" w:hAnsi="Cambria" w:cs="Calibri"/>
          </w:rPr>
          <w:t>utangrosidin@uinsgd.ac.id</w:t>
        </w:r>
      </w:hyperlink>
      <w:r>
        <w:rPr>
          <w:rFonts w:ascii="Cambria" w:hAnsi="Cambria"/>
          <w:color w:val="000000"/>
        </w:rPr>
        <w:t xml:space="preserve"> </w:t>
      </w:r>
    </w:p>
    <w:p w14:paraId="2428D198" w14:textId="4E963608" w:rsidR="00D97972" w:rsidRPr="002407CD" w:rsidRDefault="00D97972" w:rsidP="002407CD">
      <w:pPr>
        <w:spacing w:before="240" w:after="60" w:line="240" w:lineRule="auto"/>
        <w:jc w:val="center"/>
        <w:rPr>
          <w:rFonts w:ascii="Cambria" w:eastAsia="Cambria" w:hAnsi="Cambria" w:cs="Cambria"/>
          <w:b/>
          <w:color w:val="000000"/>
        </w:rPr>
      </w:pPr>
      <w:r w:rsidRPr="002407CD">
        <w:rPr>
          <w:rFonts w:ascii="Cambria" w:eastAsia="Cambria" w:hAnsi="Cambria" w:cs="Cambria"/>
          <w:b/>
          <w:color w:val="000000"/>
        </w:rPr>
        <w:t>Abstract</w:t>
      </w:r>
    </w:p>
    <w:p w14:paraId="230035DD" w14:textId="77777777" w:rsidR="002407CD" w:rsidRPr="002407CD" w:rsidRDefault="002407CD" w:rsidP="00E80576">
      <w:pPr>
        <w:spacing w:after="0"/>
        <w:ind w:left="567" w:right="567" w:firstLine="720"/>
        <w:jc w:val="both"/>
        <w:rPr>
          <w:rFonts w:ascii="Cambria" w:eastAsia="Cambria" w:hAnsi="Cambria" w:cs="Cambria"/>
          <w:i/>
          <w:iCs/>
          <w:color w:val="000000"/>
          <w:sz w:val="18"/>
          <w:szCs w:val="18"/>
        </w:rPr>
      </w:pPr>
      <w:r w:rsidRPr="002407CD">
        <w:rPr>
          <w:rFonts w:ascii="Cambria" w:eastAsia="Cambria" w:hAnsi="Cambria" w:cs="Cambria"/>
          <w:i/>
          <w:iCs/>
          <w:color w:val="000000"/>
          <w:sz w:val="18"/>
          <w:szCs w:val="18"/>
        </w:rPr>
        <w:t>The presence of digital technology has transformed the landscape of crime, including the emergence of sextortion phenomena involving corruption, gender, and sexual exploitation. Sextortion refers to the practice of extortion where perpetrators use sexually explicit material obtained illegally or through deception to gain financial advantage, power, or control over their victims. This crime has devastating impacts, especially on victims who often experience serious psychological trauma.</w:t>
      </w:r>
    </w:p>
    <w:p w14:paraId="5A1F1289" w14:textId="77777777" w:rsidR="002407CD" w:rsidRPr="002407CD" w:rsidRDefault="002407CD" w:rsidP="00E80576">
      <w:pPr>
        <w:spacing w:after="0"/>
        <w:ind w:left="567" w:right="567" w:firstLine="720"/>
        <w:jc w:val="both"/>
        <w:rPr>
          <w:rFonts w:ascii="Cambria" w:eastAsia="Cambria" w:hAnsi="Cambria" w:cs="Cambria"/>
          <w:i/>
          <w:iCs/>
          <w:color w:val="000000"/>
          <w:sz w:val="18"/>
          <w:szCs w:val="18"/>
        </w:rPr>
      </w:pPr>
      <w:r w:rsidRPr="002407CD">
        <w:rPr>
          <w:rFonts w:ascii="Cambria" w:eastAsia="Cambria" w:hAnsi="Cambria" w:cs="Cambria"/>
          <w:i/>
          <w:iCs/>
          <w:color w:val="000000"/>
          <w:sz w:val="18"/>
          <w:szCs w:val="18"/>
        </w:rPr>
        <w:t>An adequate legal framework is crucial in addressing sextortion cases. The urgency of legal provisions in this context involves the establishment and strengthening of specific and effective laws to combat sextortion. The laws should consider aspects such as victim protection, strict punishment for perpetrators, and prevention through education and public awareness.</w:t>
      </w:r>
    </w:p>
    <w:p w14:paraId="7516F4E6" w14:textId="77777777" w:rsidR="002407CD" w:rsidRPr="002407CD" w:rsidRDefault="002407CD" w:rsidP="00E80576">
      <w:pPr>
        <w:spacing w:after="0"/>
        <w:ind w:left="567" w:right="567" w:firstLine="720"/>
        <w:jc w:val="both"/>
        <w:rPr>
          <w:rFonts w:ascii="Cambria" w:eastAsia="Cambria" w:hAnsi="Cambria" w:cs="Cambria"/>
          <w:i/>
          <w:iCs/>
          <w:color w:val="000000"/>
          <w:sz w:val="18"/>
          <w:szCs w:val="18"/>
        </w:rPr>
      </w:pPr>
      <w:r w:rsidRPr="002407CD">
        <w:rPr>
          <w:rFonts w:ascii="Cambria" w:eastAsia="Cambria" w:hAnsi="Cambria" w:cs="Cambria"/>
          <w:i/>
          <w:iCs/>
          <w:color w:val="000000"/>
          <w:sz w:val="18"/>
          <w:szCs w:val="18"/>
        </w:rPr>
        <w:t>First and foremost, the protection of sextortion victims should be a top priority. The laws should recognize and respect the rights of victims, including privacy, security, and psychological recovery. Furthermore, the laws should provide adequate mechanisms to report crimes, offer legal assistance, and support victims throughout the judicial process.</w:t>
      </w:r>
    </w:p>
    <w:p w14:paraId="0CBE0150" w14:textId="77777777" w:rsidR="002407CD" w:rsidRPr="002407CD" w:rsidRDefault="002407CD" w:rsidP="00E80576">
      <w:pPr>
        <w:spacing w:after="0"/>
        <w:ind w:left="567" w:right="567" w:firstLine="720"/>
        <w:jc w:val="both"/>
        <w:rPr>
          <w:rFonts w:ascii="Cambria" w:eastAsia="Cambria" w:hAnsi="Cambria" w:cs="Cambria"/>
          <w:i/>
          <w:iCs/>
          <w:color w:val="000000"/>
          <w:sz w:val="18"/>
          <w:szCs w:val="18"/>
        </w:rPr>
      </w:pPr>
      <w:r w:rsidRPr="002407CD">
        <w:rPr>
          <w:rFonts w:ascii="Cambria" w:eastAsia="Cambria" w:hAnsi="Cambria" w:cs="Cambria"/>
          <w:i/>
          <w:iCs/>
          <w:color w:val="000000"/>
          <w:sz w:val="18"/>
          <w:szCs w:val="18"/>
        </w:rPr>
        <w:t>Secondly, stringent punishment for sextortion perpetrators should be an integral part of the legal framework. Perpetrators must face serious consequences, including appropriate prison sentences and significant fines. Strong sanctions will deter potential offenders and send a message that sextortion will not be tolerated in society.</w:t>
      </w:r>
    </w:p>
    <w:p w14:paraId="704500F3" w14:textId="77777777" w:rsidR="002407CD" w:rsidRPr="002407CD" w:rsidRDefault="002407CD" w:rsidP="00E80576">
      <w:pPr>
        <w:spacing w:after="0"/>
        <w:ind w:left="567" w:right="567" w:firstLine="720"/>
        <w:jc w:val="both"/>
        <w:rPr>
          <w:rFonts w:ascii="Cambria" w:eastAsia="Cambria" w:hAnsi="Cambria" w:cs="Cambria"/>
          <w:i/>
          <w:iCs/>
          <w:color w:val="000000"/>
          <w:sz w:val="18"/>
          <w:szCs w:val="18"/>
        </w:rPr>
      </w:pPr>
      <w:r w:rsidRPr="002407CD">
        <w:rPr>
          <w:rFonts w:ascii="Cambria" w:eastAsia="Cambria" w:hAnsi="Cambria" w:cs="Cambria"/>
          <w:i/>
          <w:iCs/>
          <w:color w:val="000000"/>
          <w:sz w:val="18"/>
          <w:szCs w:val="18"/>
        </w:rPr>
        <w:t>Additionally, prevention of sextortion through education and public awareness should also be a crucial component of the legal framework. Education programs involving schools, families, and community institutions should be established to enhance awareness of sextortion risks, teach safe digital skills, and encourage responsible technology use.</w:t>
      </w:r>
    </w:p>
    <w:p w14:paraId="22424E89" w14:textId="77777777" w:rsidR="002407CD" w:rsidRPr="002407CD" w:rsidRDefault="002407CD" w:rsidP="00E80576">
      <w:pPr>
        <w:spacing w:after="0"/>
        <w:ind w:left="567" w:right="567" w:firstLine="720"/>
        <w:jc w:val="both"/>
        <w:rPr>
          <w:rFonts w:ascii="Cambria" w:eastAsia="Cambria" w:hAnsi="Cambria" w:cs="Cambria"/>
          <w:i/>
          <w:iCs/>
          <w:color w:val="000000"/>
          <w:sz w:val="18"/>
          <w:szCs w:val="18"/>
        </w:rPr>
      </w:pPr>
      <w:r w:rsidRPr="002407CD">
        <w:rPr>
          <w:rFonts w:ascii="Cambria" w:eastAsia="Cambria" w:hAnsi="Cambria" w:cs="Cambria"/>
          <w:i/>
          <w:iCs/>
          <w:color w:val="000000"/>
          <w:sz w:val="18"/>
          <w:szCs w:val="18"/>
        </w:rPr>
        <w:t>In the context of corruption involving gender and sexual exploitation, a robust legal framework should also consider gender equality dimensions. The laws should prevent gender discrimination, recognize equal rights and protection for all individuals, and promote active participation of women in the law enforcement process.</w:t>
      </w:r>
    </w:p>
    <w:p w14:paraId="34347EA9" w14:textId="64CB92BE" w:rsidR="00D97972" w:rsidRPr="002407CD" w:rsidRDefault="002407CD" w:rsidP="00E80576">
      <w:pPr>
        <w:spacing w:after="0"/>
        <w:ind w:left="567" w:right="567" w:firstLine="720"/>
        <w:jc w:val="both"/>
        <w:rPr>
          <w:rFonts w:ascii="Cambria" w:eastAsia="Cambria" w:hAnsi="Cambria" w:cs="Cambria"/>
          <w:i/>
          <w:iCs/>
          <w:color w:val="000000"/>
          <w:sz w:val="18"/>
          <w:szCs w:val="18"/>
        </w:rPr>
      </w:pPr>
      <w:r w:rsidRPr="002407CD">
        <w:rPr>
          <w:rFonts w:ascii="Cambria" w:eastAsia="Cambria" w:hAnsi="Cambria" w:cs="Cambria"/>
          <w:i/>
          <w:iCs/>
          <w:color w:val="000000"/>
          <w:sz w:val="18"/>
          <w:szCs w:val="18"/>
        </w:rPr>
        <w:t xml:space="preserve">In order to address the urgency of sextortion crimes involving corruption, gender, and sexual exploitation, a comprehensive and effective legal framework is highly needed. These efforts involve victim protection, strict punishment for </w:t>
      </w:r>
      <w:r w:rsidRPr="002407CD">
        <w:rPr>
          <w:rFonts w:ascii="Cambria" w:eastAsia="Cambria" w:hAnsi="Cambria" w:cs="Cambria"/>
          <w:i/>
          <w:iCs/>
          <w:color w:val="000000"/>
          <w:sz w:val="18"/>
          <w:szCs w:val="18"/>
        </w:rPr>
        <w:lastRenderedPageBreak/>
        <w:t>perpetrators, prevention through education and public awareness, and recognition of gender equality. Only by strengthening this legal framework can we effectively combat sextortion and protect society from its damaging impacts.</w:t>
      </w:r>
      <w:r w:rsidR="009B2370" w:rsidRPr="002407CD">
        <w:rPr>
          <w:rFonts w:ascii="Cambria" w:eastAsia="Cambria" w:hAnsi="Cambria" w:cs="Cambria"/>
          <w:i/>
          <w:iCs/>
          <w:color w:val="000000"/>
          <w:sz w:val="18"/>
          <w:szCs w:val="18"/>
        </w:rPr>
        <w:t>.</w:t>
      </w:r>
    </w:p>
    <w:p w14:paraId="5CEBE18D" w14:textId="01B17CEA" w:rsidR="00D97972" w:rsidRPr="002407CD" w:rsidRDefault="00D97972" w:rsidP="00E80576">
      <w:pPr>
        <w:spacing w:after="0"/>
        <w:ind w:left="1560" w:right="567" w:hanging="993"/>
        <w:jc w:val="both"/>
        <w:rPr>
          <w:rFonts w:ascii="Cambria" w:eastAsia="Cambria" w:hAnsi="Cambria" w:cs="Cambria"/>
          <w:b/>
          <w:bCs/>
          <w:i/>
          <w:iCs/>
          <w:color w:val="000000"/>
          <w:sz w:val="18"/>
          <w:szCs w:val="18"/>
        </w:rPr>
      </w:pPr>
      <w:r w:rsidRPr="002407CD">
        <w:rPr>
          <w:rFonts w:ascii="Cambria" w:eastAsia="Cambria" w:hAnsi="Cambria" w:cs="Cambria"/>
          <w:b/>
          <w:bCs/>
          <w:i/>
          <w:iCs/>
          <w:color w:val="000000"/>
          <w:sz w:val="18"/>
          <w:szCs w:val="18"/>
        </w:rPr>
        <w:t xml:space="preserve">Keywords: </w:t>
      </w:r>
      <w:r w:rsidR="002407CD" w:rsidRPr="002407CD">
        <w:rPr>
          <w:rFonts w:ascii="Cambria" w:eastAsia="Cambria" w:hAnsi="Cambria" w:cs="Cambria"/>
          <w:b/>
          <w:bCs/>
          <w:i/>
          <w:iCs/>
          <w:color w:val="000000"/>
          <w:sz w:val="18"/>
          <w:szCs w:val="18"/>
        </w:rPr>
        <w:t>Sextortion, Legal framework, Victim protection, Strict punishment, Prevention</w:t>
      </w:r>
    </w:p>
    <w:p w14:paraId="00771617" w14:textId="671FCCA7" w:rsidR="009B2370" w:rsidRPr="002407CD" w:rsidRDefault="009B2370" w:rsidP="00E80576">
      <w:pPr>
        <w:spacing w:before="240" w:after="60"/>
        <w:jc w:val="center"/>
        <w:rPr>
          <w:rFonts w:ascii="Cambria" w:eastAsia="Cambria" w:hAnsi="Cambria" w:cs="Cambria"/>
          <w:b/>
          <w:color w:val="000000"/>
        </w:rPr>
      </w:pPr>
      <w:r w:rsidRPr="002407CD">
        <w:rPr>
          <w:rFonts w:ascii="Cambria" w:eastAsia="Cambria" w:hAnsi="Cambria" w:cs="Cambria"/>
          <w:b/>
          <w:color w:val="000000"/>
        </w:rPr>
        <w:t>Abstrak</w:t>
      </w:r>
    </w:p>
    <w:p w14:paraId="42C04CC7" w14:textId="77777777" w:rsidR="002407CD" w:rsidRPr="002407CD" w:rsidRDefault="002407CD" w:rsidP="00E80576">
      <w:pPr>
        <w:spacing w:after="0"/>
        <w:ind w:left="567" w:right="567" w:firstLine="720"/>
        <w:jc w:val="both"/>
        <w:rPr>
          <w:rFonts w:ascii="Cambria" w:eastAsia="Cambria" w:hAnsi="Cambria" w:cs="Cambria"/>
          <w:color w:val="000000"/>
          <w:sz w:val="18"/>
          <w:szCs w:val="18"/>
        </w:rPr>
      </w:pPr>
      <w:r w:rsidRPr="002407CD">
        <w:rPr>
          <w:rFonts w:ascii="Cambria" w:eastAsia="Cambria" w:hAnsi="Cambria" w:cs="Cambria"/>
          <w:color w:val="000000"/>
          <w:sz w:val="18"/>
          <w:szCs w:val="18"/>
        </w:rPr>
        <w:t>Kehadiran teknologi digital telah mengubah lanskap kejahatan, termasuk munculnya fenomena sextortion yang melibatkan korupsi, gender, dan eksploitasi seksual. Sextortion mengacu pada praktik pemerasan di mana pelaku menggunakan materi seksual yang diperoleh secara ilegal atau melalui penipuan untuk memperoleh keuntungan finansial, kekuasaan, atau kontrol atas korban mereka. Kejahatan ini memiliki dampak yang merusak, terutama terhadap korban yang seringkali mengalami trauma psikologis yang serius.</w:t>
      </w:r>
    </w:p>
    <w:p w14:paraId="664E4BA7" w14:textId="77777777" w:rsidR="002407CD" w:rsidRPr="002407CD" w:rsidRDefault="002407CD" w:rsidP="00E80576">
      <w:pPr>
        <w:spacing w:after="0"/>
        <w:ind w:left="567" w:right="567" w:firstLine="720"/>
        <w:jc w:val="both"/>
        <w:rPr>
          <w:rFonts w:ascii="Cambria" w:eastAsia="Cambria" w:hAnsi="Cambria" w:cs="Cambria"/>
          <w:color w:val="000000"/>
          <w:sz w:val="18"/>
          <w:szCs w:val="18"/>
        </w:rPr>
      </w:pPr>
      <w:r w:rsidRPr="002407CD">
        <w:rPr>
          <w:rFonts w:ascii="Cambria" w:eastAsia="Cambria" w:hAnsi="Cambria" w:cs="Cambria"/>
          <w:color w:val="000000"/>
          <w:sz w:val="18"/>
          <w:szCs w:val="18"/>
        </w:rPr>
        <w:t>Payung hukum yang memadai sangat penting dalam penanganan kasus sextortion. Urgensi payung hukum dalam konteks ini melibatkan pembentukan dan penguatan undang-undang yang spesifik dan efektif untuk melawan kejahatan sextortion. Undang-undang harus mempertimbangkan aspek-aspek seperti perlindungan korban, penghukuman tegas bagi pelaku, dan pencegahan melalui pendidikan dan kesadaran masyarakat.</w:t>
      </w:r>
    </w:p>
    <w:p w14:paraId="64B92BF1" w14:textId="77777777" w:rsidR="002407CD" w:rsidRPr="002407CD" w:rsidRDefault="002407CD" w:rsidP="00E80576">
      <w:pPr>
        <w:spacing w:after="0"/>
        <w:ind w:left="567" w:right="567" w:firstLine="720"/>
        <w:jc w:val="both"/>
        <w:rPr>
          <w:rFonts w:ascii="Cambria" w:eastAsia="Cambria" w:hAnsi="Cambria" w:cs="Cambria"/>
          <w:color w:val="000000"/>
          <w:sz w:val="18"/>
          <w:szCs w:val="18"/>
        </w:rPr>
      </w:pPr>
      <w:r w:rsidRPr="002407CD">
        <w:rPr>
          <w:rFonts w:ascii="Cambria" w:eastAsia="Cambria" w:hAnsi="Cambria" w:cs="Cambria"/>
          <w:color w:val="000000"/>
          <w:sz w:val="18"/>
          <w:szCs w:val="18"/>
        </w:rPr>
        <w:t>Pertama-tama, perlindungan terhadap korban sextortion harus menjadi prioritas utama. Undang-undang harus mengakui dan menghormati hak-hak korban, termasuk hak privasi, keamanan, dan pemulihan psikologis. Lebih lanjut, undang-undang harus memberikan mekanisme yang memadai untuk melaporkan kejahatan, menyediakan bantuan hukum, dan mendukung korban dalam proses pengadilan.</w:t>
      </w:r>
    </w:p>
    <w:p w14:paraId="2ED7BA6F" w14:textId="77777777" w:rsidR="002407CD" w:rsidRPr="002407CD" w:rsidRDefault="002407CD" w:rsidP="00E80576">
      <w:pPr>
        <w:spacing w:after="0"/>
        <w:ind w:left="567" w:right="567" w:firstLine="720"/>
        <w:jc w:val="both"/>
        <w:rPr>
          <w:rFonts w:ascii="Cambria" w:eastAsia="Cambria" w:hAnsi="Cambria" w:cs="Cambria"/>
          <w:color w:val="000000"/>
          <w:sz w:val="18"/>
          <w:szCs w:val="18"/>
        </w:rPr>
      </w:pPr>
      <w:r w:rsidRPr="002407CD">
        <w:rPr>
          <w:rFonts w:ascii="Cambria" w:eastAsia="Cambria" w:hAnsi="Cambria" w:cs="Cambria"/>
          <w:color w:val="000000"/>
          <w:sz w:val="18"/>
          <w:szCs w:val="18"/>
        </w:rPr>
        <w:t>Kedua, penghukuman yang tegas bagi pelaku sextortion harus menjadi bagian integral dari payung hukum. Pelaku harus dihadapkan pada konsekuensi yang serius, termasuk hukuman penjara yang memadai dan denda yang signifikan. Sanksi yang tegas akan memberikan efek jera bagi pelaku potensial dan mengirimkan pesan bahwa sextortion tidak akan ditoleransi dalam masyarakat.</w:t>
      </w:r>
    </w:p>
    <w:p w14:paraId="2517EDCC" w14:textId="77777777" w:rsidR="002407CD" w:rsidRPr="002407CD" w:rsidRDefault="002407CD" w:rsidP="00E80576">
      <w:pPr>
        <w:spacing w:after="0"/>
        <w:ind w:left="567" w:right="567" w:firstLine="720"/>
        <w:jc w:val="both"/>
        <w:rPr>
          <w:rFonts w:ascii="Cambria" w:eastAsia="Cambria" w:hAnsi="Cambria" w:cs="Cambria"/>
          <w:color w:val="000000"/>
          <w:sz w:val="18"/>
          <w:szCs w:val="18"/>
        </w:rPr>
      </w:pPr>
      <w:r w:rsidRPr="002407CD">
        <w:rPr>
          <w:rFonts w:ascii="Cambria" w:eastAsia="Cambria" w:hAnsi="Cambria" w:cs="Cambria"/>
          <w:color w:val="000000"/>
          <w:sz w:val="18"/>
          <w:szCs w:val="18"/>
        </w:rPr>
        <w:t xml:space="preserve">Selain itu, pencegahan sextortion melalui pendidikan dan kesadaran masyarakat juga harus menjadi komponen penting dalam payung hukum. Program pendidikan yang melibatkan sekolah, keluarga, dan lembaga masyarakat harus dibentuk untuk meningkatkan kesadaran tentang risiko sextortion, mengajarkan keterampilan digital yang aman, dan mendorong penggunaan teknologi secara bertanggung jawab. </w:t>
      </w:r>
    </w:p>
    <w:p w14:paraId="220A6ACD" w14:textId="77777777" w:rsidR="002407CD" w:rsidRPr="002407CD" w:rsidRDefault="002407CD" w:rsidP="00E80576">
      <w:pPr>
        <w:spacing w:after="0"/>
        <w:ind w:left="567" w:right="567" w:firstLine="720"/>
        <w:jc w:val="both"/>
        <w:rPr>
          <w:rFonts w:ascii="Cambria" w:eastAsia="Cambria" w:hAnsi="Cambria" w:cs="Cambria"/>
          <w:color w:val="000000"/>
          <w:sz w:val="18"/>
          <w:szCs w:val="18"/>
        </w:rPr>
      </w:pPr>
      <w:r w:rsidRPr="002407CD">
        <w:rPr>
          <w:rFonts w:ascii="Cambria" w:eastAsia="Cambria" w:hAnsi="Cambria" w:cs="Cambria"/>
          <w:color w:val="000000"/>
          <w:sz w:val="18"/>
          <w:szCs w:val="18"/>
        </w:rPr>
        <w:t>Dalam konteks korupsi yang melibatkan gender dan eksploitasi seksual, payung hukum yang kuat juga harus mempertimbangkan dimensi kesetaraan gender. Undang-undang harus mencegah diskriminasi gender, mengakui kesetaraan hak dan perlindungan bagi semua individu, serta mempromosikan partisipasi aktif perempuan dalam proses penegakan hukum.(Maulida, 2021)</w:t>
      </w:r>
    </w:p>
    <w:p w14:paraId="73971D3C" w14:textId="6E8CFAD3" w:rsidR="009B2370" w:rsidRPr="002407CD" w:rsidRDefault="002407CD" w:rsidP="00E80576">
      <w:pPr>
        <w:spacing w:after="0"/>
        <w:ind w:left="567" w:right="567" w:firstLine="720"/>
        <w:jc w:val="both"/>
        <w:rPr>
          <w:rFonts w:ascii="Cambria" w:eastAsia="Cambria" w:hAnsi="Cambria" w:cs="Cambria"/>
          <w:color w:val="000000"/>
          <w:sz w:val="18"/>
          <w:szCs w:val="18"/>
        </w:rPr>
      </w:pPr>
      <w:r w:rsidRPr="002407CD">
        <w:rPr>
          <w:rFonts w:ascii="Cambria" w:eastAsia="Cambria" w:hAnsi="Cambria" w:cs="Cambria"/>
          <w:color w:val="000000"/>
          <w:sz w:val="18"/>
          <w:szCs w:val="18"/>
        </w:rPr>
        <w:t xml:space="preserve">Dalam rangka menangani urgensi kejahatan sextortion yang melibatkan korupsi, gender, dan eksploitasi seksual, payung hukum yang komprehensif dan efektif sangat diperlukan. Upaya ini melibatkan perlindungan korban, penghukuman tegas bagi pelaku, pencegahan melalui pendidikan dan kesadaran masyarakat, serta pengakuan kesetaraan gender. Hanya dengan memperkuat </w:t>
      </w:r>
      <w:r w:rsidRPr="002407CD">
        <w:rPr>
          <w:rFonts w:ascii="Cambria" w:eastAsia="Cambria" w:hAnsi="Cambria" w:cs="Cambria"/>
          <w:color w:val="000000"/>
          <w:sz w:val="18"/>
          <w:szCs w:val="18"/>
        </w:rPr>
        <w:lastRenderedPageBreak/>
        <w:t>payung hukum ini, kita dapat memerangi kejahatan sextortion secara efektif dan melindungi masyarakat dari dampak yang merusak.</w:t>
      </w:r>
      <w:r>
        <w:rPr>
          <w:rFonts w:ascii="Cambria" w:eastAsia="Cambria" w:hAnsi="Cambria" w:cs="Cambria"/>
          <w:color w:val="000000"/>
          <w:sz w:val="18"/>
          <w:szCs w:val="18"/>
        </w:rPr>
        <w:t xml:space="preserve"> </w:t>
      </w:r>
      <w:r w:rsidRPr="002407CD">
        <w:rPr>
          <w:rFonts w:ascii="Cambria" w:eastAsia="Cambria" w:hAnsi="Cambria" w:cs="Cambria"/>
          <w:color w:val="000000"/>
          <w:sz w:val="18"/>
          <w:szCs w:val="18"/>
        </w:rPr>
        <w:t>(Arawinda, 2021)</w:t>
      </w:r>
      <w:r w:rsidR="009B2370" w:rsidRPr="002407CD">
        <w:rPr>
          <w:rFonts w:ascii="Cambria" w:eastAsia="Cambria" w:hAnsi="Cambria" w:cs="Cambria"/>
          <w:color w:val="000000"/>
          <w:sz w:val="18"/>
          <w:szCs w:val="18"/>
        </w:rPr>
        <w:t>.</w:t>
      </w:r>
    </w:p>
    <w:p w14:paraId="59972938" w14:textId="12EC5093" w:rsidR="009B2370" w:rsidRPr="002407CD" w:rsidRDefault="009B2370" w:rsidP="00E80576">
      <w:pPr>
        <w:spacing w:after="0"/>
        <w:ind w:left="1560" w:right="567" w:hanging="993"/>
        <w:jc w:val="both"/>
        <w:rPr>
          <w:rFonts w:ascii="Cambria" w:eastAsia="Cambria" w:hAnsi="Cambria" w:cs="Cambria"/>
          <w:b/>
          <w:bCs/>
          <w:color w:val="0000FF"/>
          <w:sz w:val="18"/>
          <w:szCs w:val="18"/>
        </w:rPr>
      </w:pPr>
      <w:r w:rsidRPr="002407CD">
        <w:rPr>
          <w:rFonts w:ascii="Cambria" w:eastAsia="Cambria" w:hAnsi="Cambria" w:cs="Cambria"/>
          <w:b/>
          <w:bCs/>
          <w:color w:val="000000"/>
          <w:sz w:val="18"/>
          <w:szCs w:val="18"/>
        </w:rPr>
        <w:t xml:space="preserve">Keywords: </w:t>
      </w:r>
      <w:r w:rsidR="002407CD" w:rsidRPr="002407CD">
        <w:rPr>
          <w:rFonts w:ascii="Cambria" w:eastAsia="Cambria" w:hAnsi="Cambria" w:cs="Cambria"/>
          <w:b/>
          <w:bCs/>
          <w:color w:val="000000"/>
          <w:sz w:val="18"/>
          <w:szCs w:val="18"/>
        </w:rPr>
        <w:t>Sextortion, Payung hokum, Perlindungan korban, Penghukuman tegas, Pencegahan</w:t>
      </w:r>
    </w:p>
    <w:p w14:paraId="7A8434C9" w14:textId="7B55421C" w:rsidR="00D97972" w:rsidRPr="002407CD" w:rsidRDefault="009B2370" w:rsidP="00E80576">
      <w:pPr>
        <w:pStyle w:val="07HEADA"/>
        <w:spacing w:line="276" w:lineRule="auto"/>
        <w:rPr>
          <w:rFonts w:eastAsia="Cambria"/>
        </w:rPr>
      </w:pPr>
      <w:r w:rsidRPr="002407CD">
        <w:rPr>
          <w:rFonts w:eastAsia="Cambria"/>
        </w:rPr>
        <w:t>PENDAHULUAN</w:t>
      </w:r>
      <w:r w:rsidRPr="002407CD">
        <w:t xml:space="preserve"> </w:t>
      </w:r>
    </w:p>
    <w:p w14:paraId="0FB3EE4E" w14:textId="20EB3C3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Dalam era kemajuan teknologi digital, munculnya kejahatan sextortion telah mengubah lanskap kejahatan di dunia modern. Sextortion adalah praktik pemerasan di mana pelaku menggunakan materi seksual yang diperoleh secara ilegal atau melalui penipuan untuk memperoleh keuntungan finansial, kekuasaan, atau kontrol atas korban mereka. Kejahatan ini tidak hanya melibatkan aspek ekonomi, tetapi juga menyentuh isu-isu korupsi, gender, dan eksploitasi seksual yang kompleks</w:t>
      </w:r>
      <w:r w:rsidR="00E80576">
        <w:rPr>
          <w:rFonts w:ascii="Cambria" w:eastAsia="Cambria" w:hAnsi="Cambria" w:cs="Cambria"/>
          <w:color w:val="000000"/>
          <w:sz w:val="21"/>
          <w:szCs w:val="21"/>
        </w:rPr>
        <w:t>.</w:t>
      </w:r>
      <w:r w:rsidR="00E80576">
        <w:rPr>
          <w:rStyle w:val="FootnoteReference"/>
          <w:rFonts w:ascii="Cambria" w:eastAsia="Cambria" w:hAnsi="Cambria"/>
          <w:color w:val="000000"/>
          <w:sz w:val="21"/>
          <w:szCs w:val="21"/>
        </w:rPr>
        <w:footnoteReference w:id="1"/>
      </w:r>
    </w:p>
    <w:p w14:paraId="04C9E19C" w14:textId="7777777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Sebagai respons terhadap meningkatnya kasus sextortion, keberadaan payung hukum yang efektif dan komprehensif sangat penting. Payung hukum ini memberikan landasan hukum yang kuat dalam menangani kejahatan ini, melindungi korban, menghukum pelaku, serta mencegah terulangnya kejahatan serupa di masa depan. Dalam konteks ini, beberapa aspek utama yang perlu diperhatikan adalah perlindungan korban, penghukuman tegas, dan upaya pencegahan.</w:t>
      </w:r>
    </w:p>
    <w:p w14:paraId="4FE0C4C9" w14:textId="2FAFE8A5"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Perlindungan korban sextortion menjadi hal yang sangat penting dalam payung hukum. Korban sextortion seringkali mengalami dampak psikologis yang parah akibat pemerasan dan penyalahgunaan yang mereka alami. Oleh karena itu, undang-undang harus mengakui hak-hak korban, termasuk hak privasi, keamanan, dan pemulihan psikologis. Mekanisme yang efektif juga harus disediakan untuk melaporkan kejahatan, memberikan bantuan hukum, dan mendukung korban selama proses pengadilan.</w:t>
      </w:r>
      <w:r w:rsidR="00E80576">
        <w:rPr>
          <w:rStyle w:val="FootnoteReference"/>
          <w:rFonts w:ascii="Cambria" w:eastAsia="Cambria" w:hAnsi="Cambria"/>
          <w:color w:val="000000"/>
          <w:sz w:val="21"/>
          <w:szCs w:val="21"/>
        </w:rPr>
        <w:footnoteReference w:id="2"/>
      </w:r>
    </w:p>
    <w:p w14:paraId="7CEA25D0" w14:textId="7777777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Selain itu, penghukuman tegas bagi pelaku sextortion juga harus menjadi bagian integral dari payung hukum. Hukuman yang memadai akan memberikan efek jera kepada pelaku dan memberikan sinyal yang kuat bahwa kejahatan sextortion tidak akan ditoleransi dalam masyarakat. Hal ini juga dapat menjadi alat pencegahan dengan mengurangi insentif bagi potensi pelaku.</w:t>
      </w:r>
    </w:p>
    <w:p w14:paraId="3DB991C0" w14:textId="7777777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lastRenderedPageBreak/>
        <w:t>Selain melibatkan aspek penanganan kasus individual, upaya pencegahan juga sangat penting dalam mengatasi kejahatan sextortion. Pendidikan dan kesadaran masyarakat tentang risiko sextortion, penggunaan yang bertanggung jawab terhadap teknologi digital, serta keterampilan untuk mengidentifikasi dan melaporkan tindakan sextortion perlu ditingkatkan. Pendekatan ini melibatkan kolaborasi antara sekolah, keluarga, dan lembaga masyarakat dalam memberikan edukasi yang efektif.</w:t>
      </w:r>
    </w:p>
    <w:p w14:paraId="13194FE4" w14:textId="2787B0C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Dalam konteks korupsi yang melibatkan gender dan eksploitasi seksual, payung hukum yang kuat juga harus mempertimbangkan dimensi kesetaraan gender. Undang-undang harus memastikan perlindungan dan pengakuan hak-hak semua individu tanpa diskriminasi berdasarkan gender. Dengan mempromosikan kesetaraan gender dalam payung hukum, kita dapat mendorong partisipasi aktif perempuan dalam upaya penegakan hukum dan membangun masyarakat yang lebih adil.</w:t>
      </w:r>
      <w:r w:rsidR="00E80576">
        <w:rPr>
          <w:rStyle w:val="FootnoteReference"/>
          <w:rFonts w:ascii="Cambria" w:eastAsia="Cambria" w:hAnsi="Cambria"/>
          <w:color w:val="000000"/>
          <w:sz w:val="21"/>
          <w:szCs w:val="21"/>
        </w:rPr>
        <w:footnoteReference w:id="3"/>
      </w:r>
    </w:p>
    <w:p w14:paraId="4D1A88D6" w14:textId="6B839DBE"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Dalam rangka menangani urgensi kejahatan sextortion yang melibatkan korupsi, gender, dan eksploitasi seksual, perlunya payung hukum yang komprehensif dan efektif sangat mendesak. Perlindungan korban, penghukuman tegas, serta pencegahan melalui pendidikan dan kesadaran masyarakat menjadi aspek yang krusial dalam upaya ini. Dengan adanya payung hukum yang kuat, kita dapat menghadapi tantangan ini secara efektif dan melindungi masyarakat dari dampak yang merusak.</w:t>
      </w:r>
      <w:r w:rsidR="00E80576">
        <w:rPr>
          <w:rStyle w:val="FootnoteReference"/>
          <w:rFonts w:ascii="Cambria" w:eastAsia="Cambria" w:hAnsi="Cambria"/>
          <w:color w:val="000000"/>
          <w:sz w:val="21"/>
          <w:szCs w:val="21"/>
        </w:rPr>
        <w:footnoteReference w:id="4"/>
      </w:r>
    </w:p>
    <w:p w14:paraId="0E005DA0" w14:textId="7777777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Kehadiran teknologi digital telah memberikan dampak yang signifikan terhadap perubahan pola kejahatan, termasuk kejahatan sextortion. Dalam era di mana akses terhadap teknologi semakin meluas, pelaku sextortion dapat dengan mudah memanfaatkan internet dan media sosial untuk melakukan pemerasan seksual terhadap korban mereka. Fenomena ini menunjukkan betapa pentingnya memiliki payung hukum yang memadai untuk melindungi masyarakat dari ancaman ini.</w:t>
      </w:r>
    </w:p>
    <w:p w14:paraId="3F147B79" w14:textId="7ECE2DCC"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 xml:space="preserve">Payung hukum yang efektif dalam konteks sextortion membutuhkan langkah-langkah konkret untuk mengatasi permasalahan ini. Pertama, penting untuk memiliki undang-undang yang jelas dan spesifik yang mengatur tindakan sextortion sebagai kejahatan yang serius. Undang-undang harus mendefinisikan dengan jelas apa yang termasuk dalam sextortion, mengidentifikasi elemen-elemen yang harus </w:t>
      </w:r>
      <w:r w:rsidRPr="002407CD">
        <w:rPr>
          <w:rFonts w:ascii="Cambria" w:eastAsia="Cambria" w:hAnsi="Cambria" w:cs="Cambria"/>
          <w:color w:val="000000"/>
          <w:sz w:val="21"/>
          <w:szCs w:val="21"/>
        </w:rPr>
        <w:lastRenderedPageBreak/>
        <w:t>dipenuhi untuk mengklasifikasikan tindakan tersebut sebagai kejahatan, serta menentukan sanksi yang sesuai untuk pelaku.</w:t>
      </w:r>
      <w:r w:rsidR="00E80576">
        <w:rPr>
          <w:rStyle w:val="FootnoteReference"/>
          <w:rFonts w:ascii="Cambria" w:eastAsia="Cambria" w:hAnsi="Cambria"/>
          <w:color w:val="000000"/>
          <w:sz w:val="21"/>
          <w:szCs w:val="21"/>
        </w:rPr>
        <w:footnoteReference w:id="5"/>
      </w:r>
    </w:p>
    <w:p w14:paraId="0FD19B37" w14:textId="7777777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Selain itu, undang-undang harus memberikan landasan yang kuat untuk perlindungan korban. Ini termasuk memberikan hak-hak kepada korban sextortion, seperti hak atas privasi, keamanan, dan pemulihan psikologis. Selain itu, undang-undang harus memastikan bahwa ada mekanisme yang efektif untuk melaporkan kejahatan sextortion, serta menyediakan bantuan hukum dan dukungan bagi korban selama proses hukum.</w:t>
      </w:r>
    </w:p>
    <w:p w14:paraId="773C40AE" w14:textId="7B661F1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Penghukuman tegas juga merupakan elemen penting dalam payung hukum untuk sextortion. Pelaku sextortion harus menyadari bahwa tindakan mereka akan memiliki konsekuensi yang serius. Ini bisa berupa hukuman penjara yang memadai dan denda yang signifikan. Sanksi yang tegas akan menjadi pencegahan efektif dan memberikan sinyal yang kuat bahwa sextortion tidak akan ditoleransi.</w:t>
      </w:r>
      <w:r w:rsidR="00E80576">
        <w:rPr>
          <w:rStyle w:val="FootnoteReference"/>
          <w:rFonts w:ascii="Cambria" w:eastAsia="Cambria" w:hAnsi="Cambria"/>
          <w:color w:val="000000"/>
          <w:sz w:val="21"/>
          <w:szCs w:val="21"/>
        </w:rPr>
        <w:footnoteReference w:id="6"/>
      </w:r>
    </w:p>
    <w:p w14:paraId="5D8A39C9" w14:textId="22F9FA33"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Selain penegakan hukum, pencegahan juga memegang peranan penting dalam upaya mengatasi sextortion. Upaya pencegahan harus dimulai dari pendidikan dan kesadaran masyarakat. Program pendidikan yang melibatkan sekolah, keluarga, dan lembaga masyarakat harus ditingkatkan untuk meningkatkan pemahaman tentang risiko sextortion dan cara menghindarinya. Selain itu, diperlukan kampanye kesadaran yang luas untuk mengedukasi masyarakat tentang pentingnya penggunaan teknologi secara bertanggung jawab dan cara melindungi diri dari potensi sextortion</w:t>
      </w:r>
      <w:r w:rsidR="00E80576">
        <w:rPr>
          <w:rFonts w:ascii="Cambria" w:eastAsia="Cambria" w:hAnsi="Cambria" w:cs="Cambria"/>
          <w:color w:val="000000"/>
          <w:sz w:val="21"/>
          <w:szCs w:val="21"/>
        </w:rPr>
        <w:t>.</w:t>
      </w:r>
      <w:r w:rsidR="00E80576">
        <w:rPr>
          <w:rStyle w:val="FootnoteReference"/>
          <w:rFonts w:ascii="Cambria" w:eastAsia="Cambria" w:hAnsi="Cambria"/>
          <w:color w:val="000000"/>
          <w:sz w:val="21"/>
          <w:szCs w:val="21"/>
        </w:rPr>
        <w:footnoteReference w:id="7"/>
      </w:r>
    </w:p>
    <w:p w14:paraId="1AD7C77D" w14:textId="4DE4F9D3"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 xml:space="preserve">Dalam konteks korupsi yang melibatkan gender dan eksploitasi seksual, payung hukum juga harus mempertimbangkan aspek kesetaraan gender. Undang-undang harus memberikan perlindungan dan kesempatan yang setara bagi semua individu, tanpa membedakan gender. Hal ini termasuk dalam pemberian sanksi yang adil terhadap pelaku sextortion, serta mempromosikan partisipasi perempuan dalam proses penegakan </w:t>
      </w:r>
      <w:r w:rsidR="00E80576">
        <w:rPr>
          <w:rFonts w:ascii="Cambria" w:eastAsia="Cambria" w:hAnsi="Cambria" w:cs="Cambria"/>
          <w:color w:val="000000"/>
          <w:sz w:val="21"/>
          <w:szCs w:val="21"/>
        </w:rPr>
        <w:t>hokum.</w:t>
      </w:r>
      <w:r w:rsidR="00E80576">
        <w:rPr>
          <w:rStyle w:val="FootnoteReference"/>
          <w:rFonts w:ascii="Cambria" w:eastAsia="Cambria" w:hAnsi="Cambria"/>
          <w:color w:val="000000"/>
          <w:sz w:val="21"/>
          <w:szCs w:val="21"/>
        </w:rPr>
        <w:footnoteReference w:id="8"/>
      </w:r>
    </w:p>
    <w:p w14:paraId="750C7B99" w14:textId="630CB65D" w:rsidR="00D97972"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 xml:space="preserve">Dalam kesimpulan, urgensi payung hukum bagi kejahatan sextortion yang melibatkan korupsi, gender, dan eksploitasi seksual sangat penting. Perlindungan korban, penghukuman tegas, pencegahan melalui pendidikan dan kesadaran </w:t>
      </w:r>
      <w:r w:rsidRPr="002407CD">
        <w:rPr>
          <w:rFonts w:ascii="Cambria" w:eastAsia="Cambria" w:hAnsi="Cambria" w:cs="Cambria"/>
          <w:color w:val="000000"/>
          <w:sz w:val="21"/>
          <w:szCs w:val="21"/>
        </w:rPr>
        <w:lastRenderedPageBreak/>
        <w:t>masyarakat, serta pengakuan kesetaraan gender merupakan elemen kunci dalam memerangi kejahatan ini. Hanya melalui payung hukum yang kuat dan tindakan yang terkoordinasi, kita dapat menjaga masyarakat dari ancaman sextortion dan mewujudkan keadilan yang setara untuk semua individu</w:t>
      </w:r>
      <w:r w:rsidR="009B2370" w:rsidRPr="002407CD">
        <w:rPr>
          <w:rFonts w:ascii="Cambria" w:eastAsia="Cambria" w:hAnsi="Cambria" w:cs="Cambria"/>
          <w:color w:val="000000"/>
          <w:sz w:val="21"/>
          <w:szCs w:val="21"/>
        </w:rPr>
        <w:t>.</w:t>
      </w:r>
    </w:p>
    <w:p w14:paraId="7AEE85A1" w14:textId="63467CF9" w:rsidR="00D97972" w:rsidRPr="002407CD" w:rsidRDefault="009B2370" w:rsidP="00E80576">
      <w:pPr>
        <w:pStyle w:val="07HEADA"/>
        <w:spacing w:line="276" w:lineRule="auto"/>
        <w:rPr>
          <w:rFonts w:eastAsia="Cambria"/>
        </w:rPr>
      </w:pPr>
      <w:r w:rsidRPr="002407CD">
        <w:rPr>
          <w:rFonts w:eastAsia="Cambria"/>
        </w:rPr>
        <w:t>METODE PENELITIAN</w:t>
      </w:r>
    </w:p>
    <w:p w14:paraId="2F52814C" w14:textId="1560CA25"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Dalam era kemajuan teknologi digital, munculnya kejahatan sextortion telah mengubah lanskap kejahatan di dunia modern. Sextortion adalah praktik pemerasan di mana pelaku menggunakan materi seksual yang diperoleh secara ilegal atau melalui penipuan untuk memperoleh keuntungan finansial, kekuasaan, atau kontrol atas korban mereka. Kejahatan ini tidak hanya melibatkan aspek ekonomi, tetapi juga menyentuh isu-isu korupsi, gender, dan eksploitasi seksual yang kompleks.</w:t>
      </w:r>
      <w:r w:rsidR="00E80576">
        <w:rPr>
          <w:rStyle w:val="FootnoteReference"/>
          <w:rFonts w:ascii="Cambria" w:eastAsia="Cambria" w:hAnsi="Cambria"/>
          <w:color w:val="000000"/>
          <w:sz w:val="21"/>
          <w:szCs w:val="21"/>
        </w:rPr>
        <w:footnoteReference w:id="9"/>
      </w:r>
    </w:p>
    <w:p w14:paraId="0B3704F3" w14:textId="7777777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Sebagai respons terhadap meningkatnya kasus sextortion, keberadaan payung hukum yang efektif dan komprehensif sangat penting. Payung hukum ini memberikan landasan hukum yang kuat dalam menangani kejahatan ini, melindungi korban, menghukum pelaku, serta mencegah terulangnya kejahatan serupa di masa depan. Dalam konteks ini, beberapa aspek utama yang perlu diperhatikan adalah perlindungan korban, penghukuman tegas, dan upaya pencegahan.</w:t>
      </w:r>
    </w:p>
    <w:p w14:paraId="58C58491" w14:textId="6981A7AB"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Perlindungan korban sextortion menjadi hal yang sangat penting dalam payung hukum. Korban sextortion seringkali mengalami dampak psikologis yang parah akibat pemerasan dan penyalahgunaan yang mereka alami. Oleh karena itu, undang-undang harus mengakui hak-hak korban, termasuk hak privasi, keamanan, dan pemulihan psikologis. Mekanisme yang efektif juga harus disediakan untuk melaporkan kejahatan, memberikan bantuan hukum, dan mendukung korban selama proses pengadilan</w:t>
      </w:r>
      <w:r w:rsidR="00E80576">
        <w:rPr>
          <w:rFonts w:ascii="Cambria" w:eastAsia="Cambria" w:hAnsi="Cambria" w:cs="Cambria"/>
          <w:color w:val="000000"/>
          <w:sz w:val="21"/>
          <w:szCs w:val="21"/>
        </w:rPr>
        <w:t>.</w:t>
      </w:r>
      <w:r w:rsidR="00E80576">
        <w:rPr>
          <w:rStyle w:val="FootnoteReference"/>
          <w:rFonts w:ascii="Cambria" w:eastAsia="Cambria" w:hAnsi="Cambria"/>
          <w:color w:val="000000"/>
          <w:sz w:val="21"/>
          <w:szCs w:val="21"/>
        </w:rPr>
        <w:footnoteReference w:id="10"/>
      </w:r>
    </w:p>
    <w:p w14:paraId="2C7B818C" w14:textId="7777777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Selain itu, penghukuman tegas bagi pelaku sextortion juga harus menjadi bagian integral dari payung hukum. Hukuman yang memadai akan memberikan efek jera kepada pelaku dan memberikan sinyal yang kuat bahwa kejahatan sextortion tidak akan ditoleransi dalam masyarakat. Hal ini juga dapat menjadi alat pencegahan dengan mengurangi insentif bagi potensi pelaku.</w:t>
      </w:r>
    </w:p>
    <w:p w14:paraId="1925ADA8" w14:textId="7777777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 xml:space="preserve">Selain melibatkan aspek penanganan kasus individual, upaya pencegahan juga sangat penting dalam mengatasi kejahatan sextortion. Pendidikan dan </w:t>
      </w:r>
      <w:r w:rsidRPr="002407CD">
        <w:rPr>
          <w:rFonts w:ascii="Cambria" w:eastAsia="Cambria" w:hAnsi="Cambria" w:cs="Cambria"/>
          <w:color w:val="000000"/>
          <w:sz w:val="21"/>
          <w:szCs w:val="21"/>
        </w:rPr>
        <w:lastRenderedPageBreak/>
        <w:t>kesadaran masyarakat tentang risiko sextortion, penggunaan yang bertanggung jawab terhadap teknologi digital, serta keterampilan untuk mengidentifikasi dan melaporkan tindakan sextortion perlu ditingkatkan. Pendekatan ini melibatkan kolaborasi antara sekolah, keluarga, dan lembaga masyarakat dalam memberikan edukasi yang efektif.</w:t>
      </w:r>
    </w:p>
    <w:p w14:paraId="5583B8AF" w14:textId="6DE1703C"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Dalam konteks korupsi yang melibatkan gender dan eksploitasi seksual, payung hukum yang kuat juga harus mempertimbangkan dimensi kesetaraan gender. Undang-undang harus memastikan perlindungan dan pengakuan hak-hak semua individu tanpa diskriminasi berdasarkan gender. Dengan mempromosikan kesetaraan gender dalam payung hukum, kita dapat mendorong partisipasi aktif perempuan dalam upaya penegakan hukum dan membangun masyarakat yang lebih adil.</w:t>
      </w:r>
      <w:r w:rsidR="00E80576">
        <w:rPr>
          <w:rStyle w:val="FootnoteReference"/>
          <w:rFonts w:ascii="Cambria" w:eastAsia="Cambria" w:hAnsi="Cambria"/>
          <w:color w:val="000000"/>
          <w:sz w:val="21"/>
          <w:szCs w:val="21"/>
        </w:rPr>
        <w:footnoteReference w:id="11"/>
      </w:r>
    </w:p>
    <w:p w14:paraId="3950E352" w14:textId="6DDB1F20"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Dalam rangka menangani urgensi kejahatan sextortion yang melibatkan korupsi, gender, dan eksploitasi seksual, perlunya payung hukum yang komprehensif dan efektif sangat mendesak. Perlindungan korban, penghukuman tegas, serta pencegahan melalui pendidikan dan kesadaran masyarakat menjadi aspek yang krusial dalam upaya ini. Dengan adanya payung hukum yang kuat, kita dapat menghadapi tantangan ini secara efektif dan melindungi masyarakat dari dampak yang merusak.</w:t>
      </w:r>
      <w:r w:rsidR="00E80576">
        <w:rPr>
          <w:rStyle w:val="FootnoteReference"/>
          <w:rFonts w:ascii="Cambria" w:eastAsia="Cambria" w:hAnsi="Cambria"/>
          <w:color w:val="000000"/>
          <w:sz w:val="21"/>
          <w:szCs w:val="21"/>
        </w:rPr>
        <w:footnoteReference w:id="12"/>
      </w:r>
    </w:p>
    <w:p w14:paraId="6F2DA125" w14:textId="7777777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Kehadiran teknologi digital telah memberikan dampak yang signifikan terhadap perubahan pola kejahatan, termasuk kejahatan sextortion. Dalam era di mana akses terhadap teknologi semakin meluas, pelaku sextortion dapat dengan mudah memanfaatkan internet dan media sosial untuk melakukan pemerasan seksual terhadap korban mereka. Fenomena ini menunjukkan betapa pentingnya memiliki payung hukum yang memadai untuk melindungi masyarakat dari ancaman ini.</w:t>
      </w:r>
    </w:p>
    <w:p w14:paraId="448BF8E9" w14:textId="002508E0"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Payung hukum yang efektif dalam konteks sextortion membutuhkan langkah-langkah konkret untuk mengatasi permasalahan ini. Pertama, penting untuk memiliki undang-undang yang jelas dan spesifik yang mengatur tindakan sextortion sebagai kejahatan yang serius. Undang-undang harus mendefinisikan dengan jelas apa yang termasuk dalam sextortion, mengidentifikasi elemen-elemen yang harus dipenuhi untuk mengklasifikasikan tindakan tersebut sebagai kejahatan, serta menentukan sanksi yang sesuai untuk pelaku.</w:t>
      </w:r>
    </w:p>
    <w:p w14:paraId="48D8CED9" w14:textId="7777777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lastRenderedPageBreak/>
        <w:t>Selain itu, undang-undang harus memberikan landasan yang kuat untuk perlindungan korban. Ini termasuk memberikan hak-hak kepada korban sextortion, seperti hak atas privasi, keamanan, dan pemulihan psikologis. Selain itu, undang-undang harus memastikan bahwa ada mekanisme yang efektif untuk melaporkan kejahatan sextortion, serta menyediakan bantuan hukum dan dukungan bagi korban selama proses hukum.</w:t>
      </w:r>
    </w:p>
    <w:p w14:paraId="40842A42" w14:textId="54B3263A"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Penghukuman tegas juga merupakan elemen penting dalam payung hukum untuk sextortion. Pelaku sextortion harus menyadari bahwa tindakan mereka akan memiliki konsekuensi yang serius. Ini bisa berupa hukuman penjara yang memadai dan denda yang signifikan. Sanksi yang tegas akan menjadi pencegahan efektif dan memberikan sinyal yang kuat bahwa sextortion tidak akan ditoleransi.</w:t>
      </w:r>
      <w:r w:rsidR="00E80576">
        <w:rPr>
          <w:rStyle w:val="FootnoteReference"/>
          <w:rFonts w:ascii="Cambria" w:eastAsia="Cambria" w:hAnsi="Cambria"/>
          <w:color w:val="000000"/>
          <w:sz w:val="21"/>
          <w:szCs w:val="21"/>
        </w:rPr>
        <w:footnoteReference w:id="13"/>
      </w:r>
    </w:p>
    <w:p w14:paraId="2955EE22" w14:textId="5DD68A7D"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Selain penegakan hukum, pencegahan juga memegang peranan penting dalam upaya mengatasi sextortion. Upaya pencegahan harus dimulai dari pendidikan dan kesadaran masyarakat. Program pendidikan yang melibatkan sekolah, keluarga, dan lembaga masyarakat harus ditingkatkan untuk meningkatkan pemahaman tentang risiko sextortion dan cara menghindarinya. Selain itu, diperlukan kampanye kesadaran yang luas untuk mengedukasi masyarakat tentang pentingnya penggunaan teknologi secara bertanggung jawab dan cara melindungi diri dari potensi sextortion.</w:t>
      </w:r>
    </w:p>
    <w:p w14:paraId="609D651E" w14:textId="1CCD2CEE"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Dalam konteks korupsi yang melibatkan gender dan eksploitasi seksual, payung hukum juga harus mempertimbangkan aspek kesetaraan gender. Undang-undang harus memberikan perlindungan dan kesempatan yang setara bagi semua individu, tanpa membedakan gender. Hal ini termasuk dalam pemberian sanksi yang adil terhadap pelaku sextortion, serta mempromosikan partisipasi perempuan dalam proses penegakan hukum.</w:t>
      </w:r>
      <w:r w:rsidR="00E80576">
        <w:rPr>
          <w:rStyle w:val="FootnoteReference"/>
          <w:rFonts w:ascii="Cambria" w:eastAsia="Cambria" w:hAnsi="Cambria"/>
          <w:color w:val="000000"/>
          <w:sz w:val="21"/>
          <w:szCs w:val="21"/>
        </w:rPr>
        <w:footnoteReference w:id="14"/>
      </w:r>
    </w:p>
    <w:p w14:paraId="2B8964CE" w14:textId="7D92C115" w:rsidR="00D97972"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Dalam kesimpulan, urgensi payung hukum bagi kejahatan sextortion yang melibatkan korupsi, gender, dan eksploitasi seksual sangat penting. Perlindungan korban, penghukuman tegas, pencegahan melalui pendidikan dan kesadaran masyarakat, serta pengakuan kesetaraan gender merupakan elemen kunci dalam memerangi kejahatan ini. Hanya melalui payung hukum yang kuat dan tindakan yang terkoordinasi, kita dapat menjaga masyarakat dari ancaman sextortion dan mewujudkan keadilan yang setara untuk semua individu</w:t>
      </w:r>
    </w:p>
    <w:p w14:paraId="02063007" w14:textId="426D3783" w:rsidR="00E80576" w:rsidRDefault="00E80576" w:rsidP="00E80576">
      <w:pPr>
        <w:spacing w:after="0"/>
        <w:ind w:firstLine="567"/>
        <w:jc w:val="both"/>
        <w:rPr>
          <w:rFonts w:ascii="Cambria" w:eastAsia="Cambria" w:hAnsi="Cambria" w:cs="Cambria"/>
          <w:color w:val="000000"/>
          <w:sz w:val="21"/>
          <w:szCs w:val="21"/>
        </w:rPr>
      </w:pPr>
    </w:p>
    <w:p w14:paraId="72F7748E" w14:textId="77777777" w:rsidR="00E80576" w:rsidRPr="002407CD" w:rsidRDefault="00E80576" w:rsidP="00E80576">
      <w:pPr>
        <w:spacing w:after="0"/>
        <w:ind w:firstLine="567"/>
        <w:jc w:val="both"/>
        <w:rPr>
          <w:rFonts w:ascii="Cambria" w:eastAsia="Cambria" w:hAnsi="Cambria" w:cs="Cambria"/>
          <w:color w:val="000000"/>
          <w:sz w:val="21"/>
          <w:szCs w:val="21"/>
        </w:rPr>
      </w:pPr>
    </w:p>
    <w:p w14:paraId="50ECFB4A" w14:textId="6E0410FE" w:rsidR="00D97972" w:rsidRPr="002407CD" w:rsidRDefault="00CB1860" w:rsidP="00E80576">
      <w:pPr>
        <w:pStyle w:val="07HEADA"/>
        <w:spacing w:line="276" w:lineRule="auto"/>
        <w:rPr>
          <w:rFonts w:eastAsia="Cambria"/>
        </w:rPr>
      </w:pPr>
      <w:r w:rsidRPr="002407CD">
        <w:rPr>
          <w:rFonts w:eastAsia="Cambria"/>
        </w:rPr>
        <w:lastRenderedPageBreak/>
        <w:t>HASIL DA</w:t>
      </w:r>
      <w:r w:rsidR="00E80576">
        <w:rPr>
          <w:rFonts w:eastAsia="Cambria"/>
        </w:rPr>
        <w:t>N</w:t>
      </w:r>
      <w:r w:rsidRPr="002407CD">
        <w:rPr>
          <w:rFonts w:eastAsia="Cambria"/>
        </w:rPr>
        <w:t xml:space="preserve"> ANALISIS</w:t>
      </w:r>
    </w:p>
    <w:p w14:paraId="6CB9196B" w14:textId="0D33E046"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Dalam era kemajuan teknologi digital, munculnya kejahatan sextortion telah mengubah lanskap kejahatan di dunia modern. Sextortion adalah praktik pemerasan di mana pelaku menggunakan materi seksual yang diperoleh secara ilegal atau melalui penipuan untuk memperoleh keuntungan finansial, kekuasaan, atau kontrol atas korban mereka. Kejahatan ini tidak hanya melibatkan aspek ekonomi, tetapi juga menyentuh isu-isu korupsi, gender, dan eksploitasi seksual yang kompleks.</w:t>
      </w:r>
    </w:p>
    <w:p w14:paraId="14111F46" w14:textId="7777777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Sebagai respons terhadap meningkatnya kasus sextortion, keberadaan payung hukum yang efektif dan komprehensif sangat penting. Payung hukum ini memberikan landasan hukum yang kuat dalam menangani kejahatan ini, melindungi korban, menghukum pelaku, serta mencegah terulangnya kejahatan serupa di masa depan. Dalam konteks ini, beberapa aspek utama yang perlu diperhatikan adalah perlindungan korban, penghukuman tegas, dan upaya pencegahan.</w:t>
      </w:r>
    </w:p>
    <w:p w14:paraId="6FE98E94" w14:textId="3091668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Perlindungan korban sextortion menjadi hal yang sangat penting dalam payung hukum. Korban sextortion seringkali mengalami dampak psikologis yang parah akibat pemerasan dan penyalahgunaan yang mereka alami. Oleh karena itu, undang-undang harus mengakui hak-hak korban, termasuk hak privasi, keamanan, dan pemulihan psikologis. Mekanisme yang efektif juga harus disediakan untuk melaporkan kejahatan, memberikan bantuan hukum, dan mendukung korban selama proses pengadilan.</w:t>
      </w:r>
    </w:p>
    <w:p w14:paraId="6E0FAEE9" w14:textId="7777777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Selain itu, penghukuman tegas bagi pelaku sextortion juga harus menjadi bagian integral dari payung hukum. Hukuman yang memadai akan memberikan efek jera kepada pelaku dan memberikan sinyal yang kuat bahwa kejahatan sextortion tidak akan ditoleransi dalam masyarakat. Hal ini juga dapat menjadi alat pencegahan dengan mengurangi insentif bagi potensi pelaku.</w:t>
      </w:r>
    </w:p>
    <w:p w14:paraId="6AB61741" w14:textId="7777777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Selain melibatkan aspek penanganan kasus individual, upaya pencegahan juga sangat penting dalam mengatasi kejahatan sextortion. Pendidikan dan kesadaran masyarakat tentang risiko sextortion, penggunaan yang bertanggung jawab terhadap teknologi digital, serta keterampilan untuk mengidentifikasi dan melaporkan tindakan sextortion perlu ditingkatkan. Pendekatan ini melibatkan kolaborasi antara sekolah, keluarga, dan lembaga masyarakat dalam memberikan edukasi yang efektif.</w:t>
      </w:r>
    </w:p>
    <w:p w14:paraId="66A70721" w14:textId="72F8716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 xml:space="preserve">Dalam konteks korupsi yang melibatkan gender dan eksploitasi seksual, payung hukum yang kuat juga harus mempertimbangkan dimensi kesetaraan gender. Undang-undang harus memastikan perlindungan dan pengakuan hak-hak semua individu tanpa diskriminasi berdasarkan gender. Dengan mempromosikan kesetaraan gender dalam payung hukum, kita dapat mendorong partisipasi aktif </w:t>
      </w:r>
      <w:r w:rsidRPr="002407CD">
        <w:rPr>
          <w:rFonts w:ascii="Cambria" w:eastAsia="Cambria" w:hAnsi="Cambria" w:cs="Cambria"/>
          <w:color w:val="000000"/>
          <w:sz w:val="21"/>
          <w:szCs w:val="21"/>
        </w:rPr>
        <w:lastRenderedPageBreak/>
        <w:t>perempuan dalam upaya penegakan hukum dan membangun masyarakat yang lebih adil.</w:t>
      </w:r>
    </w:p>
    <w:p w14:paraId="30C97A1F" w14:textId="2890FE34"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Dalam rangka menangani urgensi kejahatan sextortion yang melibatkan korupsi, gender, dan eksploitasi seksual, perlunya payung hukum yang komprehensif dan efektif sangat mendesak. Perlindungan korban, penghukuman tegas, serta pencegahan melalui pendidikan dan kesadaran masyarakat menjadi aspek yang krusial dalam upaya ini. Dengan adanya payung hukum yang kuat, kita dapat menghadapi tantangan ini secara efektif dan melindungi masyarakat dari dampak yang merusak.</w:t>
      </w:r>
    </w:p>
    <w:p w14:paraId="3C5EB7C7" w14:textId="7777777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Kehadiran teknologi digital telah memberikan dampak yang signifikan terhadap perubahan pola kejahatan, termasuk kejahatan sextortion. Dalam era di mana akses terhadap teknologi semakin meluas, pelaku sextortion dapat dengan mudah memanfaatkan internet dan media sosial untuk melakukan pemerasan seksual terhadap korban mereka. Fenomena ini menunjukkan betapa pentingnya memiliki payung hukum yang memadai untuk melindungi masyarakat dari ancaman ini.</w:t>
      </w:r>
    </w:p>
    <w:p w14:paraId="18BD0FD5" w14:textId="65FCA088"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Payung hukum yang efektif dalam konteks sextortion membutuhkan langkah-langkah konkret untuk mengatasi permasalahan ini. Pertama, penting untuk memiliki undang-undang yang jelas dan spesifik yang mengatur tindakan sextortion sebagai kejahatan yang serius. Undang-undang harus mendefinisikan dengan jelas apa yang termasuk dalam sextortion, mengidentifikasi elemen-elemen yang harus dipenuhi untuk mengklasifikasikan tindakan tersebut sebagai kejahatan, serta menentukan sanksi yang sesuai untuk pelaku.</w:t>
      </w:r>
    </w:p>
    <w:p w14:paraId="28151D3F" w14:textId="7777777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Selain itu, undang-undang harus memberikan landasan yang kuat untuk perlindungan korban. Ini termasuk memberikan hak-hak kepada korban sextortion, seperti hak atas privasi, keamanan, dan pemulihan psikologis. Selain itu, undang-undang harus memastikan bahwa ada mekanisme yang efektif untuk melaporkan kejahatan sextortion, serta menyediakan bantuan hukum dan dukungan bagi korban selama proses hukum.</w:t>
      </w:r>
    </w:p>
    <w:p w14:paraId="4D0FBC93" w14:textId="5C3E9C38"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Penghukuman tegas juga merupakan elemen penting dalam payung hukum untuk sextortion. Pelaku sextortion harus menyadari bahwa tindakan mereka akan memiliki konsekuensi yang serius. Ini bisa berupa hukuman penjara yang memadai dan denda yang signifikan. Sanksi yang tegas akan menjadi pencegahan efektif dan memberikan sinyal yang kuat bahwa sextortion tidak akan ditoleransi.</w:t>
      </w:r>
    </w:p>
    <w:p w14:paraId="6FC22034" w14:textId="24D7ED4A"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 xml:space="preserve">Selain penegakan hukum, pencegahan juga memegang peranan penting dalam upaya mengatasi sextortion. Upaya pencegahan harus dimulai dari pendidikan dan kesadaran masyarakat. Program pendidikan yang melibatkan sekolah, keluarga, dan lembaga masyarakat harus ditingkatkan untuk meningkatkan pemahaman tentang risiko sextortion dan cara menghindarinya. Selain itu, diperlukan kampanye kesadaran yang luas untuk mengedukasi </w:t>
      </w:r>
      <w:r w:rsidRPr="002407CD">
        <w:rPr>
          <w:rFonts w:ascii="Cambria" w:eastAsia="Cambria" w:hAnsi="Cambria" w:cs="Cambria"/>
          <w:color w:val="000000"/>
          <w:sz w:val="21"/>
          <w:szCs w:val="21"/>
        </w:rPr>
        <w:lastRenderedPageBreak/>
        <w:t>masyarakat tentang pentingnya penggunaan teknologi secara bertanggung jawab dan cara melindungi diri dari potensi sextortion.</w:t>
      </w:r>
    </w:p>
    <w:p w14:paraId="055A4BB4" w14:textId="2808D1E5"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Dalam konteks korupsi yang melibatkan gender dan eksploitasi seksual, payung hukum juga harus mempertimbangkan aspek kesetaraan gender. Undang-undang harus memberikan perlindungan dan kesempatan yang setara bagi semua individu, tanpa membedakan gender. Hal ini termasuk dalam pemberian sanksi yang adil terhadap pelaku sextortion, serta mempromosikan partisipasi perempuan dalam proses penegakan hukum.</w:t>
      </w:r>
    </w:p>
    <w:p w14:paraId="361B85CE" w14:textId="7416DF93" w:rsidR="009B2370"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Dalam kesimpulan, urgensi payung hukum bagi kejahatan sextortion yang melibatkan korupsi, gender, dan eksploitasi seksual sangat penting. Perlindungan korban, penghukuman tegas, pencegahan melalui pendidikan dan kesadaran masyarakat, serta pengakuan kesetaraan gender merupakan elemen kunci dalam memerangi kejahatan ini. Hanya melalui payung hukum yang kuat dan tindakan yang terkoordinasi, kita dapat menjaga masyarakat dari ancaman sextortion dan mewujudkan keadilan yang setara untuk semua individu</w:t>
      </w:r>
      <w:r w:rsidR="009B2370" w:rsidRPr="002407CD">
        <w:rPr>
          <w:rFonts w:ascii="Cambria" w:eastAsia="Cambria" w:hAnsi="Cambria" w:cs="Cambria"/>
          <w:color w:val="000000"/>
          <w:sz w:val="21"/>
          <w:szCs w:val="21"/>
        </w:rPr>
        <w:t>.</w:t>
      </w:r>
    </w:p>
    <w:p w14:paraId="0A1C76FC" w14:textId="76901300" w:rsidR="00D97972" w:rsidRPr="002407CD" w:rsidRDefault="00CB1860" w:rsidP="00E80576">
      <w:pPr>
        <w:pStyle w:val="07HEADA"/>
        <w:spacing w:after="0" w:line="276" w:lineRule="auto"/>
        <w:rPr>
          <w:rFonts w:eastAsia="Cambria"/>
        </w:rPr>
      </w:pPr>
      <w:r w:rsidRPr="002407CD">
        <w:rPr>
          <w:rFonts w:eastAsia="Cambria"/>
        </w:rPr>
        <w:t>KESIMPULAN</w:t>
      </w:r>
    </w:p>
    <w:p w14:paraId="6BFA3F09" w14:textId="77777777" w:rsidR="002407CD" w:rsidRPr="002407CD"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Penelitian ini menyoroti urgensi payung hukum yang efektif dalam menangani kejahatan sextortion yang melibatkan korupsi, gender, dan eksploitasi seksual. Berdasarkan hasil penelitian dan analisis yang dilakukan, diperoleh beberapa kesimpulan penting sebagai berikut:</w:t>
      </w:r>
    </w:p>
    <w:p w14:paraId="7A512BAF" w14:textId="27872E9F" w:rsidR="002407CD" w:rsidRPr="002407CD" w:rsidRDefault="002407CD" w:rsidP="00E80576">
      <w:pPr>
        <w:pStyle w:val="ListParagraph"/>
        <w:numPr>
          <w:ilvl w:val="0"/>
          <w:numId w:val="28"/>
        </w:numPr>
        <w:spacing w:after="0"/>
        <w:ind w:left="426"/>
        <w:jc w:val="both"/>
        <w:rPr>
          <w:rFonts w:ascii="Cambria" w:eastAsia="Cambria" w:hAnsi="Cambria" w:cs="Cambria"/>
          <w:color w:val="000000"/>
          <w:sz w:val="21"/>
          <w:szCs w:val="21"/>
        </w:rPr>
      </w:pPr>
      <w:r w:rsidRPr="002407CD">
        <w:rPr>
          <w:rFonts w:ascii="Cambria" w:eastAsia="Cambria" w:hAnsi="Cambria" w:cs="Cambria"/>
          <w:color w:val="000000"/>
          <w:sz w:val="21"/>
          <w:szCs w:val="21"/>
        </w:rPr>
        <w:t>Kejahatan sextortion yang melibatkan korupsi, gender, dan eksploitasi seksual merupakan ancaman serius terhadap individu dan masyarakat. Pelaku sextortion memanfaatkan kekuasaan, status sosial, atau posisi yang diuntungkan untuk memeras korban dengan ancaman pelecehan seksual, penyebaran konten pribadi, atau kerugian finansial.</w:t>
      </w:r>
    </w:p>
    <w:p w14:paraId="1705DCAD" w14:textId="0BBD5BFE" w:rsidR="002407CD" w:rsidRPr="002407CD" w:rsidRDefault="002407CD" w:rsidP="00E80576">
      <w:pPr>
        <w:pStyle w:val="ListParagraph"/>
        <w:numPr>
          <w:ilvl w:val="0"/>
          <w:numId w:val="28"/>
        </w:numPr>
        <w:spacing w:after="0"/>
        <w:ind w:left="426"/>
        <w:jc w:val="both"/>
        <w:rPr>
          <w:rFonts w:ascii="Cambria" w:eastAsia="Cambria" w:hAnsi="Cambria" w:cs="Cambria"/>
          <w:color w:val="000000"/>
          <w:sz w:val="21"/>
          <w:szCs w:val="21"/>
        </w:rPr>
      </w:pPr>
      <w:r w:rsidRPr="002407CD">
        <w:rPr>
          <w:rFonts w:ascii="Cambria" w:eastAsia="Cambria" w:hAnsi="Cambria" w:cs="Cambria"/>
          <w:color w:val="000000"/>
          <w:sz w:val="21"/>
          <w:szCs w:val="21"/>
        </w:rPr>
        <w:t>Dampak kejahatan sextortion terhadap individu dan masyarakat meliputi trauma psikologis, gangguan mental, isolasi sosial, ketidakpercayaan terhadap sistem, kerugian reputasi, dan ketidaksetaraan gender yang lebih dalam.</w:t>
      </w:r>
    </w:p>
    <w:p w14:paraId="56EF9550" w14:textId="7A7EC45C" w:rsidR="002407CD" w:rsidRPr="002407CD" w:rsidRDefault="002407CD" w:rsidP="00E80576">
      <w:pPr>
        <w:pStyle w:val="ListParagraph"/>
        <w:numPr>
          <w:ilvl w:val="0"/>
          <w:numId w:val="28"/>
        </w:numPr>
        <w:spacing w:after="0"/>
        <w:ind w:left="426"/>
        <w:jc w:val="both"/>
        <w:rPr>
          <w:rFonts w:ascii="Cambria" w:eastAsia="Cambria" w:hAnsi="Cambria" w:cs="Cambria"/>
          <w:color w:val="000000"/>
          <w:sz w:val="21"/>
          <w:szCs w:val="21"/>
        </w:rPr>
      </w:pPr>
      <w:r w:rsidRPr="002407CD">
        <w:rPr>
          <w:rFonts w:ascii="Cambria" w:eastAsia="Cambria" w:hAnsi="Cambria" w:cs="Cambria"/>
          <w:color w:val="000000"/>
          <w:sz w:val="21"/>
          <w:szCs w:val="21"/>
        </w:rPr>
        <w:t>Payung hukum yang efektif dan tegas sangat diperlukan dalam menangani kejahatan sextortion. Hal ini mencakup perlindungan korban, penegakan hukum yang kuat terhadap pelaku, dan pencegahan kejahatan secara menyeluruh.</w:t>
      </w:r>
    </w:p>
    <w:p w14:paraId="40400E4E" w14:textId="6C3FFA40" w:rsidR="002407CD" w:rsidRPr="002407CD" w:rsidRDefault="002407CD" w:rsidP="00E80576">
      <w:pPr>
        <w:pStyle w:val="ListParagraph"/>
        <w:numPr>
          <w:ilvl w:val="0"/>
          <w:numId w:val="28"/>
        </w:numPr>
        <w:spacing w:after="0"/>
        <w:ind w:left="426"/>
        <w:jc w:val="both"/>
        <w:rPr>
          <w:rFonts w:ascii="Cambria" w:eastAsia="Cambria" w:hAnsi="Cambria" w:cs="Cambria"/>
          <w:color w:val="000000"/>
          <w:sz w:val="21"/>
          <w:szCs w:val="21"/>
        </w:rPr>
      </w:pPr>
      <w:r w:rsidRPr="002407CD">
        <w:rPr>
          <w:rFonts w:ascii="Cambria" w:eastAsia="Cambria" w:hAnsi="Cambria" w:cs="Cambria"/>
          <w:color w:val="000000"/>
          <w:sz w:val="21"/>
          <w:szCs w:val="21"/>
        </w:rPr>
        <w:t>Peningkatan kesadaran publik, kolaborasi lintas sektor, peningkatan kapasitas aparat penegak hukum, serta penelitian lanjutan adalah faktor penting dalam memperkuat payung hukum dan penanganan kejahatan sextortion.</w:t>
      </w:r>
    </w:p>
    <w:p w14:paraId="010D467E" w14:textId="7A408005" w:rsidR="00D97972" w:rsidRDefault="002407CD" w:rsidP="00E80576">
      <w:pPr>
        <w:spacing w:after="0"/>
        <w:ind w:firstLine="567"/>
        <w:jc w:val="both"/>
        <w:rPr>
          <w:rFonts w:ascii="Cambria" w:eastAsia="Cambria" w:hAnsi="Cambria" w:cs="Cambria"/>
          <w:color w:val="000000"/>
          <w:sz w:val="21"/>
          <w:szCs w:val="21"/>
        </w:rPr>
      </w:pPr>
      <w:r w:rsidRPr="002407CD">
        <w:rPr>
          <w:rFonts w:ascii="Cambria" w:eastAsia="Cambria" w:hAnsi="Cambria" w:cs="Cambria"/>
          <w:color w:val="000000"/>
          <w:sz w:val="21"/>
          <w:szCs w:val="21"/>
        </w:rPr>
        <w:t xml:space="preserve">Dalam rangka mengatasi kejahatan sextortion yang melibatkan korupsi, gender, dan eksploitasi seksual, disarankan untuk mengimplementasikan rekomendasi yang dihasilkan dari penelitian ini. Tindakan preventif, penegakan </w:t>
      </w:r>
      <w:r w:rsidRPr="002407CD">
        <w:rPr>
          <w:rFonts w:ascii="Cambria" w:eastAsia="Cambria" w:hAnsi="Cambria" w:cs="Cambria"/>
          <w:color w:val="000000"/>
          <w:sz w:val="21"/>
          <w:szCs w:val="21"/>
        </w:rPr>
        <w:lastRenderedPageBreak/>
        <w:t>hukum yang tegas, perlindungan terhadap korban, kolaborasi lintas sektor, dan peningkatan kesadaran publik akan berkontribusi pada perlindungan yang lebih baik bagi individu, pemajuan keadilan gender, serta pencegahan dan penanggulangan kejahatan sextortion secara efektif</w:t>
      </w:r>
      <w:r w:rsidR="009B2370" w:rsidRPr="002407CD">
        <w:rPr>
          <w:rFonts w:ascii="Cambria" w:eastAsia="Cambria" w:hAnsi="Cambria" w:cs="Cambria"/>
          <w:color w:val="000000"/>
          <w:sz w:val="21"/>
          <w:szCs w:val="21"/>
        </w:rPr>
        <w:t>.</w:t>
      </w:r>
    </w:p>
    <w:p w14:paraId="5E6E6266" w14:textId="4BC1BCF8" w:rsidR="002407CD" w:rsidRDefault="002407CD" w:rsidP="00E80576">
      <w:pPr>
        <w:spacing w:after="0"/>
        <w:ind w:firstLine="567"/>
        <w:jc w:val="both"/>
        <w:rPr>
          <w:rFonts w:ascii="Cambria" w:eastAsia="Cambria" w:hAnsi="Cambria" w:cs="Cambria"/>
          <w:color w:val="000000"/>
          <w:sz w:val="21"/>
          <w:szCs w:val="21"/>
        </w:rPr>
      </w:pPr>
    </w:p>
    <w:p w14:paraId="627B4EBB" w14:textId="2F885791" w:rsidR="002407CD" w:rsidRDefault="002407CD" w:rsidP="00E80576">
      <w:pPr>
        <w:spacing w:after="0"/>
        <w:ind w:firstLine="567"/>
        <w:jc w:val="both"/>
        <w:rPr>
          <w:rFonts w:ascii="Cambria" w:eastAsia="Cambria" w:hAnsi="Cambria" w:cs="Cambria"/>
          <w:color w:val="000000"/>
          <w:sz w:val="21"/>
          <w:szCs w:val="21"/>
        </w:rPr>
      </w:pPr>
    </w:p>
    <w:p w14:paraId="1C942447" w14:textId="2F89EAD7" w:rsidR="00E80576" w:rsidRDefault="00E80576" w:rsidP="002407CD">
      <w:pPr>
        <w:spacing w:after="0" w:line="360" w:lineRule="auto"/>
        <w:ind w:firstLine="567"/>
        <w:jc w:val="both"/>
        <w:rPr>
          <w:rFonts w:ascii="Cambria" w:eastAsia="Cambria" w:hAnsi="Cambria" w:cs="Cambria"/>
          <w:color w:val="000000"/>
          <w:sz w:val="21"/>
          <w:szCs w:val="21"/>
        </w:rPr>
      </w:pPr>
      <w:r>
        <w:rPr>
          <w:rFonts w:ascii="Cambria" w:eastAsia="Cambria" w:hAnsi="Cambria" w:cs="Cambria"/>
          <w:color w:val="000000"/>
          <w:sz w:val="21"/>
          <w:szCs w:val="21"/>
        </w:rPr>
        <w:br w:type="page"/>
      </w:r>
    </w:p>
    <w:p w14:paraId="7555F1F0" w14:textId="77777777" w:rsidR="00D97972" w:rsidRPr="002407CD" w:rsidRDefault="00D97972" w:rsidP="00D97972">
      <w:pPr>
        <w:spacing w:before="360" w:after="120" w:line="240" w:lineRule="auto"/>
        <w:rPr>
          <w:rFonts w:ascii="Cambria" w:eastAsia="Cambria" w:hAnsi="Cambria" w:cs="Cambria"/>
          <w:b/>
          <w:color w:val="000000"/>
        </w:rPr>
      </w:pPr>
      <w:r w:rsidRPr="002407CD">
        <w:rPr>
          <w:rFonts w:ascii="Cambria" w:eastAsia="Cambria" w:hAnsi="Cambria" w:cs="Cambria"/>
          <w:b/>
          <w:color w:val="000000"/>
        </w:rPr>
        <w:lastRenderedPageBreak/>
        <w:t xml:space="preserve">REFERENCES </w:t>
      </w:r>
    </w:p>
    <w:p w14:paraId="5514C460" w14:textId="77777777" w:rsidR="002407CD" w:rsidRPr="002407CD" w:rsidRDefault="002407CD" w:rsidP="00E80576">
      <w:pPr>
        <w:spacing w:after="0"/>
        <w:ind w:left="720" w:hanging="720"/>
        <w:jc w:val="both"/>
        <w:rPr>
          <w:rFonts w:ascii="Cambria" w:eastAsia="Cambria" w:hAnsi="Cambria" w:cs="Cambria"/>
          <w:color w:val="000000"/>
          <w:sz w:val="21"/>
          <w:szCs w:val="21"/>
        </w:rPr>
      </w:pPr>
      <w:r w:rsidRPr="002407CD">
        <w:rPr>
          <w:rFonts w:ascii="Cambria" w:eastAsia="Cambria" w:hAnsi="Cambria" w:cs="Cambria"/>
          <w:color w:val="000000"/>
          <w:sz w:val="21"/>
          <w:szCs w:val="21"/>
        </w:rPr>
        <w:t>Arawinda, S. H. (2021). Perlindungan Hukum Terhadap Perempuan Korban Kekerasan Berbasis Gender Online di Indonesia. JURNAL YUSTIKA: MEDIA HUKUM DAN KEADILAN, 24(02), 76–90.</w:t>
      </w:r>
    </w:p>
    <w:p w14:paraId="18BE89F8" w14:textId="77777777" w:rsidR="002407CD" w:rsidRPr="002407CD" w:rsidRDefault="002407CD" w:rsidP="00E80576">
      <w:pPr>
        <w:spacing w:after="0"/>
        <w:ind w:left="720" w:hanging="720"/>
        <w:jc w:val="both"/>
        <w:rPr>
          <w:rFonts w:ascii="Cambria" w:eastAsia="Cambria" w:hAnsi="Cambria" w:cs="Cambria"/>
          <w:color w:val="000000"/>
          <w:sz w:val="21"/>
          <w:szCs w:val="21"/>
        </w:rPr>
      </w:pPr>
      <w:r w:rsidRPr="002407CD">
        <w:rPr>
          <w:rFonts w:ascii="Cambria" w:eastAsia="Cambria" w:hAnsi="Cambria" w:cs="Cambria"/>
          <w:color w:val="000000"/>
          <w:sz w:val="21"/>
          <w:szCs w:val="21"/>
        </w:rPr>
        <w:t>Ayuningtyas, N. C. (2021). Urgensi Perlindungan Hukum Bagi Korban Pornografi Balas Dendam (Revenge Porn). RECIDIVE, 10(3), 164–173.</w:t>
      </w:r>
    </w:p>
    <w:p w14:paraId="60BFA291" w14:textId="77777777" w:rsidR="002407CD" w:rsidRPr="002407CD" w:rsidRDefault="002407CD" w:rsidP="00E80576">
      <w:pPr>
        <w:spacing w:after="0"/>
        <w:ind w:left="720" w:hanging="720"/>
        <w:jc w:val="both"/>
        <w:rPr>
          <w:rFonts w:ascii="Cambria" w:eastAsia="Cambria" w:hAnsi="Cambria" w:cs="Cambria"/>
          <w:color w:val="000000"/>
          <w:sz w:val="21"/>
          <w:szCs w:val="21"/>
        </w:rPr>
      </w:pPr>
      <w:r w:rsidRPr="002407CD">
        <w:rPr>
          <w:rFonts w:ascii="Cambria" w:eastAsia="Cambria" w:hAnsi="Cambria" w:cs="Cambria"/>
          <w:color w:val="000000"/>
          <w:sz w:val="21"/>
          <w:szCs w:val="21"/>
        </w:rPr>
        <w:t>Berutu, S. M. (2023). Perlindungan Hukum Terhadap Korban Pornografi Balas Dendam (Revenge Porn) di Media Sosial (Studi Putusan Nomor 217/Pid. Sus/2021/Pn Dmk.). Universitas Kristen Indonesia.</w:t>
      </w:r>
    </w:p>
    <w:p w14:paraId="32CC8CB6" w14:textId="77777777" w:rsidR="002407CD" w:rsidRPr="002407CD" w:rsidRDefault="002407CD" w:rsidP="00E80576">
      <w:pPr>
        <w:spacing w:after="0"/>
        <w:ind w:left="720" w:hanging="720"/>
        <w:jc w:val="both"/>
        <w:rPr>
          <w:rFonts w:ascii="Cambria" w:eastAsia="Cambria" w:hAnsi="Cambria" w:cs="Cambria"/>
          <w:color w:val="000000"/>
          <w:sz w:val="21"/>
          <w:szCs w:val="21"/>
        </w:rPr>
      </w:pPr>
      <w:r w:rsidRPr="002407CD">
        <w:rPr>
          <w:rFonts w:ascii="Cambria" w:eastAsia="Cambria" w:hAnsi="Cambria" w:cs="Cambria"/>
          <w:color w:val="000000"/>
          <w:sz w:val="21"/>
          <w:szCs w:val="21"/>
        </w:rPr>
        <w:t>Febriani, E. V., &amp; Wibowo, A. (2022). UPAYA PERLINDUNGAN HUKUM OLEH KOMNAS PEREMPUAN TERHADAP KORBAN KEJAHATAN SEKSTORSI DI DUNIA MAYA. Jurnal Hukum Adigama, 5(1), 279–303.</w:t>
      </w:r>
    </w:p>
    <w:p w14:paraId="6C3EFB81" w14:textId="77777777" w:rsidR="002407CD" w:rsidRPr="002407CD" w:rsidRDefault="002407CD" w:rsidP="00E80576">
      <w:pPr>
        <w:spacing w:after="0"/>
        <w:ind w:left="720" w:hanging="720"/>
        <w:jc w:val="both"/>
        <w:rPr>
          <w:rFonts w:ascii="Cambria" w:eastAsia="Cambria" w:hAnsi="Cambria" w:cs="Cambria"/>
          <w:color w:val="000000"/>
          <w:sz w:val="21"/>
          <w:szCs w:val="21"/>
        </w:rPr>
      </w:pPr>
      <w:r w:rsidRPr="002407CD">
        <w:rPr>
          <w:rFonts w:ascii="Cambria" w:eastAsia="Cambria" w:hAnsi="Cambria" w:cs="Cambria"/>
          <w:color w:val="000000"/>
          <w:sz w:val="21"/>
          <w:szCs w:val="21"/>
        </w:rPr>
        <w:t>Maulida, F. R. (2021). Kebijakan Terhadap Rancangan Undang-Undang Tentang Penghapusan Kekerasan Seksual Di Indonesia: Urgensi Dan Dinamika. Fakultas Syariah dan Hukum Universitas Islam Negeri Syarif Hidayatullah Jakarta.</w:t>
      </w:r>
    </w:p>
    <w:p w14:paraId="47437874" w14:textId="77777777" w:rsidR="002407CD" w:rsidRPr="002407CD" w:rsidRDefault="002407CD" w:rsidP="00E80576">
      <w:pPr>
        <w:spacing w:after="0"/>
        <w:ind w:left="720" w:hanging="720"/>
        <w:jc w:val="both"/>
        <w:rPr>
          <w:rFonts w:ascii="Cambria" w:eastAsia="Cambria" w:hAnsi="Cambria" w:cs="Cambria"/>
          <w:color w:val="000000"/>
          <w:sz w:val="21"/>
          <w:szCs w:val="21"/>
        </w:rPr>
      </w:pPr>
      <w:r w:rsidRPr="002407CD">
        <w:rPr>
          <w:rFonts w:ascii="Cambria" w:eastAsia="Cambria" w:hAnsi="Cambria" w:cs="Cambria"/>
          <w:color w:val="000000"/>
          <w:sz w:val="21"/>
          <w:szCs w:val="21"/>
        </w:rPr>
        <w:t>Perangin-Angin, I. I. P., Rahayu, R., &amp; Dwiwarno, N. (2019). Kewajiban Dan Tanggungjawab Negara Memberikan Perlindungan Hukum Terhadap Perempuan Korban Revenge Porn Di Indonesia. Diponegoro Law Journal, 8(1), 457–483.</w:t>
      </w:r>
    </w:p>
    <w:p w14:paraId="0270C5E6" w14:textId="77777777" w:rsidR="002407CD" w:rsidRPr="002407CD" w:rsidRDefault="002407CD" w:rsidP="00E80576">
      <w:pPr>
        <w:spacing w:after="0"/>
        <w:ind w:left="720" w:hanging="720"/>
        <w:jc w:val="both"/>
        <w:rPr>
          <w:rFonts w:ascii="Cambria" w:eastAsia="Cambria" w:hAnsi="Cambria" w:cs="Cambria"/>
          <w:color w:val="000000"/>
          <w:sz w:val="21"/>
          <w:szCs w:val="21"/>
        </w:rPr>
      </w:pPr>
      <w:r w:rsidRPr="002407CD">
        <w:rPr>
          <w:rFonts w:ascii="Cambria" w:eastAsia="Cambria" w:hAnsi="Cambria" w:cs="Cambria"/>
          <w:color w:val="000000"/>
          <w:sz w:val="21"/>
          <w:szCs w:val="21"/>
        </w:rPr>
        <w:t>Purandari, T. (2019). Pertanggungjawaban Hukum Pelaku Eksploitasi Seksual Pada Anak Melalui Internet. Media Iuris, 2(2), 233–258.</w:t>
      </w:r>
    </w:p>
    <w:p w14:paraId="3B64AE2B" w14:textId="77777777" w:rsidR="002407CD" w:rsidRPr="002407CD" w:rsidRDefault="002407CD" w:rsidP="00E80576">
      <w:pPr>
        <w:spacing w:after="0"/>
        <w:ind w:left="720" w:hanging="720"/>
        <w:jc w:val="both"/>
        <w:rPr>
          <w:rFonts w:ascii="Cambria" w:eastAsia="Cambria" w:hAnsi="Cambria" w:cs="Cambria"/>
          <w:color w:val="000000"/>
          <w:sz w:val="21"/>
          <w:szCs w:val="21"/>
        </w:rPr>
      </w:pPr>
      <w:r w:rsidRPr="002407CD">
        <w:rPr>
          <w:rFonts w:ascii="Cambria" w:eastAsia="Cambria" w:hAnsi="Cambria" w:cs="Cambria"/>
          <w:color w:val="000000"/>
          <w:sz w:val="21"/>
          <w:szCs w:val="21"/>
        </w:rPr>
        <w:t>Runtu, E. A. (2021). Penegakan Hukum Dalam Memberikan Perlindungan Terhadap Perempuan Korban Ancaman Kejahatan (Revenge Porn) Yang Terjadi Di Sosial Media. Lex Privatum, 9(11).</w:t>
      </w:r>
    </w:p>
    <w:p w14:paraId="207A8882" w14:textId="77777777" w:rsidR="002407CD" w:rsidRPr="002407CD" w:rsidRDefault="002407CD" w:rsidP="00E80576">
      <w:pPr>
        <w:spacing w:after="0"/>
        <w:ind w:left="720" w:hanging="720"/>
        <w:jc w:val="both"/>
        <w:rPr>
          <w:rFonts w:ascii="Cambria" w:eastAsia="Cambria" w:hAnsi="Cambria" w:cs="Cambria"/>
          <w:color w:val="000000"/>
          <w:sz w:val="21"/>
          <w:szCs w:val="21"/>
        </w:rPr>
      </w:pPr>
      <w:r w:rsidRPr="002407CD">
        <w:rPr>
          <w:rFonts w:ascii="Cambria" w:eastAsia="Cambria" w:hAnsi="Cambria" w:cs="Cambria"/>
          <w:color w:val="000000"/>
          <w:sz w:val="21"/>
          <w:szCs w:val="21"/>
        </w:rPr>
        <w:t>Syauket, A., Saimima, I. D. S., Simarmata, R. P., Aidy, W. R., Zainab, N., Prayitno, R. B., &amp; Cabui, C. E. (2022). Sextortion (Fenomena Pemerasan Seksual di Lingkungan Pendidikan). Jurnal Kajian Ilmiah, 22(3), 219–230.</w:t>
      </w:r>
    </w:p>
    <w:p w14:paraId="17D3A863" w14:textId="77777777" w:rsidR="002407CD" w:rsidRPr="002407CD" w:rsidRDefault="002407CD" w:rsidP="00E80576">
      <w:pPr>
        <w:spacing w:after="0"/>
        <w:ind w:left="720" w:hanging="720"/>
        <w:jc w:val="both"/>
        <w:rPr>
          <w:rFonts w:ascii="Cambria" w:eastAsia="Cambria" w:hAnsi="Cambria" w:cs="Cambria"/>
          <w:color w:val="000000"/>
          <w:sz w:val="21"/>
          <w:szCs w:val="21"/>
        </w:rPr>
      </w:pPr>
      <w:r w:rsidRPr="002407CD">
        <w:rPr>
          <w:rFonts w:ascii="Cambria" w:eastAsia="Cambria" w:hAnsi="Cambria" w:cs="Cambria"/>
          <w:color w:val="000000"/>
          <w:sz w:val="21"/>
          <w:szCs w:val="21"/>
        </w:rPr>
        <w:t>Yuliani, F. (2020). KAJIAN YURIDIS VIKTIMOLOGIS TINDAK PIDANA PEMERASAN MELALUI PEMBUATAN DAN PENYEBARAN PRODUK PORNOGRAFI DIHUBUNGKAN DENGAN KONSEP PROVOCATIVE VICTIMS. FAKULTAS HUKUM UNIVERSITAS PASUNDAN.</w:t>
      </w:r>
    </w:p>
    <w:p w14:paraId="68910D93" w14:textId="77777777" w:rsidR="00B4287A" w:rsidRPr="002407CD" w:rsidRDefault="00B4287A" w:rsidP="00E80576">
      <w:pPr>
        <w:spacing w:after="0"/>
        <w:ind w:left="720" w:hanging="720"/>
        <w:jc w:val="both"/>
        <w:rPr>
          <w:rFonts w:ascii="Cambria" w:eastAsia="Cambria" w:hAnsi="Cambria" w:cs="Cambria"/>
          <w:color w:val="000000"/>
          <w:sz w:val="21"/>
          <w:szCs w:val="21"/>
        </w:rPr>
      </w:pPr>
    </w:p>
    <w:sectPr w:rsidR="00B4287A" w:rsidRPr="002407CD" w:rsidSect="007B37BB">
      <w:headerReference w:type="even" r:id="rId11"/>
      <w:headerReference w:type="default" r:id="rId12"/>
      <w:footerReference w:type="even" r:id="rId13"/>
      <w:footerReference w:type="default" r:id="rId14"/>
      <w:headerReference w:type="first" r:id="rId15"/>
      <w:footerReference w:type="first" r:id="rId16"/>
      <w:type w:val="continuous"/>
      <w:pgSz w:w="10319" w:h="14578" w:code="139"/>
      <w:pgMar w:top="1440" w:right="1440" w:bottom="1440" w:left="1440" w:header="680" w:footer="680" w:gutter="0"/>
      <w:pgNumType w:start="1"/>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CB369" w14:textId="77777777" w:rsidR="00DD49DB" w:rsidRDefault="00DD49DB" w:rsidP="004B1FA9">
      <w:pPr>
        <w:spacing w:after="0" w:line="240" w:lineRule="auto"/>
      </w:pPr>
      <w:r>
        <w:separator/>
      </w:r>
    </w:p>
  </w:endnote>
  <w:endnote w:type="continuationSeparator" w:id="0">
    <w:p w14:paraId="7D26B754" w14:textId="77777777" w:rsidR="00DD49DB" w:rsidRDefault="00DD49DB" w:rsidP="004B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charset w:val="00"/>
    <w:family w:val="roman"/>
    <w:pitch w:val="variable"/>
    <w:sig w:usb0="00000003" w:usb1="00000000" w:usb2="00000000" w:usb3="00000000" w:csb0="00000001" w:csb1="00000000"/>
  </w:font>
  <w:font w:name="Caladea">
    <w:altName w:val="Calibri"/>
    <w:charset w:val="00"/>
    <w:family w:val="auto"/>
    <w:pitch w:val="variable"/>
  </w:font>
  <w:font w:name="Vani">
    <w:charset w:val="00"/>
    <w:family w:val="roman"/>
    <w:pitch w:val="variable"/>
    <w:sig w:usb0="002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C8963" w14:textId="77777777" w:rsidR="006B21A6" w:rsidRPr="007B37BB" w:rsidRDefault="006B21A6" w:rsidP="00677579">
    <w:pPr>
      <w:pStyle w:val="Footer"/>
      <w:framePr w:wrap="auto" w:vAnchor="text" w:hAnchor="margin" w:xAlign="outside" w:y="1"/>
      <w:spacing w:before="120" w:after="0" w:line="240" w:lineRule="auto"/>
      <w:rPr>
        <w:rStyle w:val="PageNumber"/>
        <w:rFonts w:ascii="Cambria" w:hAnsi="Cambria"/>
      </w:rPr>
    </w:pPr>
    <w:r w:rsidRPr="007B37BB">
      <w:rPr>
        <w:rStyle w:val="PageNumber"/>
        <w:rFonts w:ascii="Cambria" w:hAnsi="Cambria"/>
      </w:rPr>
      <w:fldChar w:fldCharType="begin"/>
    </w:r>
    <w:r w:rsidRPr="007B37BB">
      <w:rPr>
        <w:rStyle w:val="PageNumber"/>
        <w:rFonts w:ascii="Cambria" w:hAnsi="Cambria"/>
      </w:rPr>
      <w:instrText xml:space="preserve">PAGE  </w:instrText>
    </w:r>
    <w:r w:rsidRPr="007B37BB">
      <w:rPr>
        <w:rStyle w:val="PageNumber"/>
        <w:rFonts w:ascii="Cambria" w:hAnsi="Cambria"/>
      </w:rPr>
      <w:fldChar w:fldCharType="separate"/>
    </w:r>
    <w:r w:rsidR="00995538">
      <w:rPr>
        <w:rStyle w:val="PageNumber"/>
        <w:rFonts w:ascii="Cambria" w:hAnsi="Cambria"/>
        <w:noProof/>
      </w:rPr>
      <w:t>4</w:t>
    </w:r>
    <w:r w:rsidRPr="007B37BB">
      <w:rPr>
        <w:rStyle w:val="PageNumber"/>
        <w:rFonts w:ascii="Cambria" w:hAnsi="Cambria"/>
      </w:rPr>
      <w:fldChar w:fldCharType="end"/>
    </w:r>
    <w:r w:rsidRPr="007B37BB">
      <w:rPr>
        <w:rStyle w:val="PageNumber"/>
        <w:rFonts w:ascii="Cambria" w:hAnsi="Cambria"/>
      </w:rPr>
      <w:t xml:space="preserve"> │</w:t>
    </w:r>
  </w:p>
  <w:p w14:paraId="504F6BBD" w14:textId="77777777" w:rsidR="006B21A6" w:rsidRPr="007B37BB" w:rsidRDefault="0071290A" w:rsidP="007B37BB">
    <w:pPr>
      <w:pStyle w:val="Footer"/>
      <w:pBdr>
        <w:top w:val="single" w:sz="8" w:space="6" w:color="auto"/>
      </w:pBdr>
      <w:spacing w:after="0" w:line="240" w:lineRule="auto"/>
      <w:ind w:left="720"/>
      <w:jc w:val="right"/>
      <w:rPr>
        <w:rFonts w:ascii="Cambria" w:hAnsi="Cambria" w:cs="Vani"/>
        <w:spacing w:val="-6"/>
        <w:sz w:val="20"/>
        <w:szCs w:val="20"/>
        <w:lang w:val="id-ID"/>
      </w:rPr>
    </w:pPr>
    <w:r w:rsidRPr="007B37BB">
      <w:rPr>
        <w:rFonts w:ascii="Cambria" w:hAnsi="Cambria" w:cs="Vani"/>
        <w:spacing w:val="-6"/>
        <w:sz w:val="20"/>
        <w:szCs w:val="20"/>
      </w:rPr>
      <w:tab/>
      <w:t xml:space="preserve">  </w:t>
    </w:r>
    <w:r w:rsidR="007B37BB" w:rsidRPr="007B37BB">
      <w:rPr>
        <w:rFonts w:ascii="Cambria" w:hAnsi="Cambria" w:cs="Vani"/>
        <w:spacing w:val="-6"/>
        <w:sz w:val="20"/>
        <w:szCs w:val="20"/>
      </w:rPr>
      <w:t>P-</w:t>
    </w:r>
    <w:r w:rsidR="00525046" w:rsidRPr="007B37BB">
      <w:rPr>
        <w:rFonts w:ascii="Cambria" w:hAnsi="Cambria" w:cs="Vani"/>
        <w:spacing w:val="-6"/>
        <w:sz w:val="20"/>
        <w:szCs w:val="20"/>
      </w:rPr>
      <w:t xml:space="preserve">ISSN </w:t>
    </w:r>
    <w:r w:rsidR="007B37BB" w:rsidRPr="007B37BB">
      <w:rPr>
        <w:rFonts w:ascii="Cambria" w:hAnsi="Cambria" w:cs="Vani"/>
        <w:spacing w:val="-6"/>
        <w:sz w:val="20"/>
        <w:szCs w:val="20"/>
      </w:rPr>
      <w:t>(</w:t>
    </w:r>
    <w:r w:rsidR="007B37BB" w:rsidRPr="007B37BB">
      <w:rPr>
        <w:rStyle w:val="Strong"/>
        <w:rFonts w:ascii="Cambria" w:hAnsi="Cambria"/>
        <w:b w:val="0"/>
        <w:bCs w:val="0"/>
        <w:color w:val="000000"/>
        <w:sz w:val="20"/>
        <w:szCs w:val="20"/>
        <w:shd w:val="clear" w:color="auto" w:fill="FFFFFF"/>
      </w:rPr>
      <w:t>2085-1154)</w:t>
    </w:r>
    <w:r w:rsidR="00525046" w:rsidRPr="007B37BB">
      <w:rPr>
        <w:rFonts w:ascii="Cambria" w:hAnsi="Cambria" w:cs="Vani"/>
        <w:spacing w:val="-6"/>
        <w:sz w:val="20"/>
        <w:szCs w:val="20"/>
        <w:lang w:val="id-ID"/>
      </w:rPr>
      <w:t xml:space="preserve"> </w:t>
    </w:r>
    <w:r w:rsidR="007B37BB" w:rsidRPr="007B37BB">
      <w:rPr>
        <w:rFonts w:ascii="Cambria" w:hAnsi="Cambria" w:cs="Vani"/>
        <w:spacing w:val="-6"/>
        <w:sz w:val="20"/>
        <w:szCs w:val="20"/>
      </w:rPr>
      <w:t>E-ISSN (2798-7663)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D4BD9" w14:textId="77777777" w:rsidR="006B21A6" w:rsidRPr="007B37BB" w:rsidRDefault="006B21A6" w:rsidP="00171CFA">
    <w:pPr>
      <w:pStyle w:val="Footer"/>
      <w:framePr w:wrap="auto" w:vAnchor="text" w:hAnchor="margin" w:xAlign="outside" w:y="1"/>
      <w:spacing w:before="120" w:after="0" w:line="240" w:lineRule="auto"/>
      <w:rPr>
        <w:rStyle w:val="PageNumber"/>
        <w:rFonts w:ascii="Cambria" w:hAnsi="Cambria"/>
      </w:rPr>
    </w:pPr>
    <w:r w:rsidRPr="007B37BB">
      <w:rPr>
        <w:rStyle w:val="PageNumber"/>
        <w:rFonts w:ascii="Cambria" w:hAnsi="Cambria"/>
      </w:rPr>
      <w:t xml:space="preserve">│ </w:t>
    </w:r>
    <w:r w:rsidRPr="007B37BB">
      <w:rPr>
        <w:rStyle w:val="PageNumber"/>
        <w:rFonts w:ascii="Cambria" w:hAnsi="Cambria"/>
      </w:rPr>
      <w:fldChar w:fldCharType="begin"/>
    </w:r>
    <w:r w:rsidRPr="007B37BB">
      <w:rPr>
        <w:rStyle w:val="PageNumber"/>
        <w:rFonts w:ascii="Cambria" w:hAnsi="Cambria"/>
      </w:rPr>
      <w:instrText xml:space="preserve">PAGE  </w:instrText>
    </w:r>
    <w:r w:rsidRPr="007B37BB">
      <w:rPr>
        <w:rStyle w:val="PageNumber"/>
        <w:rFonts w:ascii="Cambria" w:hAnsi="Cambria"/>
      </w:rPr>
      <w:fldChar w:fldCharType="separate"/>
    </w:r>
    <w:r w:rsidR="00995538">
      <w:rPr>
        <w:rStyle w:val="PageNumber"/>
        <w:rFonts w:ascii="Cambria" w:hAnsi="Cambria"/>
        <w:noProof/>
      </w:rPr>
      <w:t>3</w:t>
    </w:r>
    <w:r w:rsidRPr="007B37BB">
      <w:rPr>
        <w:rStyle w:val="PageNumber"/>
        <w:rFonts w:ascii="Cambria" w:hAnsi="Cambria"/>
      </w:rPr>
      <w:fldChar w:fldCharType="end"/>
    </w:r>
  </w:p>
  <w:p w14:paraId="59B38B16" w14:textId="77777777" w:rsidR="006B21A6" w:rsidRPr="007B37BB" w:rsidRDefault="007B37BB" w:rsidP="007B37BB">
    <w:pPr>
      <w:pStyle w:val="Footer"/>
      <w:pBdr>
        <w:top w:val="single" w:sz="8" w:space="6" w:color="auto"/>
      </w:pBdr>
      <w:spacing w:after="0" w:line="240" w:lineRule="auto"/>
      <w:rPr>
        <w:rFonts w:ascii="Cambria" w:hAnsi="Cambria" w:cs="Vani"/>
        <w:spacing w:val="-6"/>
        <w:sz w:val="20"/>
        <w:szCs w:val="20"/>
      </w:rPr>
    </w:pPr>
    <w:r w:rsidRPr="007B37BB">
      <w:rPr>
        <w:rFonts w:ascii="Cambria" w:hAnsi="Cambria" w:cs="Vani"/>
        <w:spacing w:val="-6"/>
        <w:sz w:val="20"/>
        <w:szCs w:val="20"/>
      </w:rPr>
      <w:t>P-ISSN (</w:t>
    </w:r>
    <w:r w:rsidRPr="007B37BB">
      <w:rPr>
        <w:rStyle w:val="Strong"/>
        <w:rFonts w:ascii="Cambria" w:hAnsi="Cambria"/>
        <w:b w:val="0"/>
        <w:bCs w:val="0"/>
        <w:color w:val="000000"/>
        <w:sz w:val="20"/>
        <w:szCs w:val="20"/>
        <w:shd w:val="clear" w:color="auto" w:fill="FFFFFF"/>
      </w:rPr>
      <w:t>2085-1154)</w:t>
    </w:r>
    <w:r w:rsidRPr="007B37BB">
      <w:rPr>
        <w:rFonts w:ascii="Cambria" w:hAnsi="Cambria" w:cs="Vani"/>
        <w:spacing w:val="-6"/>
        <w:sz w:val="20"/>
        <w:szCs w:val="20"/>
        <w:lang w:val="id-ID"/>
      </w:rPr>
      <w:t xml:space="preserve"> </w:t>
    </w:r>
    <w:r w:rsidRPr="007B37BB">
      <w:rPr>
        <w:rFonts w:ascii="Cambria" w:hAnsi="Cambria" w:cs="Vani"/>
        <w:spacing w:val="-6"/>
        <w:sz w:val="20"/>
        <w:szCs w:val="20"/>
      </w:rPr>
      <w:t>E-ISSN (2798-7663)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4AB96" w14:textId="77777777" w:rsidR="00720572" w:rsidRPr="00645715" w:rsidRDefault="00720572" w:rsidP="00116759">
    <w:pPr>
      <w:pStyle w:val="BodyText"/>
      <w:spacing w:before="20"/>
      <w:ind w:left="20"/>
      <w:jc w:val="center"/>
      <w:rPr>
        <w:rFonts w:ascii="Cambria" w:hAnsi="Cambria" w:cs="Open Sans"/>
        <w:b/>
        <w:bCs/>
        <w:color w:val="333333"/>
        <w:sz w:val="18"/>
        <w:szCs w:val="18"/>
        <w:shd w:val="clear" w:color="auto" w:fill="FFFFFF"/>
        <w:lang w:val="en-US"/>
      </w:rPr>
    </w:pPr>
    <w:r w:rsidRPr="00645715">
      <w:rPr>
        <w:rFonts w:ascii="Cambria" w:hAnsi="Cambria" w:cs="Vani"/>
        <w:spacing w:val="-6"/>
        <w:sz w:val="18"/>
        <w:szCs w:val="18"/>
      </w:rPr>
      <w:t xml:space="preserve">* </w:t>
    </w:r>
    <w:r w:rsidRPr="00645715">
      <w:rPr>
        <w:rFonts w:ascii="Cambria" w:hAnsi="Cambria" w:cs="Open Sans"/>
        <w:color w:val="333333"/>
        <w:sz w:val="18"/>
        <w:szCs w:val="18"/>
        <w:shd w:val="clear" w:color="auto" w:fill="FFFFFF"/>
      </w:rPr>
      <w:t>Copyright (c) 20</w:t>
    </w:r>
    <w:r w:rsidRPr="00645715">
      <w:rPr>
        <w:rFonts w:ascii="Cambria" w:hAnsi="Cambria" w:cs="Open Sans"/>
        <w:color w:val="333333"/>
        <w:sz w:val="18"/>
        <w:szCs w:val="18"/>
        <w:shd w:val="clear" w:color="auto" w:fill="FFFFFF"/>
        <w:lang w:val="en-US"/>
      </w:rPr>
      <w:t>20</w:t>
    </w:r>
    <w:r w:rsidR="003903EB" w:rsidRPr="00645715">
      <w:rPr>
        <w:rFonts w:ascii="Cambria" w:hAnsi="Cambria" w:cs="Open Sans"/>
        <w:color w:val="333333"/>
        <w:sz w:val="18"/>
        <w:szCs w:val="18"/>
        <w:shd w:val="clear" w:color="auto" w:fill="FFFFFF"/>
        <w:lang w:val="en-US"/>
      </w:rPr>
      <w:t xml:space="preserve"> </w:t>
    </w:r>
    <w:r w:rsidR="00645715">
      <w:rPr>
        <w:rFonts w:ascii="Cambria" w:hAnsi="Cambria"/>
        <w:b/>
        <w:bCs/>
        <w:sz w:val="18"/>
        <w:szCs w:val="18"/>
        <w:lang w:val="en-US"/>
      </w:rPr>
      <w:t>Name</w:t>
    </w:r>
  </w:p>
  <w:p w14:paraId="6FD76FBB" w14:textId="77777777" w:rsidR="00965301" w:rsidRPr="00645715" w:rsidRDefault="00720572" w:rsidP="00116759">
    <w:pPr>
      <w:pStyle w:val="FootnoteText"/>
      <w:jc w:val="center"/>
      <w:rPr>
        <w:rFonts w:ascii="Cambria" w:hAnsi="Cambria" w:cs="Open Sans"/>
        <w:color w:val="333333"/>
        <w:sz w:val="18"/>
        <w:szCs w:val="18"/>
        <w:shd w:val="clear" w:color="auto" w:fill="FFFFFF"/>
      </w:rPr>
    </w:pPr>
    <w:r w:rsidRPr="00645715">
      <w:rPr>
        <w:rFonts w:ascii="Cambria" w:hAnsi="Cambria" w:cs="Open Sans"/>
        <w:color w:val="333333"/>
        <w:sz w:val="16"/>
        <w:szCs w:val="16"/>
        <w:shd w:val="clear" w:color="auto" w:fill="FFFFFF"/>
      </w:rPr>
      <w:t>This work is licensed under a </w:t>
    </w:r>
    <w:hyperlink r:id="rId1" w:history="1">
      <w:r w:rsidRPr="00645715">
        <w:rPr>
          <w:rStyle w:val="Hyperlink"/>
          <w:rFonts w:ascii="Cambria" w:hAnsi="Cambria" w:cs="Open Sans"/>
          <w:color w:val="0D355E"/>
          <w:sz w:val="16"/>
          <w:szCs w:val="16"/>
          <w:shd w:val="clear" w:color="auto" w:fill="FFFFFF"/>
        </w:rPr>
        <w:t>Creative Commons Attribution-ShareAlike 4.0 International License</w:t>
      </w:r>
    </w:hyperlink>
    <w:r w:rsidRPr="00645715">
      <w:rPr>
        <w:rFonts w:ascii="Cambria" w:hAnsi="Cambria" w:cs="Open Sans"/>
        <w:color w:val="333333"/>
        <w:sz w:val="16"/>
        <w:szCs w:val="16"/>
        <w:shd w:val="clear" w:color="auto" w:fill="FFFFFF"/>
      </w:rPr>
      <w:t>.</w:t>
    </w:r>
  </w:p>
  <w:p w14:paraId="36E65BC2" w14:textId="77777777" w:rsidR="006B21A6" w:rsidRPr="009E3BFE" w:rsidRDefault="00307F16" w:rsidP="00116759">
    <w:pPr>
      <w:pStyle w:val="FootnoteText"/>
      <w:spacing w:before="120"/>
      <w:jc w:val="center"/>
    </w:pPr>
    <w:r w:rsidRPr="00645715">
      <w:rPr>
        <w:rFonts w:ascii="Cambria" w:hAnsi="Cambria"/>
        <w:sz w:val="18"/>
        <w:szCs w:val="18"/>
      </w:rPr>
      <w:t>Received</w:t>
    </w:r>
    <w:r w:rsidR="00965301" w:rsidRPr="00645715">
      <w:rPr>
        <w:rFonts w:ascii="Cambria" w:hAnsi="Cambria"/>
        <w:sz w:val="18"/>
        <w:szCs w:val="18"/>
      </w:rPr>
      <w:t xml:space="preserve">: </w:t>
    </w:r>
    <w:r w:rsidR="00E8624E" w:rsidRPr="00645715">
      <w:rPr>
        <w:rFonts w:ascii="Cambria" w:hAnsi="Cambria"/>
        <w:sz w:val="18"/>
        <w:szCs w:val="18"/>
      </w:rPr>
      <w:t>7 April 2020</w:t>
    </w:r>
    <w:r w:rsidR="005B1781" w:rsidRPr="00645715">
      <w:rPr>
        <w:rFonts w:ascii="Cambria" w:hAnsi="Cambria"/>
        <w:sz w:val="18"/>
        <w:szCs w:val="18"/>
      </w:rPr>
      <w:t xml:space="preserve">; </w:t>
    </w:r>
    <w:r w:rsidRPr="00645715">
      <w:rPr>
        <w:rFonts w:ascii="Cambria" w:hAnsi="Cambria"/>
        <w:sz w:val="18"/>
        <w:szCs w:val="18"/>
      </w:rPr>
      <w:t>Revised</w:t>
    </w:r>
    <w:r w:rsidR="005B1781" w:rsidRPr="00645715">
      <w:rPr>
        <w:rFonts w:ascii="Cambria" w:hAnsi="Cambria"/>
        <w:sz w:val="18"/>
        <w:szCs w:val="18"/>
      </w:rPr>
      <w:t xml:space="preserve">: </w:t>
    </w:r>
    <w:r w:rsidR="00E8624E" w:rsidRPr="00645715">
      <w:rPr>
        <w:rFonts w:ascii="Cambria" w:hAnsi="Cambria"/>
        <w:sz w:val="18"/>
        <w:szCs w:val="18"/>
      </w:rPr>
      <w:t>26 April 2020</w:t>
    </w:r>
    <w:r w:rsidR="005B1781" w:rsidRPr="00645715">
      <w:rPr>
        <w:rFonts w:ascii="Cambria" w:hAnsi="Cambria"/>
        <w:sz w:val="18"/>
        <w:szCs w:val="18"/>
      </w:rPr>
      <w:t xml:space="preserve">; </w:t>
    </w:r>
    <w:r w:rsidRPr="00645715">
      <w:rPr>
        <w:rFonts w:ascii="Cambria" w:hAnsi="Cambria"/>
        <w:sz w:val="18"/>
        <w:szCs w:val="18"/>
      </w:rPr>
      <w:t>Accepted</w:t>
    </w:r>
    <w:r w:rsidR="00E8624E" w:rsidRPr="00645715">
      <w:rPr>
        <w:rFonts w:ascii="Cambria" w:hAnsi="Cambria"/>
        <w:sz w:val="18"/>
        <w:szCs w:val="18"/>
      </w:rPr>
      <w:t>:</w:t>
    </w:r>
    <w:r w:rsidR="005B1781" w:rsidRPr="00645715">
      <w:rPr>
        <w:rFonts w:ascii="Cambria" w:hAnsi="Cambria"/>
        <w:sz w:val="18"/>
        <w:szCs w:val="18"/>
      </w:rPr>
      <w:t xml:space="preserve"> </w:t>
    </w:r>
    <w:r w:rsidR="00E8624E" w:rsidRPr="00645715">
      <w:rPr>
        <w:rFonts w:ascii="Cambria" w:hAnsi="Cambria"/>
        <w:sz w:val="18"/>
        <w:szCs w:val="18"/>
      </w:rPr>
      <w:t>29 April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1F40F" w14:textId="77777777" w:rsidR="00DD49DB" w:rsidRDefault="00DD49DB" w:rsidP="004B1FA9">
      <w:pPr>
        <w:spacing w:after="0" w:line="240" w:lineRule="auto"/>
      </w:pPr>
      <w:r>
        <w:separator/>
      </w:r>
    </w:p>
  </w:footnote>
  <w:footnote w:type="continuationSeparator" w:id="0">
    <w:p w14:paraId="2C01AB5D" w14:textId="77777777" w:rsidR="00DD49DB" w:rsidRDefault="00DD49DB" w:rsidP="004B1FA9">
      <w:pPr>
        <w:spacing w:after="0" w:line="240" w:lineRule="auto"/>
      </w:pPr>
      <w:r>
        <w:continuationSeparator/>
      </w:r>
    </w:p>
  </w:footnote>
  <w:footnote w:id="1">
    <w:p w14:paraId="7B71D3A2" w14:textId="2D653320" w:rsidR="00E80576" w:rsidRPr="00E80576" w:rsidRDefault="00E80576">
      <w:pPr>
        <w:pStyle w:val="FootnoteText"/>
        <w:rPr>
          <w:lang w:val="en-US"/>
        </w:rPr>
      </w:pPr>
      <w:r>
        <w:rPr>
          <w:rStyle w:val="FootnoteReference"/>
        </w:rPr>
        <w:footnoteRef/>
      </w:r>
      <w:r>
        <w:t xml:space="preserve"> </w:t>
      </w:r>
      <w:r w:rsidRPr="00E80576">
        <w:t>Syauket, A., Saimima, I. D. S., Simarmata, R. P., Aidy, W. R., Zainab, N., Prayitno, R. B., &amp; Cabui, C. E. (2022). Sextortion (Fenomena Pemerasan Seksual di Lingkungan Pendidikan). Jurnal Kajian Ilmiah, 22(3), 219–230.</w:t>
      </w:r>
    </w:p>
  </w:footnote>
  <w:footnote w:id="2">
    <w:p w14:paraId="0A7CBF50" w14:textId="39A7100A" w:rsidR="00E80576" w:rsidRPr="00E80576" w:rsidRDefault="00E80576">
      <w:pPr>
        <w:pStyle w:val="FootnoteText"/>
        <w:rPr>
          <w:lang w:val="en-US"/>
        </w:rPr>
      </w:pPr>
      <w:r>
        <w:rPr>
          <w:rStyle w:val="FootnoteReference"/>
        </w:rPr>
        <w:footnoteRef/>
      </w:r>
      <w:r>
        <w:t xml:space="preserve"> </w:t>
      </w:r>
      <w:r w:rsidRPr="00E80576">
        <w:t>Febriani, E. V., &amp; Wibowo, A. (2022). UPAYA PERLINDUNGAN HUKUM OLEH KOMNAS PEREMPUAN TERHADAP KORBAN KEJAHATAN SEKSTORSI DI DUNIA MAYA. Jurnal Hukum Adigama, 5(1), 279–303</w:t>
      </w:r>
      <w:r>
        <w:t>.</w:t>
      </w:r>
    </w:p>
  </w:footnote>
  <w:footnote w:id="3">
    <w:p w14:paraId="1B958116" w14:textId="62A62A13" w:rsidR="00E80576" w:rsidRPr="00E80576" w:rsidRDefault="00E80576">
      <w:pPr>
        <w:pStyle w:val="FootnoteText"/>
        <w:rPr>
          <w:lang w:val="en-US"/>
        </w:rPr>
      </w:pPr>
      <w:r>
        <w:rPr>
          <w:rStyle w:val="FootnoteReference"/>
        </w:rPr>
        <w:footnoteRef/>
      </w:r>
      <w:r>
        <w:t xml:space="preserve"> </w:t>
      </w:r>
      <w:r w:rsidRPr="00E80576">
        <w:t>Berutu, S. M. (2023). Perlindungan Hukum Terhadap Korban Pornografi Balas Dendam (Revenge Porn) di Media Sosial (Studi Putusan Nomor 217/Pid. Sus/2021/Pn Dmk.). Universitas Kristen Indonesia</w:t>
      </w:r>
    </w:p>
  </w:footnote>
  <w:footnote w:id="4">
    <w:p w14:paraId="5AED70DC" w14:textId="17C38F3B" w:rsidR="00E80576" w:rsidRPr="00E80576" w:rsidRDefault="00E80576">
      <w:pPr>
        <w:pStyle w:val="FootnoteText"/>
        <w:rPr>
          <w:lang w:val="en-US"/>
        </w:rPr>
      </w:pPr>
      <w:r>
        <w:rPr>
          <w:rStyle w:val="FootnoteReference"/>
        </w:rPr>
        <w:footnoteRef/>
      </w:r>
      <w:r>
        <w:t xml:space="preserve"> </w:t>
      </w:r>
      <w:r w:rsidRPr="00E80576">
        <w:t>Yuliani, F. (2020). KAJIAN YURIDIS VIKTIMOLOGIS TINDAK PIDANA PEMERASAN MELALUI PEMBUATAN DAN PENYEBARAN PRODUK PORNOGRAFI DIHUBUNGKAN DENGAN KONSEP PROVOCATIVE VICTIMS. FAKULTAS HUKUM UNIVERSITAS PASUNDAN</w:t>
      </w:r>
    </w:p>
  </w:footnote>
  <w:footnote w:id="5">
    <w:p w14:paraId="46BFF44E" w14:textId="6F3966D5" w:rsidR="00E80576" w:rsidRPr="00E80576" w:rsidRDefault="00E80576">
      <w:pPr>
        <w:pStyle w:val="FootnoteText"/>
        <w:rPr>
          <w:lang w:val="en-US"/>
        </w:rPr>
      </w:pPr>
      <w:r>
        <w:rPr>
          <w:rStyle w:val="FootnoteReference"/>
        </w:rPr>
        <w:footnoteRef/>
      </w:r>
      <w:r>
        <w:t xml:space="preserve"> </w:t>
      </w:r>
      <w:r w:rsidRPr="00E80576">
        <w:t>Perangin-Angin, I. I. P., Rahayu, R., &amp; Dwiwarno, N. (2019). Kewajiban Dan Tanggungjawab Negara Memberikan Perlindungan Hukum Terhadap Perempuan Korban Revenge Porn Di Indonesia. Diponegoro Law Journal, 8(1), 457–483</w:t>
      </w:r>
    </w:p>
  </w:footnote>
  <w:footnote w:id="6">
    <w:p w14:paraId="17C3B0B1" w14:textId="7A7EA4AE" w:rsidR="00E80576" w:rsidRPr="00E80576" w:rsidRDefault="00E80576">
      <w:pPr>
        <w:pStyle w:val="FootnoteText"/>
        <w:rPr>
          <w:lang w:val="en-US"/>
        </w:rPr>
      </w:pPr>
      <w:r>
        <w:rPr>
          <w:rStyle w:val="FootnoteReference"/>
        </w:rPr>
        <w:footnoteRef/>
      </w:r>
      <w:r>
        <w:t xml:space="preserve"> </w:t>
      </w:r>
      <w:r w:rsidRPr="00E80576">
        <w:t>Ayuningtyas, N. C. (2021). Urgensi Perlindungan Hukum Bagi Korban Pornografi Balas Dendam (Revenge Porn). RECIDIVE, 10(3), 164–173.</w:t>
      </w:r>
    </w:p>
  </w:footnote>
  <w:footnote w:id="7">
    <w:p w14:paraId="6B003311" w14:textId="692270AC" w:rsidR="00E80576" w:rsidRPr="00E80576" w:rsidRDefault="00E80576">
      <w:pPr>
        <w:pStyle w:val="FootnoteText"/>
        <w:rPr>
          <w:lang w:val="en-US"/>
        </w:rPr>
      </w:pPr>
      <w:r>
        <w:rPr>
          <w:rStyle w:val="FootnoteReference"/>
        </w:rPr>
        <w:footnoteRef/>
      </w:r>
      <w:r>
        <w:t xml:space="preserve"> </w:t>
      </w:r>
      <w:r w:rsidRPr="00E80576">
        <w:t>Runtu, E. A. (2021). Penegakan Hukum Dalam Memberikan Perlindungan Terhadap Perempuan Korban Ancaman Kejahatan (Revenge Porn) Yang Terjadi Di Sosial Media. Lex Privatum, 9(11).</w:t>
      </w:r>
    </w:p>
  </w:footnote>
  <w:footnote w:id="8">
    <w:p w14:paraId="6450FE93" w14:textId="46E6B0FD" w:rsidR="00E80576" w:rsidRPr="00E80576" w:rsidRDefault="00E80576">
      <w:pPr>
        <w:pStyle w:val="FootnoteText"/>
        <w:rPr>
          <w:lang w:val="en-US"/>
        </w:rPr>
      </w:pPr>
      <w:r>
        <w:rPr>
          <w:rStyle w:val="FootnoteReference"/>
        </w:rPr>
        <w:footnoteRef/>
      </w:r>
      <w:r>
        <w:t xml:space="preserve"> </w:t>
      </w:r>
      <w:r w:rsidRPr="00E80576">
        <w:t>Purandari, T. (2019). Pertanggungjawaban Hukum Pelaku Eksploitasi Seksual Pada Anak Melalui Internet. Media Iuris, 2(2), 233–258.</w:t>
      </w:r>
    </w:p>
  </w:footnote>
  <w:footnote w:id="9">
    <w:p w14:paraId="3D379D2C" w14:textId="0E01DB1F" w:rsidR="00E80576" w:rsidRPr="00E80576" w:rsidRDefault="00E80576">
      <w:pPr>
        <w:pStyle w:val="FootnoteText"/>
        <w:rPr>
          <w:lang w:val="en-US"/>
        </w:rPr>
      </w:pPr>
      <w:r>
        <w:rPr>
          <w:rStyle w:val="FootnoteReference"/>
        </w:rPr>
        <w:footnoteRef/>
      </w:r>
      <w:r>
        <w:t xml:space="preserve"> </w:t>
      </w:r>
      <w:r w:rsidRPr="00E80576">
        <w:t>Syauket, A., Saimima, I. D. S., Simarmata, R. P., Aidy, W. R., Zainab, N., Prayitno, R. B., &amp; Cabui, C. E. (2022). Sextortion (Fenomena Pemerasan Seksual di Lingkungan Pendidikan). Jurnal Kajian Ilmiah, 22(3), 219–230.</w:t>
      </w:r>
    </w:p>
  </w:footnote>
  <w:footnote w:id="10">
    <w:p w14:paraId="2E0A2D47" w14:textId="7EF00B8D" w:rsidR="00E80576" w:rsidRPr="00E80576" w:rsidRDefault="00E80576">
      <w:pPr>
        <w:pStyle w:val="FootnoteText"/>
        <w:rPr>
          <w:lang w:val="en-US"/>
        </w:rPr>
      </w:pPr>
      <w:r>
        <w:rPr>
          <w:rStyle w:val="FootnoteReference"/>
        </w:rPr>
        <w:footnoteRef/>
      </w:r>
      <w:r>
        <w:t xml:space="preserve"> </w:t>
      </w:r>
      <w:r w:rsidRPr="00E80576">
        <w:t>Febriani, E. V., &amp; Wibowo, A. (2022). UPAYA PERLINDUNGAN HUKUM OLEH KOMNAS PEREMPUAN TERHADAP KORBAN KEJAHATAN SEKSTORSI DI DUNIA MAYA. Jurnal Hukum Adigama, 5(1), 279–303.</w:t>
      </w:r>
    </w:p>
  </w:footnote>
  <w:footnote w:id="11">
    <w:p w14:paraId="7C9BAB99" w14:textId="18BEDA7B" w:rsidR="00E80576" w:rsidRPr="00E80576" w:rsidRDefault="00E80576">
      <w:pPr>
        <w:pStyle w:val="FootnoteText"/>
        <w:rPr>
          <w:lang w:val="en-US"/>
        </w:rPr>
      </w:pPr>
      <w:r>
        <w:rPr>
          <w:rStyle w:val="FootnoteReference"/>
        </w:rPr>
        <w:footnoteRef/>
      </w:r>
      <w:r>
        <w:t xml:space="preserve"> </w:t>
      </w:r>
      <w:r w:rsidRPr="00E80576">
        <w:t>Berutu, S. M. (2023). Perlindungan Hukum Terhadap Korban Pornografi Balas Dendam (Revenge Porn) di Media Sosial (Studi Putusan Nomor 217/Pid. Sus/2021/Pn Dmk.). Universitas Kristen Indonesia.</w:t>
      </w:r>
    </w:p>
  </w:footnote>
  <w:footnote w:id="12">
    <w:p w14:paraId="0A461068" w14:textId="335C5FA8" w:rsidR="00E80576" w:rsidRPr="00E80576" w:rsidRDefault="00E80576">
      <w:pPr>
        <w:pStyle w:val="FootnoteText"/>
        <w:rPr>
          <w:lang w:val="en-US"/>
        </w:rPr>
      </w:pPr>
      <w:r>
        <w:rPr>
          <w:rStyle w:val="FootnoteReference"/>
        </w:rPr>
        <w:footnoteRef/>
      </w:r>
      <w:r>
        <w:t xml:space="preserve"> </w:t>
      </w:r>
      <w:r w:rsidRPr="00E80576">
        <w:t>Yuliani, F. (2020). KAJIAN YURIDIS VIKTIMOLOGIS TINDAK PIDANA PEMERASAN MELALUI PEMBUATAN DAN PENYEBARAN PRODUK PORNOGRAFI DIHUBUNGKAN DENGAN KONSEP PROVOCATIVE VICTIMS. FAKULTAS HUKUM UNIVERSITAS PASUNDAN.</w:t>
      </w:r>
    </w:p>
  </w:footnote>
  <w:footnote w:id="13">
    <w:p w14:paraId="77CE632C" w14:textId="39C8F8F8" w:rsidR="00E80576" w:rsidRPr="00E80576" w:rsidRDefault="00E80576">
      <w:pPr>
        <w:pStyle w:val="FootnoteText"/>
        <w:rPr>
          <w:lang w:val="en-US"/>
        </w:rPr>
      </w:pPr>
      <w:r>
        <w:rPr>
          <w:rStyle w:val="FootnoteReference"/>
        </w:rPr>
        <w:footnoteRef/>
      </w:r>
      <w:r>
        <w:t xml:space="preserve"> </w:t>
      </w:r>
      <w:r w:rsidRPr="00E80576">
        <w:t>Ayuningtyas, N. C. (2021). Urgensi Perlindungan Hukum Bagi Korban Pornografi Balas Dendam (Revenge Porn). RECIDIVE, 10(3), 164–173.</w:t>
      </w:r>
    </w:p>
  </w:footnote>
  <w:footnote w:id="14">
    <w:p w14:paraId="06415C0A" w14:textId="0CE30DBD" w:rsidR="00E80576" w:rsidRPr="00E80576" w:rsidRDefault="00E80576">
      <w:pPr>
        <w:pStyle w:val="FootnoteText"/>
        <w:rPr>
          <w:lang w:val="en-US"/>
        </w:rPr>
      </w:pPr>
      <w:r>
        <w:rPr>
          <w:rStyle w:val="FootnoteReference"/>
        </w:rPr>
        <w:footnoteRef/>
      </w:r>
      <w:r>
        <w:t xml:space="preserve"> </w:t>
      </w:r>
      <w:r w:rsidRPr="00E80576">
        <w:t>Purandari, T. (2019). Pertanggungjawaban Hukum Pelaku Eksploitasi Seksual Pada Anak Melalui Internet. Media Iuris, 2(2), 233–258.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FD55" w14:textId="77777777" w:rsidR="003B3811" w:rsidRPr="00645715" w:rsidRDefault="00645715" w:rsidP="00645715">
    <w:pPr>
      <w:pStyle w:val="Header"/>
      <w:jc w:val="center"/>
      <w:rPr>
        <w:rFonts w:ascii="Cambria" w:hAnsi="Cambria"/>
        <w:b/>
        <w:bCs/>
        <w:spacing w:val="-6"/>
        <w:sz w:val="20"/>
        <w:szCs w:val="20"/>
        <w:lang w:val="en-ID"/>
      </w:rPr>
    </w:pPr>
    <w:r w:rsidRPr="00645715">
      <w:rPr>
        <w:rFonts w:ascii="Cambria" w:hAnsi="Cambria"/>
        <w:b/>
        <w:bCs/>
        <w:spacing w:val="-6"/>
        <w:sz w:val="20"/>
        <w:szCs w:val="20"/>
        <w:lang w:val="en-ID"/>
      </w:rPr>
      <w:t>Varia Hukum: Jurnal Forum Studi Hukum dan Kemasyarakatan</w:t>
    </w:r>
    <w:r w:rsidR="009A168B">
      <w:rPr>
        <w:rFonts w:ascii="Cambria" w:hAnsi="Cambria"/>
        <w:b/>
        <w:bCs/>
        <w:spacing w:val="-6"/>
        <w:sz w:val="20"/>
        <w:szCs w:val="20"/>
        <w:lang w:val="en-ID"/>
      </w:rPr>
      <w:t xml:space="preserve">, </w:t>
    </w:r>
    <w:r w:rsidR="003B3811" w:rsidRPr="003903EB">
      <w:rPr>
        <w:rFonts w:ascii="Cambria" w:hAnsi="Cambria"/>
        <w:b/>
        <w:bCs/>
        <w:spacing w:val="-6"/>
        <w:sz w:val="20"/>
        <w:szCs w:val="20"/>
        <w:lang w:val="en-ID"/>
      </w:rPr>
      <w:t xml:space="preserve">Vol. </w:t>
    </w:r>
    <w:r w:rsidR="00E8624E">
      <w:rPr>
        <w:rFonts w:ascii="Cambria" w:hAnsi="Cambria"/>
        <w:b/>
        <w:bCs/>
        <w:spacing w:val="-6"/>
        <w:sz w:val="20"/>
        <w:szCs w:val="20"/>
        <w:lang w:val="en-ID"/>
      </w:rPr>
      <w:t>2</w:t>
    </w:r>
    <w:r w:rsidR="003B3811"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003B3811"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733A67F6" w14:textId="77777777" w:rsidR="003B3811" w:rsidRPr="003903EB" w:rsidRDefault="00645715" w:rsidP="003B3811">
    <w:pPr>
      <w:pStyle w:val="Header"/>
      <w:pBdr>
        <w:bottom w:val="single" w:sz="8" w:space="6" w:color="auto"/>
      </w:pBdr>
      <w:jc w:val="center"/>
      <w:rPr>
        <w:rFonts w:ascii="Cambria" w:hAnsi="Cambria"/>
        <w:noProof/>
        <w:sz w:val="20"/>
        <w:szCs w:val="20"/>
      </w:rPr>
    </w:pPr>
    <w:r>
      <w:rPr>
        <w:rFonts w:ascii="Cambria" w:hAnsi="Cambria"/>
        <w:sz w:val="20"/>
        <w:szCs w:val="20"/>
      </w:rPr>
      <w:t>Tittle</w:t>
    </w:r>
  </w:p>
  <w:p w14:paraId="22B35084" w14:textId="77777777" w:rsidR="006B21A6" w:rsidRPr="003903EB" w:rsidRDefault="00645715" w:rsidP="00DD4FC5">
    <w:pPr>
      <w:pStyle w:val="Header"/>
      <w:pBdr>
        <w:bottom w:val="single" w:sz="8" w:space="6" w:color="auto"/>
      </w:pBdr>
      <w:jc w:val="center"/>
      <w:rPr>
        <w:rFonts w:ascii="Cambria" w:hAnsi="Cambria"/>
        <w:bCs/>
        <w:spacing w:val="-6"/>
        <w:sz w:val="20"/>
        <w:szCs w:val="20"/>
        <w:lang w:val="id-ID"/>
      </w:rPr>
    </w:pPr>
    <w:r>
      <w:rPr>
        <w:rFonts w:ascii="Cambria" w:hAnsi="Cambria"/>
        <w:sz w:val="20"/>
        <w:szCs w:val="20"/>
      </w:rP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09CA" w14:textId="77777777" w:rsidR="003903EB" w:rsidRPr="003903EB" w:rsidRDefault="00645715" w:rsidP="003903EB">
    <w:pPr>
      <w:pStyle w:val="Header"/>
      <w:jc w:val="center"/>
      <w:rPr>
        <w:rFonts w:ascii="Cambria" w:hAnsi="Cambria"/>
        <w:b/>
        <w:bCs/>
        <w:spacing w:val="-6"/>
        <w:sz w:val="20"/>
        <w:szCs w:val="20"/>
        <w:lang w:val="id-ID"/>
      </w:rPr>
    </w:pPr>
    <w:r w:rsidRPr="00645715">
      <w:rPr>
        <w:rFonts w:ascii="Cambria" w:hAnsi="Cambria"/>
        <w:b/>
        <w:bCs/>
        <w:spacing w:val="-6"/>
        <w:sz w:val="20"/>
        <w:szCs w:val="20"/>
        <w:lang w:val="en-ID"/>
      </w:rPr>
      <w:t>Varia Hukum: Jurnal Forum Studi Hukum dan Kemasyarakatan</w:t>
    </w:r>
    <w:r>
      <w:rPr>
        <w:rFonts w:ascii="Cambria" w:hAnsi="Cambria"/>
        <w:b/>
        <w:bCs/>
        <w:spacing w:val="-6"/>
        <w:sz w:val="20"/>
        <w:szCs w:val="20"/>
        <w:lang w:val="en-ID"/>
      </w:rPr>
      <w:t xml:space="preserve"> </w:t>
    </w:r>
    <w:r w:rsidR="003903EB" w:rsidRPr="003903EB">
      <w:rPr>
        <w:rFonts w:ascii="Cambria" w:hAnsi="Cambria"/>
        <w:b/>
        <w:bCs/>
        <w:spacing w:val="-6"/>
        <w:sz w:val="20"/>
        <w:szCs w:val="20"/>
        <w:lang w:val="en-ID"/>
      </w:rPr>
      <w:t xml:space="preserve">Vol. </w:t>
    </w:r>
    <w:r w:rsidR="00E8624E">
      <w:rPr>
        <w:rFonts w:ascii="Cambria" w:hAnsi="Cambria"/>
        <w:b/>
        <w:bCs/>
        <w:spacing w:val="-6"/>
        <w:sz w:val="20"/>
        <w:szCs w:val="20"/>
        <w:lang w:val="en-ID"/>
      </w:rPr>
      <w:t>2</w:t>
    </w:r>
    <w:r w:rsidR="003903EB"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003903EB"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089555D7" w14:textId="77777777" w:rsidR="003903EB" w:rsidRPr="003903EB" w:rsidRDefault="00645715" w:rsidP="003903EB">
    <w:pPr>
      <w:pStyle w:val="Header"/>
      <w:pBdr>
        <w:bottom w:val="single" w:sz="8" w:space="6" w:color="auto"/>
      </w:pBdr>
      <w:jc w:val="center"/>
      <w:rPr>
        <w:rFonts w:ascii="Cambria" w:hAnsi="Cambria"/>
        <w:noProof/>
        <w:sz w:val="20"/>
        <w:szCs w:val="20"/>
      </w:rPr>
    </w:pPr>
    <w:r>
      <w:rPr>
        <w:rFonts w:ascii="Cambria" w:hAnsi="Cambria"/>
        <w:sz w:val="20"/>
        <w:szCs w:val="20"/>
      </w:rPr>
      <w:t>Tittle</w:t>
    </w:r>
  </w:p>
  <w:p w14:paraId="640AC935" w14:textId="77777777" w:rsidR="003903EB" w:rsidRPr="003903EB" w:rsidRDefault="00645715" w:rsidP="003903EB">
    <w:pPr>
      <w:pStyle w:val="Header"/>
      <w:pBdr>
        <w:bottom w:val="single" w:sz="8" w:space="6" w:color="auto"/>
      </w:pBdr>
      <w:jc w:val="center"/>
      <w:rPr>
        <w:rFonts w:ascii="Cambria" w:hAnsi="Cambria"/>
        <w:bCs/>
        <w:spacing w:val="-6"/>
        <w:sz w:val="20"/>
        <w:szCs w:val="20"/>
        <w:lang w:val="id-ID"/>
      </w:rPr>
    </w:pPr>
    <w:r>
      <w:rPr>
        <w:rFonts w:ascii="Cambria" w:hAnsi="Cambria"/>
        <w:sz w:val="20"/>
        <w:szCs w:val="20"/>
      </w:rPr>
      <w:t>Name</w:t>
    </w:r>
  </w:p>
  <w:p w14:paraId="0CD5E7A0" w14:textId="77777777" w:rsidR="006B21A6" w:rsidRPr="00FD584C" w:rsidRDefault="006B21A6" w:rsidP="00FD58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0C00A" w14:textId="77777777" w:rsidR="006B21A6" w:rsidRPr="00645715" w:rsidRDefault="006B21A6" w:rsidP="00645715">
    <w:pPr>
      <w:pStyle w:val="Header"/>
      <w:tabs>
        <w:tab w:val="right" w:pos="9072"/>
      </w:tabs>
      <w:rPr>
        <w:rFonts w:ascii="Cambria" w:hAnsi="Cambria"/>
        <w:b/>
        <w:bCs/>
        <w:iCs/>
        <w:noProof/>
        <w:spacing w:val="-6"/>
        <w:sz w:val="20"/>
        <w:szCs w:val="20"/>
        <w:lang w:val="en-AU" w:eastAsia="id-ID"/>
      </w:rPr>
    </w:pPr>
    <w:r w:rsidRPr="00E8624E">
      <w:rPr>
        <w:rFonts w:ascii="Cambria" w:hAnsi="Cambria" w:cs="Vani"/>
        <w:spacing w:val="-6"/>
        <w:sz w:val="20"/>
        <w:szCs w:val="20"/>
      </w:rPr>
      <w:t>Available online at:</w:t>
    </w:r>
    <w:r w:rsidRPr="00E8624E">
      <w:rPr>
        <w:rFonts w:ascii="Cambria" w:hAnsi="Cambria" w:cs="Vani"/>
        <w:spacing w:val="-6"/>
        <w:sz w:val="20"/>
        <w:szCs w:val="20"/>
        <w:lang w:val="id-ID"/>
      </w:rPr>
      <w:t xml:space="preserve"> </w:t>
    </w:r>
    <w:r w:rsidR="00645715" w:rsidRPr="00645715">
      <w:rPr>
        <w:rFonts w:ascii="Cambria" w:hAnsi="Cambria" w:cs="Vani"/>
        <w:spacing w:val="-6"/>
        <w:sz w:val="20"/>
        <w:szCs w:val="20"/>
        <w:lang w:val="id-ID"/>
      </w:rPr>
      <w:t>https://journ</w:t>
    </w:r>
    <w:r w:rsidR="00645715">
      <w:rPr>
        <w:rFonts w:ascii="Cambria" w:hAnsi="Cambria" w:cs="Vani"/>
        <w:spacing w:val="-6"/>
        <w:sz w:val="20"/>
        <w:szCs w:val="20"/>
        <w:lang w:val="id-ID"/>
      </w:rPr>
      <w:t>al.uinsgd.ac.id/index.php/varia</w:t>
    </w:r>
  </w:p>
  <w:p w14:paraId="3CB3FDAD" w14:textId="77777777" w:rsidR="006B21A6" w:rsidRPr="00E8624E" w:rsidRDefault="00645715" w:rsidP="009A168B">
    <w:pPr>
      <w:pStyle w:val="Header"/>
      <w:tabs>
        <w:tab w:val="clear" w:pos="4680"/>
        <w:tab w:val="clear" w:pos="9360"/>
      </w:tabs>
      <w:rPr>
        <w:rFonts w:ascii="Cambria" w:hAnsi="Cambria"/>
        <w:b/>
        <w:spacing w:val="-6"/>
        <w:sz w:val="20"/>
        <w:szCs w:val="20"/>
        <w:lang w:val="en-ID"/>
      </w:rPr>
    </w:pPr>
    <w:r>
      <w:rPr>
        <w:rFonts w:ascii="Cambria" w:hAnsi="Cambria"/>
        <w:b/>
        <w:spacing w:val="-6"/>
        <w:sz w:val="20"/>
        <w:szCs w:val="20"/>
        <w:lang w:val="en-ID"/>
      </w:rPr>
      <w:t>Varia Hukum: Jurnal Forum Studi Hukum dan Kemasyarakatan</w:t>
    </w:r>
    <w:r w:rsidR="00B4287A" w:rsidRPr="00B4287A">
      <w:rPr>
        <w:rFonts w:ascii="Cambria" w:hAnsi="Cambria"/>
        <w:b/>
        <w:spacing w:val="-6"/>
        <w:sz w:val="20"/>
        <w:szCs w:val="20"/>
        <w:lang w:val="en-ID"/>
      </w:rPr>
      <w:t>,</w:t>
    </w:r>
    <w:r w:rsidR="009A168B">
      <w:rPr>
        <w:rFonts w:ascii="Cambria" w:hAnsi="Cambria"/>
        <w:b/>
        <w:spacing w:val="-6"/>
        <w:sz w:val="20"/>
        <w:szCs w:val="20"/>
        <w:lang w:val="en-ID"/>
      </w:rPr>
      <w:t xml:space="preserve"> </w:t>
    </w:r>
    <w:r w:rsidR="00B4287A">
      <w:rPr>
        <w:rFonts w:ascii="Cambria" w:hAnsi="Cambria"/>
        <w:b/>
        <w:spacing w:val="-6"/>
        <w:sz w:val="20"/>
        <w:szCs w:val="20"/>
        <w:lang w:val="en-ID"/>
      </w:rPr>
      <w:t>V</w:t>
    </w:r>
    <w:r w:rsidR="00525046" w:rsidRPr="00E8624E">
      <w:rPr>
        <w:rFonts w:ascii="Cambria" w:hAnsi="Cambria"/>
        <w:b/>
        <w:spacing w:val="-6"/>
        <w:sz w:val="20"/>
        <w:szCs w:val="20"/>
        <w:lang w:val="en-ID"/>
      </w:rPr>
      <w:t xml:space="preserve">ol. </w:t>
    </w:r>
    <w:r w:rsidR="00E8624E" w:rsidRPr="00E8624E">
      <w:rPr>
        <w:rFonts w:ascii="Cambria" w:hAnsi="Cambria"/>
        <w:b/>
        <w:spacing w:val="-6"/>
        <w:sz w:val="20"/>
        <w:szCs w:val="20"/>
        <w:lang w:val="en-ID"/>
      </w:rPr>
      <w:t>2</w:t>
    </w:r>
    <w:r w:rsidR="00525046" w:rsidRPr="00E8624E">
      <w:rPr>
        <w:rFonts w:ascii="Cambria" w:hAnsi="Cambria"/>
        <w:b/>
        <w:spacing w:val="-6"/>
        <w:sz w:val="20"/>
        <w:szCs w:val="20"/>
        <w:lang w:val="en-ID"/>
      </w:rPr>
      <w:t xml:space="preserve"> No. 1: </w:t>
    </w:r>
    <w:r>
      <w:rPr>
        <w:rFonts w:ascii="Cambria" w:hAnsi="Cambria"/>
        <w:b/>
        <w:spacing w:val="-6"/>
        <w:sz w:val="20"/>
        <w:szCs w:val="20"/>
        <w:lang w:val="en-ID"/>
      </w:rPr>
      <w:t>1</w:t>
    </w:r>
    <w:r w:rsidR="00525046" w:rsidRPr="00E8624E">
      <w:rPr>
        <w:rFonts w:ascii="Cambria" w:hAnsi="Cambria"/>
        <w:b/>
        <w:spacing w:val="-6"/>
        <w:sz w:val="20"/>
        <w:szCs w:val="20"/>
        <w:lang w:val="en-ID"/>
      </w:rPr>
      <w:t>-</w:t>
    </w:r>
    <w:r>
      <w:rPr>
        <w:rFonts w:ascii="Cambria" w:hAnsi="Cambria"/>
        <w:b/>
        <w:spacing w:val="-6"/>
        <w:sz w:val="20"/>
        <w:szCs w:val="20"/>
        <w:lang w:val="en-ID"/>
      </w:rPr>
      <w:t>20</w:t>
    </w:r>
  </w:p>
  <w:p w14:paraId="6017989B" w14:textId="77777777" w:rsidR="00030C06" w:rsidRPr="00995538" w:rsidRDefault="00995538" w:rsidP="00995538">
    <w:pPr>
      <w:pStyle w:val="Header"/>
      <w:tabs>
        <w:tab w:val="clear" w:pos="4680"/>
        <w:tab w:val="clear" w:pos="9360"/>
      </w:tabs>
      <w:rPr>
        <w:rFonts w:ascii="Cambria" w:hAnsi="Cambria" w:cs="Vani"/>
        <w:spacing w:val="-6"/>
        <w:sz w:val="20"/>
        <w:szCs w:val="20"/>
        <w:lang w:val="en-AU"/>
      </w:rPr>
    </w:pPr>
    <w:r>
      <w:rPr>
        <w:rFonts w:ascii="Cambria" w:hAnsi="Cambria" w:cs="Vani"/>
        <w:spacing w:val="-6"/>
        <w:sz w:val="20"/>
        <w:szCs w:val="20"/>
        <w:lang w:val="en-AU"/>
      </w:rPr>
      <w:t xml:space="preserve">DOI: </w:t>
    </w:r>
    <w:r w:rsidRPr="00995538">
      <w:rPr>
        <w:rFonts w:ascii="Cambria" w:hAnsi="Cambria" w:cs="Vani"/>
        <w:spacing w:val="-6"/>
        <w:sz w:val="20"/>
        <w:szCs w:val="20"/>
        <w:lang w:val="en-AU"/>
      </w:rPr>
      <w:t>10.15575/vh.v4i1.</w:t>
    </w:r>
    <w:r>
      <w:rPr>
        <w:rFonts w:ascii="Cambria" w:hAnsi="Cambria" w:cs="Vani"/>
        <w:spacing w:val="-6"/>
        <w:sz w:val="20"/>
        <w:szCs w:val="20"/>
        <w:lang w:val="en-AU"/>
      </w:rPr>
      <w:t>XXXX</w:t>
    </w:r>
  </w:p>
  <w:p w14:paraId="04466C72" w14:textId="77777777" w:rsidR="00791087" w:rsidRPr="00965301" w:rsidRDefault="00791087" w:rsidP="00965301">
    <w:pPr>
      <w:pStyle w:val="Header"/>
      <w:tabs>
        <w:tab w:val="clear" w:pos="4680"/>
        <w:tab w:val="clear" w:pos="9360"/>
      </w:tabs>
      <w:rPr>
        <w:rFonts w:ascii="Cambria" w:hAnsi="Cambria"/>
        <w:b/>
        <w:spacing w:val="-6"/>
        <w:sz w:val="20"/>
        <w:szCs w:val="2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74AC2A0"/>
    <w:lvl w:ilvl="0" w:tplc="65A4AB64">
      <w:start w:val="1"/>
      <w:numFmt w:val="decimal"/>
      <w:lvlText w:val="%1)"/>
      <w:lvlJc w:val="left"/>
      <w:rPr>
        <w:color w:val="auto"/>
      </w:rPr>
    </w:lvl>
    <w:lvl w:ilvl="1" w:tplc="B29A5B50">
      <w:start w:val="1"/>
      <w:numFmt w:val="bullet"/>
      <w:lvlText w:val=""/>
      <w:lvlJc w:val="left"/>
    </w:lvl>
    <w:lvl w:ilvl="2" w:tplc="676042DA">
      <w:start w:val="1"/>
      <w:numFmt w:val="bullet"/>
      <w:lvlText w:val=""/>
      <w:lvlJc w:val="left"/>
    </w:lvl>
    <w:lvl w:ilvl="3" w:tplc="341C8A00">
      <w:start w:val="1"/>
      <w:numFmt w:val="bullet"/>
      <w:lvlText w:val=""/>
      <w:lvlJc w:val="left"/>
    </w:lvl>
    <w:lvl w:ilvl="4" w:tplc="9072E8B6">
      <w:start w:val="1"/>
      <w:numFmt w:val="bullet"/>
      <w:lvlText w:val=""/>
      <w:lvlJc w:val="left"/>
    </w:lvl>
    <w:lvl w:ilvl="5" w:tplc="2D8EE4C2">
      <w:start w:val="1"/>
      <w:numFmt w:val="bullet"/>
      <w:lvlText w:val=""/>
      <w:lvlJc w:val="left"/>
    </w:lvl>
    <w:lvl w:ilvl="6" w:tplc="A8BCB2B0">
      <w:start w:val="1"/>
      <w:numFmt w:val="bullet"/>
      <w:lvlText w:val=""/>
      <w:lvlJc w:val="left"/>
    </w:lvl>
    <w:lvl w:ilvl="7" w:tplc="A0685068">
      <w:start w:val="1"/>
      <w:numFmt w:val="bullet"/>
      <w:lvlText w:val=""/>
      <w:lvlJc w:val="left"/>
    </w:lvl>
    <w:lvl w:ilvl="8" w:tplc="F4C03346">
      <w:start w:val="1"/>
      <w:numFmt w:val="bullet"/>
      <w:lvlText w:val=""/>
      <w:lvlJc w:val="left"/>
    </w:lvl>
  </w:abstractNum>
  <w:abstractNum w:abstractNumId="1" w15:restartNumberingAfterBreak="0">
    <w:nsid w:val="00000004"/>
    <w:multiLevelType w:val="hybridMultilevel"/>
    <w:tmpl w:val="4DB127F8"/>
    <w:lvl w:ilvl="0" w:tplc="2D42853E">
      <w:start w:val="1"/>
      <w:numFmt w:val="decimal"/>
      <w:lvlText w:val="%1)"/>
      <w:lvlJc w:val="left"/>
    </w:lvl>
    <w:lvl w:ilvl="1" w:tplc="41CA4A64">
      <w:start w:val="1"/>
      <w:numFmt w:val="bullet"/>
      <w:lvlText w:val=""/>
      <w:lvlJc w:val="left"/>
    </w:lvl>
    <w:lvl w:ilvl="2" w:tplc="3AD2DA8E">
      <w:start w:val="1"/>
      <w:numFmt w:val="bullet"/>
      <w:lvlText w:val=""/>
      <w:lvlJc w:val="left"/>
    </w:lvl>
    <w:lvl w:ilvl="3" w:tplc="17E2B50E">
      <w:start w:val="1"/>
      <w:numFmt w:val="bullet"/>
      <w:lvlText w:val=""/>
      <w:lvlJc w:val="left"/>
    </w:lvl>
    <w:lvl w:ilvl="4" w:tplc="62142752">
      <w:start w:val="1"/>
      <w:numFmt w:val="bullet"/>
      <w:lvlText w:val=""/>
      <w:lvlJc w:val="left"/>
    </w:lvl>
    <w:lvl w:ilvl="5" w:tplc="EE1E7F04">
      <w:start w:val="1"/>
      <w:numFmt w:val="bullet"/>
      <w:lvlText w:val=""/>
      <w:lvlJc w:val="left"/>
    </w:lvl>
    <w:lvl w:ilvl="6" w:tplc="5E94C97E">
      <w:start w:val="1"/>
      <w:numFmt w:val="bullet"/>
      <w:lvlText w:val=""/>
      <w:lvlJc w:val="left"/>
    </w:lvl>
    <w:lvl w:ilvl="7" w:tplc="84007012">
      <w:start w:val="1"/>
      <w:numFmt w:val="bullet"/>
      <w:lvlText w:val=""/>
      <w:lvlJc w:val="left"/>
    </w:lvl>
    <w:lvl w:ilvl="8" w:tplc="F0E89C8C">
      <w:start w:val="1"/>
      <w:numFmt w:val="bullet"/>
      <w:lvlText w:val=""/>
      <w:lvlJc w:val="left"/>
    </w:lvl>
  </w:abstractNum>
  <w:abstractNum w:abstractNumId="2" w15:restartNumberingAfterBreak="0">
    <w:nsid w:val="00000006"/>
    <w:multiLevelType w:val="hybridMultilevel"/>
    <w:tmpl w:val="1F16E9E8"/>
    <w:lvl w:ilvl="0" w:tplc="A61AA168">
      <w:start w:val="4"/>
      <w:numFmt w:val="lowerLetter"/>
      <w:lvlText w:val="%1."/>
      <w:lvlJc w:val="left"/>
    </w:lvl>
    <w:lvl w:ilvl="1" w:tplc="9DCACE3A">
      <w:start w:val="1"/>
      <w:numFmt w:val="decimal"/>
      <w:lvlText w:val="%2)"/>
      <w:lvlJc w:val="left"/>
    </w:lvl>
    <w:lvl w:ilvl="2" w:tplc="108C4942">
      <w:start w:val="1"/>
      <w:numFmt w:val="lowerLetter"/>
      <w:lvlText w:val="%3)"/>
      <w:lvlJc w:val="left"/>
    </w:lvl>
    <w:lvl w:ilvl="3" w:tplc="F8662672">
      <w:start w:val="1"/>
      <w:numFmt w:val="bullet"/>
      <w:lvlText w:val=""/>
      <w:lvlJc w:val="left"/>
    </w:lvl>
    <w:lvl w:ilvl="4" w:tplc="5992BDFA">
      <w:start w:val="1"/>
      <w:numFmt w:val="bullet"/>
      <w:lvlText w:val=""/>
      <w:lvlJc w:val="left"/>
    </w:lvl>
    <w:lvl w:ilvl="5" w:tplc="9612D93C">
      <w:start w:val="1"/>
      <w:numFmt w:val="bullet"/>
      <w:lvlText w:val=""/>
      <w:lvlJc w:val="left"/>
    </w:lvl>
    <w:lvl w:ilvl="6" w:tplc="602844A0">
      <w:start w:val="1"/>
      <w:numFmt w:val="bullet"/>
      <w:lvlText w:val=""/>
      <w:lvlJc w:val="left"/>
    </w:lvl>
    <w:lvl w:ilvl="7" w:tplc="28A48DDE">
      <w:start w:val="1"/>
      <w:numFmt w:val="bullet"/>
      <w:lvlText w:val=""/>
      <w:lvlJc w:val="left"/>
    </w:lvl>
    <w:lvl w:ilvl="8" w:tplc="F468D6B4">
      <w:start w:val="1"/>
      <w:numFmt w:val="bullet"/>
      <w:lvlText w:val=""/>
      <w:lvlJc w:val="left"/>
    </w:lvl>
  </w:abstractNum>
  <w:abstractNum w:abstractNumId="3" w15:restartNumberingAfterBreak="0">
    <w:nsid w:val="00000007"/>
    <w:multiLevelType w:val="hybridMultilevel"/>
    <w:tmpl w:val="1190CDE6"/>
    <w:lvl w:ilvl="0" w:tplc="CF323DC0">
      <w:start w:val="1"/>
      <w:numFmt w:val="decimal"/>
      <w:lvlText w:val="%1"/>
      <w:lvlJc w:val="left"/>
    </w:lvl>
    <w:lvl w:ilvl="1" w:tplc="3A8EE490">
      <w:start w:val="3"/>
      <w:numFmt w:val="lowerLetter"/>
      <w:lvlText w:val="%2)"/>
      <w:lvlJc w:val="left"/>
    </w:lvl>
    <w:lvl w:ilvl="2" w:tplc="FF56403E">
      <w:start w:val="1"/>
      <w:numFmt w:val="bullet"/>
      <w:lvlText w:val=""/>
      <w:lvlJc w:val="left"/>
    </w:lvl>
    <w:lvl w:ilvl="3" w:tplc="12F8262C">
      <w:start w:val="1"/>
      <w:numFmt w:val="bullet"/>
      <w:lvlText w:val=""/>
      <w:lvlJc w:val="left"/>
    </w:lvl>
    <w:lvl w:ilvl="4" w:tplc="D76248A6">
      <w:start w:val="1"/>
      <w:numFmt w:val="bullet"/>
      <w:lvlText w:val=""/>
      <w:lvlJc w:val="left"/>
    </w:lvl>
    <w:lvl w:ilvl="5" w:tplc="8682B976">
      <w:start w:val="1"/>
      <w:numFmt w:val="bullet"/>
      <w:lvlText w:val=""/>
      <w:lvlJc w:val="left"/>
    </w:lvl>
    <w:lvl w:ilvl="6" w:tplc="8368B40A">
      <w:start w:val="1"/>
      <w:numFmt w:val="bullet"/>
      <w:lvlText w:val=""/>
      <w:lvlJc w:val="left"/>
    </w:lvl>
    <w:lvl w:ilvl="7" w:tplc="8D240DE6">
      <w:start w:val="1"/>
      <w:numFmt w:val="bullet"/>
      <w:lvlText w:val=""/>
      <w:lvlJc w:val="left"/>
    </w:lvl>
    <w:lvl w:ilvl="8" w:tplc="863AFE96">
      <w:start w:val="1"/>
      <w:numFmt w:val="bullet"/>
      <w:lvlText w:val=""/>
      <w:lvlJc w:val="left"/>
    </w:lvl>
  </w:abstractNum>
  <w:abstractNum w:abstractNumId="4" w15:restartNumberingAfterBreak="0">
    <w:nsid w:val="074D3BDE"/>
    <w:multiLevelType w:val="hybridMultilevel"/>
    <w:tmpl w:val="0D829A20"/>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0A67448B"/>
    <w:multiLevelType w:val="hybridMultilevel"/>
    <w:tmpl w:val="8A3A4FA2"/>
    <w:lvl w:ilvl="0" w:tplc="D62E3EDA">
      <w:start w:val="1"/>
      <w:numFmt w:val="decimal"/>
      <w:lvlText w:val="%1."/>
      <w:lvlJc w:val="center"/>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6" w15:restartNumberingAfterBreak="0">
    <w:nsid w:val="0B6852C0"/>
    <w:multiLevelType w:val="multilevel"/>
    <w:tmpl w:val="9A9CC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EB564D"/>
    <w:multiLevelType w:val="hybridMultilevel"/>
    <w:tmpl w:val="3EA23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C1310"/>
    <w:multiLevelType w:val="hybridMultilevel"/>
    <w:tmpl w:val="24C29F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1458BA"/>
    <w:multiLevelType w:val="multilevel"/>
    <w:tmpl w:val="3A8A1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6B7644"/>
    <w:multiLevelType w:val="multilevel"/>
    <w:tmpl w:val="D16CD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125034"/>
    <w:multiLevelType w:val="hybridMultilevel"/>
    <w:tmpl w:val="39BA156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15:restartNumberingAfterBreak="0">
    <w:nsid w:val="2DAB40D4"/>
    <w:multiLevelType w:val="multilevel"/>
    <w:tmpl w:val="69520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A36A48"/>
    <w:multiLevelType w:val="hybridMultilevel"/>
    <w:tmpl w:val="18609B54"/>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4293419"/>
    <w:multiLevelType w:val="hybridMultilevel"/>
    <w:tmpl w:val="C2C6D1DE"/>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15:restartNumberingAfterBreak="0">
    <w:nsid w:val="386B1277"/>
    <w:multiLevelType w:val="hybridMultilevel"/>
    <w:tmpl w:val="3BFEFB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15:restartNumberingAfterBreak="0">
    <w:nsid w:val="3E2B26EB"/>
    <w:multiLevelType w:val="hybridMultilevel"/>
    <w:tmpl w:val="6EB21BB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3E87749D"/>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2F5014F"/>
    <w:multiLevelType w:val="hybridMultilevel"/>
    <w:tmpl w:val="DB6E9F14"/>
    <w:lvl w:ilvl="0" w:tplc="FFFFFFF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0F3DF2"/>
    <w:multiLevelType w:val="hybridMultilevel"/>
    <w:tmpl w:val="6B38C7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15:restartNumberingAfterBreak="0">
    <w:nsid w:val="560537F0"/>
    <w:multiLevelType w:val="hybridMultilevel"/>
    <w:tmpl w:val="2D74154E"/>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15:restartNumberingAfterBreak="0">
    <w:nsid w:val="5777340B"/>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B300F13"/>
    <w:multiLevelType w:val="hybridMultilevel"/>
    <w:tmpl w:val="DFB60C9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15:restartNumberingAfterBreak="0">
    <w:nsid w:val="5CA32C8E"/>
    <w:multiLevelType w:val="hybridMultilevel"/>
    <w:tmpl w:val="D8E20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68E86167"/>
    <w:multiLevelType w:val="hybridMultilevel"/>
    <w:tmpl w:val="DC7C1824"/>
    <w:lvl w:ilvl="0" w:tplc="1AEC1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D884B4D"/>
    <w:multiLevelType w:val="multilevel"/>
    <w:tmpl w:val="367E0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16cid:durableId="238101154">
    <w:abstractNumId w:val="27"/>
  </w:num>
  <w:num w:numId="2" w16cid:durableId="1366901478">
    <w:abstractNumId w:val="24"/>
  </w:num>
  <w:num w:numId="3" w16cid:durableId="838498796">
    <w:abstractNumId w:val="22"/>
  </w:num>
  <w:num w:numId="4" w16cid:durableId="644044595">
    <w:abstractNumId w:val="11"/>
  </w:num>
  <w:num w:numId="5" w16cid:durableId="2026177060">
    <w:abstractNumId w:val="16"/>
  </w:num>
  <w:num w:numId="6" w16cid:durableId="1578901096">
    <w:abstractNumId w:val="15"/>
  </w:num>
  <w:num w:numId="7" w16cid:durableId="654840577">
    <w:abstractNumId w:val="19"/>
  </w:num>
  <w:num w:numId="8" w16cid:durableId="1948076036">
    <w:abstractNumId w:val="25"/>
  </w:num>
  <w:num w:numId="9" w16cid:durableId="2066365970">
    <w:abstractNumId w:val="5"/>
  </w:num>
  <w:num w:numId="10" w16cid:durableId="1582181922">
    <w:abstractNumId w:val="0"/>
  </w:num>
  <w:num w:numId="11" w16cid:durableId="361711343">
    <w:abstractNumId w:val="1"/>
  </w:num>
  <w:num w:numId="12" w16cid:durableId="793521931">
    <w:abstractNumId w:val="2"/>
  </w:num>
  <w:num w:numId="13" w16cid:durableId="2117942110">
    <w:abstractNumId w:val="3"/>
  </w:num>
  <w:num w:numId="14" w16cid:durableId="1904486717">
    <w:abstractNumId w:val="23"/>
  </w:num>
  <w:num w:numId="15" w16cid:durableId="2115175483">
    <w:abstractNumId w:val="18"/>
  </w:num>
  <w:num w:numId="16" w16cid:durableId="636953003">
    <w:abstractNumId w:val="7"/>
  </w:num>
  <w:num w:numId="17" w16cid:durableId="546141561">
    <w:abstractNumId w:val="20"/>
  </w:num>
  <w:num w:numId="18" w16cid:durableId="1079711787">
    <w:abstractNumId w:val="21"/>
  </w:num>
  <w:num w:numId="19" w16cid:durableId="833834995">
    <w:abstractNumId w:val="17"/>
  </w:num>
  <w:num w:numId="20" w16cid:durableId="1990748480">
    <w:abstractNumId w:val="4"/>
  </w:num>
  <w:num w:numId="21" w16cid:durableId="772478987">
    <w:abstractNumId w:val="14"/>
  </w:num>
  <w:num w:numId="22" w16cid:durableId="667372160">
    <w:abstractNumId w:val="13"/>
  </w:num>
  <w:num w:numId="23" w16cid:durableId="964503181">
    <w:abstractNumId w:val="26"/>
  </w:num>
  <w:num w:numId="24" w16cid:durableId="2078476633">
    <w:abstractNumId w:val="10"/>
  </w:num>
  <w:num w:numId="25" w16cid:durableId="2106263687">
    <w:abstractNumId w:val="6"/>
  </w:num>
  <w:num w:numId="26" w16cid:durableId="1621719640">
    <w:abstractNumId w:val="9"/>
  </w:num>
  <w:num w:numId="27" w16cid:durableId="891387532">
    <w:abstractNumId w:val="12"/>
  </w:num>
  <w:num w:numId="28" w16cid:durableId="15330663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defaultTabStop w:val="720"/>
  <w:doNotHyphenateCaps/>
  <w:evenAndOddHeader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E0NrAwMzKwNLSwMDBT0lEKTi0uzszPAykwMq0FAEWIBJYtAAAA"/>
  </w:docVars>
  <w:rsids>
    <w:rsidRoot w:val="00385E18"/>
    <w:rsid w:val="00003EFC"/>
    <w:rsid w:val="00004041"/>
    <w:rsid w:val="00007C04"/>
    <w:rsid w:val="0001070A"/>
    <w:rsid w:val="000149F0"/>
    <w:rsid w:val="00016A0E"/>
    <w:rsid w:val="00030199"/>
    <w:rsid w:val="00030C06"/>
    <w:rsid w:val="000427A8"/>
    <w:rsid w:val="00045D09"/>
    <w:rsid w:val="000460A9"/>
    <w:rsid w:val="00054E7E"/>
    <w:rsid w:val="000563A5"/>
    <w:rsid w:val="00060524"/>
    <w:rsid w:val="00077ADC"/>
    <w:rsid w:val="000820BE"/>
    <w:rsid w:val="00090916"/>
    <w:rsid w:val="000936B1"/>
    <w:rsid w:val="00096F2F"/>
    <w:rsid w:val="000A2471"/>
    <w:rsid w:val="000B35C9"/>
    <w:rsid w:val="000B6842"/>
    <w:rsid w:val="000C4737"/>
    <w:rsid w:val="000C490E"/>
    <w:rsid w:val="000C7DB2"/>
    <w:rsid w:val="000D0086"/>
    <w:rsid w:val="000D04EE"/>
    <w:rsid w:val="000D09AD"/>
    <w:rsid w:val="000D7AAF"/>
    <w:rsid w:val="000E087E"/>
    <w:rsid w:val="000E0C01"/>
    <w:rsid w:val="000E3439"/>
    <w:rsid w:val="000E705B"/>
    <w:rsid w:val="000F2009"/>
    <w:rsid w:val="000F7119"/>
    <w:rsid w:val="00116759"/>
    <w:rsid w:val="001237B3"/>
    <w:rsid w:val="00124367"/>
    <w:rsid w:val="0012548E"/>
    <w:rsid w:val="001266D7"/>
    <w:rsid w:val="00126F30"/>
    <w:rsid w:val="001317C3"/>
    <w:rsid w:val="0013583E"/>
    <w:rsid w:val="00137C81"/>
    <w:rsid w:val="0014314B"/>
    <w:rsid w:val="0015183A"/>
    <w:rsid w:val="001536B4"/>
    <w:rsid w:val="001601C6"/>
    <w:rsid w:val="0016112C"/>
    <w:rsid w:val="00162BD9"/>
    <w:rsid w:val="001663D4"/>
    <w:rsid w:val="00171CFA"/>
    <w:rsid w:val="00173F53"/>
    <w:rsid w:val="001770F2"/>
    <w:rsid w:val="00177544"/>
    <w:rsid w:val="00180A29"/>
    <w:rsid w:val="00183B30"/>
    <w:rsid w:val="00190E1D"/>
    <w:rsid w:val="001948B1"/>
    <w:rsid w:val="00196377"/>
    <w:rsid w:val="001A01B7"/>
    <w:rsid w:val="001A71FC"/>
    <w:rsid w:val="001A79E0"/>
    <w:rsid w:val="001C435A"/>
    <w:rsid w:val="001C4999"/>
    <w:rsid w:val="001D1402"/>
    <w:rsid w:val="001D3B6E"/>
    <w:rsid w:val="001D6A5C"/>
    <w:rsid w:val="001E2F73"/>
    <w:rsid w:val="001E594D"/>
    <w:rsid w:val="00203E37"/>
    <w:rsid w:val="002106A1"/>
    <w:rsid w:val="0023204F"/>
    <w:rsid w:val="00234868"/>
    <w:rsid w:val="0023542B"/>
    <w:rsid w:val="00235F56"/>
    <w:rsid w:val="00237379"/>
    <w:rsid w:val="002407CD"/>
    <w:rsid w:val="00242A4E"/>
    <w:rsid w:val="00246D11"/>
    <w:rsid w:val="00253C02"/>
    <w:rsid w:val="00254877"/>
    <w:rsid w:val="0025687F"/>
    <w:rsid w:val="0025737B"/>
    <w:rsid w:val="00270CEF"/>
    <w:rsid w:val="002817DC"/>
    <w:rsid w:val="00297DA1"/>
    <w:rsid w:val="002A03F7"/>
    <w:rsid w:val="002A1BED"/>
    <w:rsid w:val="002A281C"/>
    <w:rsid w:val="002A613E"/>
    <w:rsid w:val="002B057E"/>
    <w:rsid w:val="002B3A4C"/>
    <w:rsid w:val="002C0609"/>
    <w:rsid w:val="002C4CF7"/>
    <w:rsid w:val="002D3CCF"/>
    <w:rsid w:val="002D6231"/>
    <w:rsid w:val="002F1175"/>
    <w:rsid w:val="002F7016"/>
    <w:rsid w:val="0030483E"/>
    <w:rsid w:val="00307F16"/>
    <w:rsid w:val="00312F7A"/>
    <w:rsid w:val="0031424E"/>
    <w:rsid w:val="0031551C"/>
    <w:rsid w:val="00315F4D"/>
    <w:rsid w:val="003211DA"/>
    <w:rsid w:val="0032490C"/>
    <w:rsid w:val="00325BCD"/>
    <w:rsid w:val="0033149F"/>
    <w:rsid w:val="00333C27"/>
    <w:rsid w:val="0035292F"/>
    <w:rsid w:val="00355364"/>
    <w:rsid w:val="00360AD5"/>
    <w:rsid w:val="0036770C"/>
    <w:rsid w:val="003679F4"/>
    <w:rsid w:val="00371100"/>
    <w:rsid w:val="00373BBA"/>
    <w:rsid w:val="00374FCB"/>
    <w:rsid w:val="0037723B"/>
    <w:rsid w:val="00381449"/>
    <w:rsid w:val="00385E18"/>
    <w:rsid w:val="003903EB"/>
    <w:rsid w:val="00395DBA"/>
    <w:rsid w:val="0039745C"/>
    <w:rsid w:val="003A7646"/>
    <w:rsid w:val="003B3811"/>
    <w:rsid w:val="003B45D7"/>
    <w:rsid w:val="003B6090"/>
    <w:rsid w:val="003C0982"/>
    <w:rsid w:val="003C5510"/>
    <w:rsid w:val="003C7B51"/>
    <w:rsid w:val="003C7F21"/>
    <w:rsid w:val="003D6607"/>
    <w:rsid w:val="003E1EAB"/>
    <w:rsid w:val="003E413F"/>
    <w:rsid w:val="003E694F"/>
    <w:rsid w:val="003E73E9"/>
    <w:rsid w:val="003F130E"/>
    <w:rsid w:val="003F4897"/>
    <w:rsid w:val="004007FB"/>
    <w:rsid w:val="00402ACD"/>
    <w:rsid w:val="004062B8"/>
    <w:rsid w:val="00406EA4"/>
    <w:rsid w:val="00411AAA"/>
    <w:rsid w:val="0041640B"/>
    <w:rsid w:val="00424C00"/>
    <w:rsid w:val="00427904"/>
    <w:rsid w:val="004430D1"/>
    <w:rsid w:val="0045217B"/>
    <w:rsid w:val="00464665"/>
    <w:rsid w:val="004660FC"/>
    <w:rsid w:val="004753BA"/>
    <w:rsid w:val="00482CA1"/>
    <w:rsid w:val="00483F95"/>
    <w:rsid w:val="00494F57"/>
    <w:rsid w:val="00496E43"/>
    <w:rsid w:val="004A1E0A"/>
    <w:rsid w:val="004A5212"/>
    <w:rsid w:val="004B1FA9"/>
    <w:rsid w:val="004B490A"/>
    <w:rsid w:val="004B4C43"/>
    <w:rsid w:val="004C5A2B"/>
    <w:rsid w:val="004C5ED9"/>
    <w:rsid w:val="004C741F"/>
    <w:rsid w:val="004D16E0"/>
    <w:rsid w:val="004D2251"/>
    <w:rsid w:val="004E6C92"/>
    <w:rsid w:val="004E766F"/>
    <w:rsid w:val="0050147D"/>
    <w:rsid w:val="0050641F"/>
    <w:rsid w:val="0050761F"/>
    <w:rsid w:val="00515C38"/>
    <w:rsid w:val="00517F27"/>
    <w:rsid w:val="0052034B"/>
    <w:rsid w:val="00525046"/>
    <w:rsid w:val="0052527E"/>
    <w:rsid w:val="00534BA0"/>
    <w:rsid w:val="00540B92"/>
    <w:rsid w:val="00545FB9"/>
    <w:rsid w:val="00557C4E"/>
    <w:rsid w:val="005628D1"/>
    <w:rsid w:val="005819FA"/>
    <w:rsid w:val="00586752"/>
    <w:rsid w:val="00593135"/>
    <w:rsid w:val="00594789"/>
    <w:rsid w:val="005A2E92"/>
    <w:rsid w:val="005A4F12"/>
    <w:rsid w:val="005B1781"/>
    <w:rsid w:val="005B25E4"/>
    <w:rsid w:val="005B4BD8"/>
    <w:rsid w:val="005C0F3C"/>
    <w:rsid w:val="005D72B0"/>
    <w:rsid w:val="005D7A63"/>
    <w:rsid w:val="005E5B16"/>
    <w:rsid w:val="005E6ECF"/>
    <w:rsid w:val="00623DF6"/>
    <w:rsid w:val="006406D3"/>
    <w:rsid w:val="00643626"/>
    <w:rsid w:val="006453E8"/>
    <w:rsid w:val="00645715"/>
    <w:rsid w:val="00656E1A"/>
    <w:rsid w:val="00661CE3"/>
    <w:rsid w:val="00670572"/>
    <w:rsid w:val="006719FA"/>
    <w:rsid w:val="00676060"/>
    <w:rsid w:val="00677579"/>
    <w:rsid w:val="006834DD"/>
    <w:rsid w:val="00683D3C"/>
    <w:rsid w:val="0068668D"/>
    <w:rsid w:val="00696E14"/>
    <w:rsid w:val="006A4B0E"/>
    <w:rsid w:val="006A7064"/>
    <w:rsid w:val="006B21A6"/>
    <w:rsid w:val="006B4DED"/>
    <w:rsid w:val="006B785B"/>
    <w:rsid w:val="006C308F"/>
    <w:rsid w:val="006D51BC"/>
    <w:rsid w:val="006D745D"/>
    <w:rsid w:val="006D7EA3"/>
    <w:rsid w:val="006E0FA5"/>
    <w:rsid w:val="006E7FE6"/>
    <w:rsid w:val="006F0E07"/>
    <w:rsid w:val="006F5781"/>
    <w:rsid w:val="00700A58"/>
    <w:rsid w:val="0071290A"/>
    <w:rsid w:val="00716AEC"/>
    <w:rsid w:val="00717076"/>
    <w:rsid w:val="00720572"/>
    <w:rsid w:val="00723A4A"/>
    <w:rsid w:val="00723BD0"/>
    <w:rsid w:val="00724A8F"/>
    <w:rsid w:val="00734AFD"/>
    <w:rsid w:val="007513F5"/>
    <w:rsid w:val="007548BF"/>
    <w:rsid w:val="00762542"/>
    <w:rsid w:val="0077126E"/>
    <w:rsid w:val="0077592C"/>
    <w:rsid w:val="00777BBF"/>
    <w:rsid w:val="00781C32"/>
    <w:rsid w:val="00786BEA"/>
    <w:rsid w:val="00787C0B"/>
    <w:rsid w:val="00791087"/>
    <w:rsid w:val="00791B01"/>
    <w:rsid w:val="007A21F1"/>
    <w:rsid w:val="007A433E"/>
    <w:rsid w:val="007A4E02"/>
    <w:rsid w:val="007B22EF"/>
    <w:rsid w:val="007B37BB"/>
    <w:rsid w:val="007C3E40"/>
    <w:rsid w:val="007D62A5"/>
    <w:rsid w:val="007E0E37"/>
    <w:rsid w:val="007F269A"/>
    <w:rsid w:val="007F475A"/>
    <w:rsid w:val="007F73CE"/>
    <w:rsid w:val="008076DE"/>
    <w:rsid w:val="0081028F"/>
    <w:rsid w:val="0081688E"/>
    <w:rsid w:val="00817475"/>
    <w:rsid w:val="00820AE3"/>
    <w:rsid w:val="00832CF4"/>
    <w:rsid w:val="00833D90"/>
    <w:rsid w:val="00843345"/>
    <w:rsid w:val="0084530E"/>
    <w:rsid w:val="0088638B"/>
    <w:rsid w:val="00887A1A"/>
    <w:rsid w:val="00892ADA"/>
    <w:rsid w:val="008956B4"/>
    <w:rsid w:val="00895FF6"/>
    <w:rsid w:val="008B160E"/>
    <w:rsid w:val="008C1A34"/>
    <w:rsid w:val="008C3240"/>
    <w:rsid w:val="008C76A6"/>
    <w:rsid w:val="008D05AB"/>
    <w:rsid w:val="008D670F"/>
    <w:rsid w:val="008D6A86"/>
    <w:rsid w:val="008D6AC3"/>
    <w:rsid w:val="008E01A4"/>
    <w:rsid w:val="008E41B6"/>
    <w:rsid w:val="008E71DB"/>
    <w:rsid w:val="008F500A"/>
    <w:rsid w:val="009029F5"/>
    <w:rsid w:val="00911B26"/>
    <w:rsid w:val="00920632"/>
    <w:rsid w:val="00921372"/>
    <w:rsid w:val="00924975"/>
    <w:rsid w:val="009317AE"/>
    <w:rsid w:val="009372F5"/>
    <w:rsid w:val="0095079F"/>
    <w:rsid w:val="009515EF"/>
    <w:rsid w:val="009556AB"/>
    <w:rsid w:val="00956216"/>
    <w:rsid w:val="00965301"/>
    <w:rsid w:val="0097086C"/>
    <w:rsid w:val="009720DD"/>
    <w:rsid w:val="00982091"/>
    <w:rsid w:val="0099182B"/>
    <w:rsid w:val="00995538"/>
    <w:rsid w:val="0099574B"/>
    <w:rsid w:val="00995F93"/>
    <w:rsid w:val="009A168B"/>
    <w:rsid w:val="009A2D72"/>
    <w:rsid w:val="009A3C07"/>
    <w:rsid w:val="009A6B10"/>
    <w:rsid w:val="009B2370"/>
    <w:rsid w:val="009B3704"/>
    <w:rsid w:val="009B4CD7"/>
    <w:rsid w:val="009C195C"/>
    <w:rsid w:val="009C7CB7"/>
    <w:rsid w:val="009D1238"/>
    <w:rsid w:val="009D2374"/>
    <w:rsid w:val="009D6767"/>
    <w:rsid w:val="009E3BFE"/>
    <w:rsid w:val="009E4A6D"/>
    <w:rsid w:val="009E59AB"/>
    <w:rsid w:val="009E5E32"/>
    <w:rsid w:val="009E791C"/>
    <w:rsid w:val="009F751D"/>
    <w:rsid w:val="009F7C3C"/>
    <w:rsid w:val="00A01DEF"/>
    <w:rsid w:val="00A02B2E"/>
    <w:rsid w:val="00A053FD"/>
    <w:rsid w:val="00A10924"/>
    <w:rsid w:val="00A111BF"/>
    <w:rsid w:val="00A1187A"/>
    <w:rsid w:val="00A155E8"/>
    <w:rsid w:val="00A1587C"/>
    <w:rsid w:val="00A16DC3"/>
    <w:rsid w:val="00A20484"/>
    <w:rsid w:val="00A236C7"/>
    <w:rsid w:val="00A35545"/>
    <w:rsid w:val="00A3597E"/>
    <w:rsid w:val="00A43894"/>
    <w:rsid w:val="00A51221"/>
    <w:rsid w:val="00A5609A"/>
    <w:rsid w:val="00A62F0B"/>
    <w:rsid w:val="00A6390F"/>
    <w:rsid w:val="00A670DD"/>
    <w:rsid w:val="00A72245"/>
    <w:rsid w:val="00A84F99"/>
    <w:rsid w:val="00A9002F"/>
    <w:rsid w:val="00AA1AA5"/>
    <w:rsid w:val="00AB0464"/>
    <w:rsid w:val="00AB4345"/>
    <w:rsid w:val="00AB4AE5"/>
    <w:rsid w:val="00AC2B41"/>
    <w:rsid w:val="00AC7965"/>
    <w:rsid w:val="00AD2155"/>
    <w:rsid w:val="00AD670D"/>
    <w:rsid w:val="00AE06BB"/>
    <w:rsid w:val="00AE6333"/>
    <w:rsid w:val="00AF7007"/>
    <w:rsid w:val="00B0007D"/>
    <w:rsid w:val="00B034BA"/>
    <w:rsid w:val="00B10BD2"/>
    <w:rsid w:val="00B14D9E"/>
    <w:rsid w:val="00B207CA"/>
    <w:rsid w:val="00B255BC"/>
    <w:rsid w:val="00B26890"/>
    <w:rsid w:val="00B30A95"/>
    <w:rsid w:val="00B32A80"/>
    <w:rsid w:val="00B32CA5"/>
    <w:rsid w:val="00B4038E"/>
    <w:rsid w:val="00B4287A"/>
    <w:rsid w:val="00B43BDD"/>
    <w:rsid w:val="00B505D8"/>
    <w:rsid w:val="00B5203D"/>
    <w:rsid w:val="00B521EC"/>
    <w:rsid w:val="00B532B9"/>
    <w:rsid w:val="00B5546E"/>
    <w:rsid w:val="00B5548C"/>
    <w:rsid w:val="00B55871"/>
    <w:rsid w:val="00B664C0"/>
    <w:rsid w:val="00B66B59"/>
    <w:rsid w:val="00B7164E"/>
    <w:rsid w:val="00B72E0A"/>
    <w:rsid w:val="00B72F4E"/>
    <w:rsid w:val="00B74D4F"/>
    <w:rsid w:val="00B76DAF"/>
    <w:rsid w:val="00B81D61"/>
    <w:rsid w:val="00B844FA"/>
    <w:rsid w:val="00B87521"/>
    <w:rsid w:val="00BB1B7E"/>
    <w:rsid w:val="00BB5A16"/>
    <w:rsid w:val="00BC26D1"/>
    <w:rsid w:val="00BD0C29"/>
    <w:rsid w:val="00BD2438"/>
    <w:rsid w:val="00BD524D"/>
    <w:rsid w:val="00BD6016"/>
    <w:rsid w:val="00BE373C"/>
    <w:rsid w:val="00BE681A"/>
    <w:rsid w:val="00BF2F12"/>
    <w:rsid w:val="00BF57D5"/>
    <w:rsid w:val="00C015CF"/>
    <w:rsid w:val="00C15847"/>
    <w:rsid w:val="00C209B0"/>
    <w:rsid w:val="00C21360"/>
    <w:rsid w:val="00C258A3"/>
    <w:rsid w:val="00C30F3D"/>
    <w:rsid w:val="00C33C3B"/>
    <w:rsid w:val="00C42C4A"/>
    <w:rsid w:val="00C464D2"/>
    <w:rsid w:val="00C706C3"/>
    <w:rsid w:val="00C724AC"/>
    <w:rsid w:val="00C7356B"/>
    <w:rsid w:val="00C73987"/>
    <w:rsid w:val="00C755B0"/>
    <w:rsid w:val="00C75BDA"/>
    <w:rsid w:val="00C804D5"/>
    <w:rsid w:val="00C81E42"/>
    <w:rsid w:val="00C97468"/>
    <w:rsid w:val="00CA4E25"/>
    <w:rsid w:val="00CB0640"/>
    <w:rsid w:val="00CB0AFA"/>
    <w:rsid w:val="00CB0C03"/>
    <w:rsid w:val="00CB0CBF"/>
    <w:rsid w:val="00CB1860"/>
    <w:rsid w:val="00CB1FAE"/>
    <w:rsid w:val="00CB56EA"/>
    <w:rsid w:val="00CC0142"/>
    <w:rsid w:val="00CC3143"/>
    <w:rsid w:val="00CC6593"/>
    <w:rsid w:val="00CD3E2C"/>
    <w:rsid w:val="00CD6491"/>
    <w:rsid w:val="00CE4189"/>
    <w:rsid w:val="00CE44BE"/>
    <w:rsid w:val="00CE4650"/>
    <w:rsid w:val="00CE6A08"/>
    <w:rsid w:val="00CF6B7D"/>
    <w:rsid w:val="00D065B1"/>
    <w:rsid w:val="00D07F04"/>
    <w:rsid w:val="00D23BC6"/>
    <w:rsid w:val="00D2701C"/>
    <w:rsid w:val="00D30DDB"/>
    <w:rsid w:val="00D31B71"/>
    <w:rsid w:val="00D47CCC"/>
    <w:rsid w:val="00D532E0"/>
    <w:rsid w:val="00D53418"/>
    <w:rsid w:val="00D61785"/>
    <w:rsid w:val="00D62950"/>
    <w:rsid w:val="00D8159C"/>
    <w:rsid w:val="00D83DFE"/>
    <w:rsid w:val="00D90C27"/>
    <w:rsid w:val="00D97972"/>
    <w:rsid w:val="00DA1046"/>
    <w:rsid w:val="00DC1577"/>
    <w:rsid w:val="00DC5C3D"/>
    <w:rsid w:val="00DC6548"/>
    <w:rsid w:val="00DD49DB"/>
    <w:rsid w:val="00DD4FC5"/>
    <w:rsid w:val="00DD58A8"/>
    <w:rsid w:val="00DE423D"/>
    <w:rsid w:val="00DE55DD"/>
    <w:rsid w:val="00DE756E"/>
    <w:rsid w:val="00DF064A"/>
    <w:rsid w:val="00DF1BDA"/>
    <w:rsid w:val="00E016E8"/>
    <w:rsid w:val="00E01EA5"/>
    <w:rsid w:val="00E058C9"/>
    <w:rsid w:val="00E072BA"/>
    <w:rsid w:val="00E10029"/>
    <w:rsid w:val="00E11ED4"/>
    <w:rsid w:val="00E1511B"/>
    <w:rsid w:val="00E166C1"/>
    <w:rsid w:val="00E24E22"/>
    <w:rsid w:val="00E26BCB"/>
    <w:rsid w:val="00E304D8"/>
    <w:rsid w:val="00E30729"/>
    <w:rsid w:val="00E30B73"/>
    <w:rsid w:val="00E30BD0"/>
    <w:rsid w:val="00E324FA"/>
    <w:rsid w:val="00E34EA5"/>
    <w:rsid w:val="00E358FA"/>
    <w:rsid w:val="00E5607A"/>
    <w:rsid w:val="00E56EB9"/>
    <w:rsid w:val="00E77A9B"/>
    <w:rsid w:val="00E8004C"/>
    <w:rsid w:val="00E80576"/>
    <w:rsid w:val="00E81664"/>
    <w:rsid w:val="00E8624E"/>
    <w:rsid w:val="00E879D1"/>
    <w:rsid w:val="00E924E1"/>
    <w:rsid w:val="00E95C15"/>
    <w:rsid w:val="00E9643E"/>
    <w:rsid w:val="00E96F87"/>
    <w:rsid w:val="00EA05F3"/>
    <w:rsid w:val="00EA12A1"/>
    <w:rsid w:val="00EA5B01"/>
    <w:rsid w:val="00EB13BE"/>
    <w:rsid w:val="00EB49B2"/>
    <w:rsid w:val="00ED0ED1"/>
    <w:rsid w:val="00ED4595"/>
    <w:rsid w:val="00EE2767"/>
    <w:rsid w:val="00EE5A78"/>
    <w:rsid w:val="00EF024A"/>
    <w:rsid w:val="00EF60A9"/>
    <w:rsid w:val="00EF7224"/>
    <w:rsid w:val="00F23C97"/>
    <w:rsid w:val="00F27149"/>
    <w:rsid w:val="00F349C3"/>
    <w:rsid w:val="00F41CC4"/>
    <w:rsid w:val="00F4289F"/>
    <w:rsid w:val="00F45A5E"/>
    <w:rsid w:val="00F51672"/>
    <w:rsid w:val="00F520A7"/>
    <w:rsid w:val="00F5579E"/>
    <w:rsid w:val="00F55A75"/>
    <w:rsid w:val="00F55D65"/>
    <w:rsid w:val="00F64E2C"/>
    <w:rsid w:val="00F7063A"/>
    <w:rsid w:val="00F714F5"/>
    <w:rsid w:val="00F72A2E"/>
    <w:rsid w:val="00F75E38"/>
    <w:rsid w:val="00F8107A"/>
    <w:rsid w:val="00F92200"/>
    <w:rsid w:val="00F93DF7"/>
    <w:rsid w:val="00F97C0A"/>
    <w:rsid w:val="00FA16FC"/>
    <w:rsid w:val="00FB542D"/>
    <w:rsid w:val="00FB7347"/>
    <w:rsid w:val="00FC3E5F"/>
    <w:rsid w:val="00FD584C"/>
    <w:rsid w:val="00FE240D"/>
    <w:rsid w:val="00FE7FC1"/>
    <w:rsid w:val="00FF2C42"/>
    <w:rsid w:val="00FF6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2A2FD0"/>
  <w15:docId w15:val="{044A7659-8BFF-4E87-8B49-5D4D0F174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370"/>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qFormat/>
    <w:locked/>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paragraph" w:styleId="Title">
    <w:name w:val="Title"/>
    <w:basedOn w:val="Normal"/>
    <w:link w:val="TitleChar"/>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character" w:customStyle="1" w:styleId="UnresolvedMention2">
    <w:name w:val="Unresolved Mention2"/>
    <w:basedOn w:val="DefaultParagraphFont"/>
    <w:uiPriority w:val="99"/>
    <w:semiHidden/>
    <w:unhideWhenUsed/>
    <w:rsid w:val="00B4287A"/>
    <w:rPr>
      <w:color w:val="605E5C"/>
      <w:shd w:val="clear" w:color="auto" w:fill="E1DFDD"/>
    </w:rPr>
  </w:style>
  <w:style w:type="character" w:styleId="UnresolvedMention">
    <w:name w:val="Unresolved Mention"/>
    <w:basedOn w:val="DefaultParagraphFont"/>
    <w:uiPriority w:val="99"/>
    <w:semiHidden/>
    <w:unhideWhenUsed/>
    <w:rsid w:val="00240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08687">
      <w:bodyDiv w:val="1"/>
      <w:marLeft w:val="0"/>
      <w:marRight w:val="0"/>
      <w:marTop w:val="0"/>
      <w:marBottom w:val="0"/>
      <w:divBdr>
        <w:top w:val="none" w:sz="0" w:space="0" w:color="auto"/>
        <w:left w:val="none" w:sz="0" w:space="0" w:color="auto"/>
        <w:bottom w:val="none" w:sz="0" w:space="0" w:color="auto"/>
        <w:right w:val="none" w:sz="0" w:space="0" w:color="auto"/>
      </w:divBdr>
    </w:div>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 w:id="443305564">
      <w:bodyDiv w:val="1"/>
      <w:marLeft w:val="0"/>
      <w:marRight w:val="0"/>
      <w:marTop w:val="0"/>
      <w:marBottom w:val="0"/>
      <w:divBdr>
        <w:top w:val="none" w:sz="0" w:space="0" w:color="auto"/>
        <w:left w:val="none" w:sz="0" w:space="0" w:color="auto"/>
        <w:bottom w:val="none" w:sz="0" w:space="0" w:color="auto"/>
        <w:right w:val="none" w:sz="0" w:space="0" w:color="auto"/>
      </w:divBdr>
    </w:div>
    <w:div w:id="501238598">
      <w:bodyDiv w:val="1"/>
      <w:marLeft w:val="0"/>
      <w:marRight w:val="0"/>
      <w:marTop w:val="0"/>
      <w:marBottom w:val="0"/>
      <w:divBdr>
        <w:top w:val="none" w:sz="0" w:space="0" w:color="auto"/>
        <w:left w:val="none" w:sz="0" w:space="0" w:color="auto"/>
        <w:bottom w:val="none" w:sz="0" w:space="0" w:color="auto"/>
        <w:right w:val="none" w:sz="0" w:space="0" w:color="auto"/>
      </w:divBdr>
    </w:div>
    <w:div w:id="795104321">
      <w:bodyDiv w:val="1"/>
      <w:marLeft w:val="0"/>
      <w:marRight w:val="0"/>
      <w:marTop w:val="0"/>
      <w:marBottom w:val="0"/>
      <w:divBdr>
        <w:top w:val="none" w:sz="0" w:space="0" w:color="auto"/>
        <w:left w:val="none" w:sz="0" w:space="0" w:color="auto"/>
        <w:bottom w:val="none" w:sz="0" w:space="0" w:color="auto"/>
        <w:right w:val="none" w:sz="0" w:space="0" w:color="auto"/>
      </w:divBdr>
    </w:div>
    <w:div w:id="891429514">
      <w:bodyDiv w:val="1"/>
      <w:marLeft w:val="0"/>
      <w:marRight w:val="0"/>
      <w:marTop w:val="0"/>
      <w:marBottom w:val="0"/>
      <w:divBdr>
        <w:top w:val="none" w:sz="0" w:space="0" w:color="auto"/>
        <w:left w:val="none" w:sz="0" w:space="0" w:color="auto"/>
        <w:bottom w:val="none" w:sz="0" w:space="0" w:color="auto"/>
        <w:right w:val="none" w:sz="0" w:space="0" w:color="auto"/>
      </w:divBdr>
    </w:div>
    <w:div w:id="1250582075">
      <w:bodyDiv w:val="1"/>
      <w:marLeft w:val="0"/>
      <w:marRight w:val="0"/>
      <w:marTop w:val="0"/>
      <w:marBottom w:val="0"/>
      <w:divBdr>
        <w:top w:val="none" w:sz="0" w:space="0" w:color="auto"/>
        <w:left w:val="none" w:sz="0" w:space="0" w:color="auto"/>
        <w:bottom w:val="none" w:sz="0" w:space="0" w:color="auto"/>
        <w:right w:val="none" w:sz="0" w:space="0" w:color="auto"/>
      </w:divBdr>
    </w:div>
    <w:div w:id="143197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ahariyonagie08@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utangrosidin@uinsgd.ac.id" TargetMode="External"/><Relationship Id="rId4" Type="http://schemas.openxmlformats.org/officeDocument/2006/relationships/settings" Target="settings.xml"/><Relationship Id="rId9" Type="http://schemas.openxmlformats.org/officeDocument/2006/relationships/hyperlink" Target="mailto:elanjaelani@uinsgd.ac.id"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Template%20VARIA%20HUKUM_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5B8DA63-7834-4AD3-9D9F-63DAFD18D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VARIA HUKUM_1 (1).dotx</Template>
  <TotalTime>6</TotalTime>
  <Pages>13</Pages>
  <Words>4301</Words>
  <Characters>24519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Hewlett-Packard Company</Company>
  <LinksUpToDate>false</LinksUpToDate>
  <CharactersWithSpaces>28763</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creator>HP</dc:creator>
  <cp:lastModifiedBy>matahari yonagie</cp:lastModifiedBy>
  <cp:revision>2</cp:revision>
  <cp:lastPrinted>2020-04-30T04:32:00Z</cp:lastPrinted>
  <dcterms:created xsi:type="dcterms:W3CDTF">2023-06-19T14:38:00Z</dcterms:created>
  <dcterms:modified xsi:type="dcterms:W3CDTF">2023-06-19T14:38:00Z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2ba05f4b-f84c-3435-86ab-8a502bdd1f19</vt:lpwstr>
  </property>
  <property fmtid="{D5CDD505-2E9C-101B-9397-08002B2CF9AE}" pid="24" name="Mendeley Citation Style_1">
    <vt:lpwstr>http://www.zotero.org/styles/chicago-fullnote-bibliography</vt:lpwstr>
  </property>
</Properties>
</file>